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B96E" w14:textId="2E3C91BD" w:rsidR="00394021" w:rsidRDefault="00394021">
      <w:pPr>
        <w:widowControl/>
        <w:jc w:val="center"/>
        <w:rPr>
          <w:b/>
          <w:sz w:val="24"/>
          <w:szCs w:val="24"/>
        </w:rPr>
      </w:pPr>
      <w:r>
        <w:rPr>
          <w:b/>
          <w:sz w:val="24"/>
          <w:szCs w:val="24"/>
        </w:rPr>
        <w:t xml:space="preserve">UMIDADE DE EQUILÍBRIO DA MADEIRA, </w:t>
      </w:r>
      <w:r w:rsidR="00843D16">
        <w:rPr>
          <w:b/>
          <w:sz w:val="24"/>
          <w:szCs w:val="24"/>
        </w:rPr>
        <w:t>COMPORTAMENTO</w:t>
      </w:r>
      <w:r w:rsidR="00DA4F5E">
        <w:rPr>
          <w:b/>
          <w:sz w:val="24"/>
          <w:szCs w:val="24"/>
        </w:rPr>
        <w:t xml:space="preserve"> DE SETE MADEIRAS COMERCIAIS PARA</w:t>
      </w:r>
      <w:r>
        <w:rPr>
          <w:b/>
          <w:sz w:val="24"/>
          <w:szCs w:val="24"/>
        </w:rPr>
        <w:t xml:space="preserve"> ARACAJU</w:t>
      </w:r>
      <w:r w:rsidR="00FC5105">
        <w:rPr>
          <w:b/>
          <w:sz w:val="24"/>
          <w:szCs w:val="24"/>
        </w:rPr>
        <w:t>/</w:t>
      </w:r>
      <w:r>
        <w:rPr>
          <w:b/>
          <w:sz w:val="24"/>
          <w:szCs w:val="24"/>
        </w:rPr>
        <w:t>SE</w:t>
      </w:r>
    </w:p>
    <w:p w14:paraId="4E97CFE0" w14:textId="77777777" w:rsidR="009212A7" w:rsidRDefault="009212A7" w:rsidP="00CB4048">
      <w:pPr>
        <w:widowControl/>
        <w:rPr>
          <w:b/>
          <w:sz w:val="24"/>
          <w:szCs w:val="24"/>
        </w:rPr>
      </w:pPr>
    </w:p>
    <w:p w14:paraId="687828B5" w14:textId="4F97147B" w:rsidR="00B1243D" w:rsidRPr="005763CA" w:rsidRDefault="00CB4048">
      <w:pPr>
        <w:spacing w:line="276" w:lineRule="auto"/>
        <w:ind w:left="221" w:right="214"/>
        <w:jc w:val="center"/>
        <w:rPr>
          <w:b/>
          <w:sz w:val="20"/>
          <w:szCs w:val="20"/>
        </w:rPr>
      </w:pPr>
      <w:r>
        <w:rPr>
          <w:b/>
          <w:sz w:val="20"/>
          <w:szCs w:val="20"/>
        </w:rPr>
        <w:t>Maria Isabel de Jesus Fraga</w:t>
      </w:r>
      <w:r w:rsidRPr="00CB4048">
        <w:rPr>
          <w:b/>
          <w:sz w:val="20"/>
          <w:szCs w:val="20"/>
          <w:vertAlign w:val="superscript"/>
        </w:rPr>
        <w:t>1</w:t>
      </w:r>
      <w:r>
        <w:rPr>
          <w:b/>
          <w:sz w:val="20"/>
          <w:szCs w:val="20"/>
          <w:vertAlign w:val="superscript"/>
        </w:rPr>
        <w:t>*</w:t>
      </w:r>
      <w:r w:rsidRPr="00CB4048">
        <w:rPr>
          <w:b/>
          <w:sz w:val="20"/>
          <w:szCs w:val="20"/>
        </w:rPr>
        <w:t xml:space="preserve">, </w:t>
      </w:r>
      <w:r w:rsidR="00F76A12">
        <w:rPr>
          <w:b/>
          <w:sz w:val="20"/>
          <w:szCs w:val="20"/>
        </w:rPr>
        <w:t>Márcio Ricardo Nascimento Lima</w:t>
      </w:r>
      <w:r w:rsidR="009212A7" w:rsidRPr="009212A7">
        <w:rPr>
          <w:b/>
          <w:sz w:val="20"/>
          <w:szCs w:val="20"/>
          <w:vertAlign w:val="superscript"/>
        </w:rPr>
        <w:t>2</w:t>
      </w:r>
      <w:r w:rsidR="00F76A12">
        <w:rPr>
          <w:b/>
          <w:sz w:val="20"/>
          <w:szCs w:val="20"/>
        </w:rPr>
        <w:t xml:space="preserve">, </w:t>
      </w:r>
      <w:proofErr w:type="spellStart"/>
      <w:r w:rsidR="00F76A12">
        <w:rPr>
          <w:b/>
          <w:sz w:val="20"/>
          <w:szCs w:val="20"/>
        </w:rPr>
        <w:t>Keliane</w:t>
      </w:r>
      <w:proofErr w:type="spellEnd"/>
      <w:r w:rsidR="00F76A12">
        <w:rPr>
          <w:b/>
          <w:sz w:val="20"/>
          <w:szCs w:val="20"/>
        </w:rPr>
        <w:t xml:space="preserve"> de Jesus Reis</w:t>
      </w:r>
      <w:r w:rsidR="009212A7" w:rsidRPr="009212A7">
        <w:rPr>
          <w:b/>
          <w:sz w:val="20"/>
          <w:szCs w:val="20"/>
          <w:vertAlign w:val="superscript"/>
        </w:rPr>
        <w:t>3</w:t>
      </w:r>
      <w:r w:rsidR="00F76A12">
        <w:rPr>
          <w:b/>
          <w:sz w:val="20"/>
          <w:szCs w:val="20"/>
        </w:rPr>
        <w:t>,</w:t>
      </w:r>
      <w:r>
        <w:rPr>
          <w:b/>
          <w:sz w:val="20"/>
          <w:szCs w:val="20"/>
        </w:rPr>
        <w:t xml:space="preserve"> Antônio Am</w:t>
      </w:r>
      <w:r w:rsidR="005763CA">
        <w:rPr>
          <w:b/>
          <w:sz w:val="20"/>
          <w:szCs w:val="20"/>
        </w:rPr>
        <w:t>é</w:t>
      </w:r>
      <w:r>
        <w:rPr>
          <w:b/>
          <w:sz w:val="20"/>
          <w:szCs w:val="20"/>
        </w:rPr>
        <w:t>rico Cardoso Junior</w:t>
      </w:r>
      <w:r>
        <w:rPr>
          <w:b/>
          <w:sz w:val="20"/>
          <w:szCs w:val="20"/>
          <w:vertAlign w:val="superscript"/>
        </w:rPr>
        <w:t>4</w:t>
      </w:r>
      <w:r w:rsidRPr="005763CA">
        <w:rPr>
          <w:b/>
          <w:sz w:val="20"/>
          <w:szCs w:val="20"/>
        </w:rPr>
        <w:t>,</w:t>
      </w:r>
      <w:r w:rsidR="00F76A12">
        <w:rPr>
          <w:b/>
          <w:sz w:val="20"/>
          <w:szCs w:val="20"/>
        </w:rPr>
        <w:t xml:space="preserve"> Anna Carolina de Almeida Andrade</w:t>
      </w:r>
      <w:r>
        <w:rPr>
          <w:b/>
          <w:sz w:val="20"/>
          <w:szCs w:val="20"/>
          <w:vertAlign w:val="superscript"/>
        </w:rPr>
        <w:t>5</w:t>
      </w:r>
      <w:r w:rsidRPr="00CB4048">
        <w:rPr>
          <w:b/>
          <w:sz w:val="20"/>
          <w:szCs w:val="20"/>
        </w:rPr>
        <w:t>,</w:t>
      </w:r>
      <w:r>
        <w:rPr>
          <w:b/>
          <w:sz w:val="20"/>
          <w:szCs w:val="20"/>
          <w:vertAlign w:val="superscript"/>
        </w:rPr>
        <w:t xml:space="preserve"> </w:t>
      </w:r>
      <w:r>
        <w:rPr>
          <w:b/>
          <w:sz w:val="20"/>
          <w:szCs w:val="20"/>
        </w:rPr>
        <w:t>Jorge Artur Santos</w:t>
      </w:r>
      <w:r w:rsidRPr="00CB4048">
        <w:rPr>
          <w:b/>
          <w:sz w:val="20"/>
          <w:szCs w:val="20"/>
          <w:vertAlign w:val="superscript"/>
        </w:rPr>
        <w:t>6</w:t>
      </w:r>
      <w:r>
        <w:rPr>
          <w:b/>
          <w:sz w:val="20"/>
          <w:szCs w:val="20"/>
        </w:rPr>
        <w:t xml:space="preserve">, </w:t>
      </w:r>
      <w:proofErr w:type="spellStart"/>
      <w:r>
        <w:rPr>
          <w:b/>
          <w:sz w:val="20"/>
          <w:szCs w:val="20"/>
        </w:rPr>
        <w:t>Ritcharlison</w:t>
      </w:r>
      <w:proofErr w:type="spellEnd"/>
      <w:r>
        <w:rPr>
          <w:b/>
          <w:sz w:val="20"/>
          <w:szCs w:val="20"/>
        </w:rPr>
        <w:t xml:space="preserve"> Rocha dos Santos Nunes</w:t>
      </w:r>
      <w:r w:rsidRPr="00CB4048">
        <w:rPr>
          <w:b/>
          <w:sz w:val="20"/>
          <w:szCs w:val="20"/>
          <w:vertAlign w:val="superscript"/>
        </w:rPr>
        <w:t>7</w:t>
      </w:r>
      <w:r>
        <w:rPr>
          <w:b/>
          <w:sz w:val="20"/>
          <w:szCs w:val="20"/>
        </w:rPr>
        <w:t xml:space="preserve">, Samara </w:t>
      </w:r>
      <w:proofErr w:type="spellStart"/>
      <w:r>
        <w:rPr>
          <w:b/>
          <w:sz w:val="20"/>
          <w:szCs w:val="20"/>
        </w:rPr>
        <w:t>Araujo</w:t>
      </w:r>
      <w:proofErr w:type="spellEnd"/>
      <w:r>
        <w:rPr>
          <w:b/>
          <w:sz w:val="20"/>
          <w:szCs w:val="20"/>
        </w:rPr>
        <w:t xml:space="preserve"> Lisboa</w:t>
      </w:r>
      <w:r w:rsidRPr="00CB4048">
        <w:rPr>
          <w:b/>
          <w:sz w:val="20"/>
          <w:szCs w:val="20"/>
          <w:vertAlign w:val="superscript"/>
        </w:rPr>
        <w:t>8</w:t>
      </w:r>
      <w:r>
        <w:rPr>
          <w:b/>
          <w:sz w:val="20"/>
          <w:szCs w:val="20"/>
        </w:rPr>
        <w:t xml:space="preserve">, </w:t>
      </w:r>
      <w:r w:rsidR="00BB6271">
        <w:rPr>
          <w:b/>
          <w:sz w:val="20"/>
          <w:szCs w:val="20"/>
        </w:rPr>
        <w:t>Alessandra Maria Ferreira Reis</w:t>
      </w:r>
      <w:r w:rsidRPr="00CB4048">
        <w:rPr>
          <w:b/>
          <w:sz w:val="20"/>
          <w:szCs w:val="20"/>
          <w:vertAlign w:val="superscript"/>
        </w:rPr>
        <w:t>9</w:t>
      </w:r>
      <w:r w:rsidRPr="005763CA">
        <w:rPr>
          <w:b/>
          <w:sz w:val="20"/>
          <w:szCs w:val="20"/>
        </w:rPr>
        <w:t>,</w:t>
      </w:r>
      <w:r>
        <w:rPr>
          <w:b/>
          <w:sz w:val="20"/>
          <w:szCs w:val="20"/>
          <w:vertAlign w:val="superscript"/>
        </w:rPr>
        <w:t xml:space="preserve"> </w:t>
      </w:r>
      <w:r w:rsidR="004936B6">
        <w:rPr>
          <w:b/>
          <w:sz w:val="20"/>
          <w:szCs w:val="20"/>
        </w:rPr>
        <w:t xml:space="preserve">Sérgio </w:t>
      </w:r>
      <w:proofErr w:type="spellStart"/>
      <w:r w:rsidR="004936B6">
        <w:rPr>
          <w:b/>
          <w:sz w:val="20"/>
          <w:szCs w:val="20"/>
        </w:rPr>
        <w:t>Luis</w:t>
      </w:r>
      <w:proofErr w:type="spellEnd"/>
      <w:r w:rsidR="004936B6">
        <w:rPr>
          <w:b/>
          <w:sz w:val="20"/>
          <w:szCs w:val="20"/>
        </w:rPr>
        <w:t xml:space="preserve"> Martins dos Santos</w:t>
      </w:r>
      <w:r w:rsidR="005763CA" w:rsidRPr="005763CA">
        <w:rPr>
          <w:b/>
          <w:sz w:val="20"/>
          <w:szCs w:val="20"/>
          <w:vertAlign w:val="superscript"/>
        </w:rPr>
        <w:t>10</w:t>
      </w:r>
    </w:p>
    <w:p w14:paraId="64BE83EA" w14:textId="0A9C0927" w:rsidR="00B1243D" w:rsidRPr="005763CA" w:rsidRDefault="009212A7" w:rsidP="009212A7">
      <w:pPr>
        <w:pStyle w:val="paragraph"/>
        <w:spacing w:before="0" w:beforeAutospacing="0" w:after="0" w:afterAutospacing="0"/>
        <w:ind w:left="210" w:right="210"/>
        <w:jc w:val="center"/>
        <w:textAlignment w:val="baseline"/>
        <w:rPr>
          <w:sz w:val="20"/>
          <w:szCs w:val="20"/>
        </w:rPr>
      </w:pPr>
      <w:r w:rsidRPr="005763CA">
        <w:rPr>
          <w:rStyle w:val="normaltextrun"/>
          <w:sz w:val="20"/>
          <w:szCs w:val="20"/>
        </w:rPr>
        <w:t xml:space="preserve">Universidade Federal de Sergipe </w:t>
      </w:r>
      <w:r w:rsidRPr="005763CA">
        <w:rPr>
          <w:rStyle w:val="normaltextrun"/>
          <w:sz w:val="20"/>
          <w:szCs w:val="20"/>
          <w:vertAlign w:val="superscript"/>
        </w:rPr>
        <w:t>1</w:t>
      </w:r>
      <w:r w:rsidRPr="005763CA">
        <w:rPr>
          <w:rStyle w:val="normaltextrun"/>
          <w:sz w:val="20"/>
          <w:szCs w:val="20"/>
        </w:rPr>
        <w:t xml:space="preserve">, Universidade Federal de Sergipe </w:t>
      </w:r>
      <w:r w:rsidRPr="005763CA">
        <w:rPr>
          <w:rStyle w:val="normaltextrun"/>
          <w:sz w:val="20"/>
          <w:szCs w:val="20"/>
          <w:vertAlign w:val="superscript"/>
        </w:rPr>
        <w:t>2</w:t>
      </w:r>
      <w:r w:rsidRPr="005763CA">
        <w:rPr>
          <w:rStyle w:val="normaltextrun"/>
          <w:sz w:val="20"/>
          <w:szCs w:val="20"/>
        </w:rPr>
        <w:t xml:space="preserve">, Universidade Federal de Sergipe </w:t>
      </w:r>
      <w:r w:rsidRPr="005763CA">
        <w:rPr>
          <w:rStyle w:val="normaltextrun"/>
          <w:sz w:val="20"/>
          <w:szCs w:val="20"/>
          <w:vertAlign w:val="superscript"/>
        </w:rPr>
        <w:t>3</w:t>
      </w:r>
      <w:r w:rsidRPr="005763CA">
        <w:rPr>
          <w:rStyle w:val="normaltextrun"/>
          <w:sz w:val="20"/>
          <w:szCs w:val="20"/>
        </w:rPr>
        <w:t xml:space="preserve">, Universidade Federal de Sergipe </w:t>
      </w:r>
      <w:r w:rsidRPr="005763CA">
        <w:rPr>
          <w:rStyle w:val="normaltextrun"/>
          <w:sz w:val="20"/>
          <w:szCs w:val="20"/>
          <w:vertAlign w:val="superscript"/>
        </w:rPr>
        <w:t>4</w:t>
      </w:r>
      <w:r w:rsidR="005763CA" w:rsidRPr="005763CA">
        <w:rPr>
          <w:rStyle w:val="normaltextrun"/>
          <w:sz w:val="20"/>
          <w:szCs w:val="20"/>
        </w:rPr>
        <w:t>, Universidade Federal de Sergipe</w:t>
      </w:r>
      <w:r w:rsidR="005763CA" w:rsidRPr="005763CA">
        <w:rPr>
          <w:rStyle w:val="normaltextrun"/>
          <w:sz w:val="20"/>
          <w:szCs w:val="20"/>
          <w:vertAlign w:val="superscript"/>
        </w:rPr>
        <w:t xml:space="preserve"> 5</w:t>
      </w:r>
      <w:r w:rsidR="005763CA" w:rsidRPr="005763CA">
        <w:rPr>
          <w:rStyle w:val="normaltextrun"/>
          <w:sz w:val="20"/>
          <w:szCs w:val="20"/>
        </w:rPr>
        <w:t xml:space="preserve">, Universidade Federal de Sergipe </w:t>
      </w:r>
      <w:r w:rsidR="005763CA" w:rsidRPr="005763CA">
        <w:rPr>
          <w:rStyle w:val="normaltextrun"/>
          <w:sz w:val="20"/>
          <w:szCs w:val="20"/>
          <w:vertAlign w:val="superscript"/>
        </w:rPr>
        <w:t>6</w:t>
      </w:r>
      <w:r w:rsidR="005763CA" w:rsidRPr="005763CA">
        <w:rPr>
          <w:rStyle w:val="normaltextrun"/>
          <w:sz w:val="20"/>
          <w:szCs w:val="20"/>
        </w:rPr>
        <w:t xml:space="preserve">, Universidade Federal de Sergipe </w:t>
      </w:r>
      <w:r w:rsidR="005763CA" w:rsidRPr="005763CA">
        <w:rPr>
          <w:rStyle w:val="normaltextrun"/>
          <w:sz w:val="20"/>
          <w:szCs w:val="20"/>
          <w:vertAlign w:val="superscript"/>
        </w:rPr>
        <w:t>7</w:t>
      </w:r>
      <w:r w:rsidR="005763CA" w:rsidRPr="005763CA">
        <w:rPr>
          <w:rStyle w:val="normaltextrun"/>
          <w:sz w:val="20"/>
          <w:szCs w:val="20"/>
        </w:rPr>
        <w:t>, Universidade Federal de Sergipe</w:t>
      </w:r>
      <w:r w:rsidR="005763CA" w:rsidRPr="005763CA">
        <w:rPr>
          <w:rStyle w:val="normaltextrun"/>
          <w:sz w:val="20"/>
          <w:szCs w:val="20"/>
          <w:vertAlign w:val="superscript"/>
        </w:rPr>
        <w:t xml:space="preserve"> 8</w:t>
      </w:r>
      <w:r w:rsidR="005763CA" w:rsidRPr="005763CA">
        <w:rPr>
          <w:rStyle w:val="normaltextrun"/>
          <w:sz w:val="20"/>
          <w:szCs w:val="20"/>
        </w:rPr>
        <w:t xml:space="preserve">, Universidade Federal de Sergipe </w:t>
      </w:r>
      <w:r w:rsidR="005763CA" w:rsidRPr="005763CA">
        <w:rPr>
          <w:rStyle w:val="normaltextrun"/>
          <w:sz w:val="20"/>
          <w:szCs w:val="20"/>
          <w:vertAlign w:val="superscript"/>
        </w:rPr>
        <w:t>9</w:t>
      </w:r>
      <w:r w:rsidR="005763CA" w:rsidRPr="005763CA">
        <w:rPr>
          <w:rStyle w:val="normaltextrun"/>
          <w:sz w:val="20"/>
          <w:szCs w:val="20"/>
        </w:rPr>
        <w:t xml:space="preserve">, Universidade Federal de Sergipe </w:t>
      </w:r>
      <w:r w:rsidR="005763CA" w:rsidRPr="005763CA">
        <w:rPr>
          <w:rStyle w:val="normaltextrun"/>
          <w:sz w:val="20"/>
          <w:szCs w:val="20"/>
          <w:vertAlign w:val="superscript"/>
        </w:rPr>
        <w:t>10</w:t>
      </w:r>
    </w:p>
    <w:p w14:paraId="7BD791E1" w14:textId="16A0D259" w:rsidR="00B1243D" w:rsidRPr="00F76A12" w:rsidRDefault="00C822B1">
      <w:pPr>
        <w:spacing w:line="276" w:lineRule="auto"/>
        <w:ind w:left="221" w:right="214"/>
        <w:jc w:val="center"/>
        <w:rPr>
          <w:sz w:val="20"/>
          <w:szCs w:val="20"/>
        </w:rPr>
      </w:pPr>
      <w:bookmarkStart w:id="0" w:name="_72klwuwvzqg0" w:colFirst="0" w:colLast="0"/>
      <w:bookmarkEnd w:id="0"/>
      <w:r w:rsidRPr="005763CA">
        <w:rPr>
          <w:sz w:val="20"/>
          <w:szCs w:val="20"/>
        </w:rPr>
        <w:t>*</w:t>
      </w:r>
      <w:r w:rsidR="005763CA" w:rsidRPr="005763CA">
        <w:rPr>
          <w:sz w:val="20"/>
          <w:szCs w:val="20"/>
        </w:rPr>
        <w:t>isabeldejfraga123@gmail.com</w:t>
      </w:r>
    </w:p>
    <w:p w14:paraId="180457D5" w14:textId="77777777" w:rsidR="00B1243D" w:rsidRDefault="00C822B1">
      <w:pPr>
        <w:jc w:val="center"/>
        <w:rPr>
          <w:sz w:val="20"/>
          <w:szCs w:val="20"/>
        </w:rPr>
      </w:pPr>
      <w:r>
        <w:rPr>
          <w:sz w:val="20"/>
          <w:szCs w:val="20"/>
        </w:rPr>
        <w:t>__________________________________________________________________________________________</w:t>
      </w:r>
    </w:p>
    <w:p w14:paraId="79AA39DA" w14:textId="77777777" w:rsidR="00B1243D" w:rsidRDefault="00B1243D">
      <w:pPr>
        <w:jc w:val="both"/>
        <w:rPr>
          <w:sz w:val="20"/>
          <w:szCs w:val="20"/>
        </w:rPr>
      </w:pPr>
    </w:p>
    <w:p w14:paraId="127A583C" w14:textId="4FFEE3A0" w:rsidR="00B1243D" w:rsidRDefault="00F76A12">
      <w:pPr>
        <w:jc w:val="both"/>
        <w:rPr>
          <w:b/>
          <w:sz w:val="20"/>
          <w:szCs w:val="20"/>
        </w:rPr>
      </w:pPr>
      <w:r>
        <w:rPr>
          <w:b/>
          <w:sz w:val="20"/>
          <w:szCs w:val="20"/>
        </w:rPr>
        <w:t xml:space="preserve">           RESUMO</w:t>
      </w:r>
      <w:r>
        <w:rPr>
          <w:sz w:val="20"/>
          <w:szCs w:val="20"/>
        </w:rPr>
        <w:t xml:space="preserve"> </w:t>
      </w:r>
    </w:p>
    <w:p w14:paraId="5C612483" w14:textId="220E8D4C" w:rsidR="00F76A12" w:rsidRDefault="00F76A12" w:rsidP="00C45989">
      <w:pPr>
        <w:ind w:left="567" w:right="567"/>
        <w:jc w:val="both"/>
        <w:rPr>
          <w:sz w:val="20"/>
          <w:szCs w:val="20"/>
        </w:rPr>
      </w:pPr>
      <w:r w:rsidRPr="00F76A12">
        <w:rPr>
          <w:sz w:val="20"/>
          <w:szCs w:val="20"/>
        </w:rPr>
        <w:t xml:space="preserve">O teor de umidade da madeira e sua umidade de equilíbrio (UE) são influenciados por fatores como temperatura, umidade relativa do ar, composição química, região de origem, proporção entre cerne e alburno, densidade e histerese. Compreender essa propriedade física é essencial para garantir uma secagem adequada, prevenindo defeitos como empenamentos e rachaduras. Deste modo, o estudo objetivou comparar diferentes métodos de estimativa da UE, sendo eles: dois medidores capacitivos TCS-75, método gravimétrico (controle), equações de </w:t>
      </w:r>
      <w:proofErr w:type="spellStart"/>
      <w:r w:rsidRPr="00F76A12">
        <w:rPr>
          <w:sz w:val="20"/>
          <w:szCs w:val="20"/>
        </w:rPr>
        <w:t>Hailwood</w:t>
      </w:r>
      <w:proofErr w:type="spellEnd"/>
      <w:r w:rsidRPr="00F76A12">
        <w:rPr>
          <w:sz w:val="20"/>
          <w:szCs w:val="20"/>
        </w:rPr>
        <w:t xml:space="preserve"> e </w:t>
      </w:r>
      <w:proofErr w:type="spellStart"/>
      <w:r w:rsidRPr="00F76A12">
        <w:rPr>
          <w:sz w:val="20"/>
          <w:szCs w:val="20"/>
        </w:rPr>
        <w:t>Horrobin</w:t>
      </w:r>
      <w:proofErr w:type="spellEnd"/>
      <w:r w:rsidRPr="00F76A12">
        <w:rPr>
          <w:sz w:val="20"/>
          <w:szCs w:val="20"/>
        </w:rPr>
        <w:t xml:space="preserve"> (1 e 2 hidratos) e o modelo BET, além de avaliar o seu comportamento ao longo de 11 meses. O estudo </w:t>
      </w:r>
      <w:r w:rsidR="00A90673" w:rsidRPr="00F76A12">
        <w:rPr>
          <w:sz w:val="20"/>
          <w:szCs w:val="20"/>
        </w:rPr>
        <w:t>contou com</w:t>
      </w:r>
      <w:r w:rsidRPr="00F76A12">
        <w:rPr>
          <w:sz w:val="20"/>
          <w:szCs w:val="20"/>
        </w:rPr>
        <w:t xml:space="preserve"> cinco repetições em seis tratamentos. O delineamento estatístico utilizado foi o inteiramente </w:t>
      </w:r>
      <w:proofErr w:type="spellStart"/>
      <w:r w:rsidRPr="00F76A12">
        <w:rPr>
          <w:sz w:val="20"/>
          <w:szCs w:val="20"/>
        </w:rPr>
        <w:t>casualizado</w:t>
      </w:r>
      <w:proofErr w:type="spellEnd"/>
      <w:r w:rsidRPr="00F76A12">
        <w:rPr>
          <w:sz w:val="20"/>
          <w:szCs w:val="20"/>
        </w:rPr>
        <w:t>, utilizando-se a Análise de Variância (ANOVA) à 5% de significância, uma vez constatada a significância dos dados foi utilizado o teste de médias Skott-Knott também à 5% de confiabilidade. Os resultados obtidos indicaram que as médias de cada foram: 14,91% (TCS-75-1), 14,54% (TCS-75-2), 15,50% (</w:t>
      </w:r>
      <w:proofErr w:type="spellStart"/>
      <w:r w:rsidRPr="00F76A12">
        <w:rPr>
          <w:sz w:val="20"/>
          <w:szCs w:val="20"/>
        </w:rPr>
        <w:t>Hailwood</w:t>
      </w:r>
      <w:proofErr w:type="spellEnd"/>
      <w:r w:rsidRPr="00F76A12">
        <w:rPr>
          <w:sz w:val="20"/>
          <w:szCs w:val="20"/>
        </w:rPr>
        <w:t xml:space="preserve"> e </w:t>
      </w:r>
      <w:proofErr w:type="spellStart"/>
      <w:r w:rsidRPr="00F76A12">
        <w:rPr>
          <w:sz w:val="20"/>
          <w:szCs w:val="20"/>
        </w:rPr>
        <w:t>Horrobin</w:t>
      </w:r>
      <w:proofErr w:type="spellEnd"/>
      <w:r w:rsidRPr="00F76A12">
        <w:rPr>
          <w:sz w:val="20"/>
          <w:szCs w:val="20"/>
        </w:rPr>
        <w:t xml:space="preserve"> 1) e 15,68% (BET). A UE média por espécie foi: Ipê (9,38%), Louro (13,76%), </w:t>
      </w:r>
      <w:proofErr w:type="spellStart"/>
      <w:r w:rsidRPr="00F76A12">
        <w:rPr>
          <w:sz w:val="20"/>
          <w:szCs w:val="20"/>
        </w:rPr>
        <w:t>Muiracatiara</w:t>
      </w:r>
      <w:proofErr w:type="spellEnd"/>
      <w:r w:rsidRPr="00F76A12">
        <w:rPr>
          <w:sz w:val="20"/>
          <w:szCs w:val="20"/>
        </w:rPr>
        <w:t xml:space="preserve"> (12,76%), Sucupira (12,66%), Massaranduba (13,84%), Angelim-Pedra (12,54%) e Angico (14,35%). Todos os tratamentos diferiram do controle, exceto o TCS-75-1 para a Massaranduba. Os dois medidores TCS-75 apresentaram variações significativas em cinco das sete espécies. A diferença de UE entre espécies está associada principalmente à densidade da madeira. Conclui-se que o TCS-75-1 é indicado para estimativas de UE na Massaranduba. A média geral de UE para a região estudada foi de 12,70%.</w:t>
      </w:r>
    </w:p>
    <w:p w14:paraId="273A349F" w14:textId="6A356534" w:rsidR="00B1243D" w:rsidRDefault="00C822B1">
      <w:pPr>
        <w:widowControl/>
        <w:ind w:left="567" w:right="4" w:hanging="567"/>
        <w:rPr>
          <w:sz w:val="20"/>
          <w:szCs w:val="20"/>
        </w:rPr>
      </w:pPr>
      <w:r>
        <w:rPr>
          <w:i/>
          <w:sz w:val="20"/>
          <w:szCs w:val="20"/>
        </w:rPr>
        <w:t>Palavras-chave</w:t>
      </w:r>
      <w:r>
        <w:rPr>
          <w:sz w:val="20"/>
          <w:szCs w:val="20"/>
        </w:rPr>
        <w:t>:</w:t>
      </w:r>
      <w:r w:rsidR="00F76A12">
        <w:rPr>
          <w:sz w:val="20"/>
          <w:szCs w:val="20"/>
        </w:rPr>
        <w:t xml:space="preserve"> </w:t>
      </w:r>
      <w:r w:rsidR="00F76A12" w:rsidRPr="00F76A12">
        <w:rPr>
          <w:sz w:val="20"/>
          <w:szCs w:val="20"/>
        </w:rPr>
        <w:t>Qualidade da madeira</w:t>
      </w:r>
      <w:r w:rsidR="002A5F8B">
        <w:rPr>
          <w:sz w:val="20"/>
          <w:szCs w:val="20"/>
        </w:rPr>
        <w:t>,</w:t>
      </w:r>
      <w:r w:rsidR="00F76A12" w:rsidRPr="00F76A12">
        <w:rPr>
          <w:sz w:val="20"/>
          <w:szCs w:val="20"/>
        </w:rPr>
        <w:t xml:space="preserve"> Secagem da madeira</w:t>
      </w:r>
      <w:r w:rsidR="002A5F8B">
        <w:rPr>
          <w:sz w:val="20"/>
          <w:szCs w:val="20"/>
        </w:rPr>
        <w:t>,</w:t>
      </w:r>
      <w:r w:rsidR="00A90673">
        <w:rPr>
          <w:sz w:val="20"/>
          <w:szCs w:val="20"/>
        </w:rPr>
        <w:t xml:space="preserve"> </w:t>
      </w:r>
      <w:proofErr w:type="gramStart"/>
      <w:r w:rsidR="00A90673">
        <w:rPr>
          <w:sz w:val="20"/>
          <w:szCs w:val="20"/>
        </w:rPr>
        <w:t>Física</w:t>
      </w:r>
      <w:proofErr w:type="gramEnd"/>
      <w:r w:rsidR="00A90673">
        <w:rPr>
          <w:sz w:val="20"/>
          <w:szCs w:val="20"/>
        </w:rPr>
        <w:t xml:space="preserve"> da madeira</w:t>
      </w:r>
      <w:r w:rsidR="002A5F8B">
        <w:rPr>
          <w:sz w:val="20"/>
          <w:szCs w:val="20"/>
        </w:rPr>
        <w:t>,</w:t>
      </w:r>
      <w:r w:rsidR="00A90673">
        <w:rPr>
          <w:sz w:val="20"/>
          <w:szCs w:val="20"/>
        </w:rPr>
        <w:t xml:space="preserve"> TCS-75</w:t>
      </w:r>
      <w:r>
        <w:rPr>
          <w:sz w:val="20"/>
          <w:szCs w:val="20"/>
        </w:rPr>
        <w:t>.</w:t>
      </w:r>
    </w:p>
    <w:p w14:paraId="76E8B8E5" w14:textId="77777777" w:rsidR="00B1243D" w:rsidRDefault="00B1243D">
      <w:pPr>
        <w:widowControl/>
        <w:jc w:val="both"/>
        <w:rPr>
          <w:b/>
          <w:sz w:val="20"/>
          <w:szCs w:val="20"/>
        </w:rPr>
      </w:pPr>
    </w:p>
    <w:p w14:paraId="590A214D" w14:textId="7E89BEC2" w:rsidR="00B1243D" w:rsidRDefault="00C822B1">
      <w:pPr>
        <w:widowControl/>
        <w:jc w:val="both"/>
        <w:rPr>
          <w:sz w:val="20"/>
          <w:szCs w:val="20"/>
        </w:rPr>
      </w:pPr>
      <w:r>
        <w:rPr>
          <w:b/>
          <w:sz w:val="20"/>
          <w:szCs w:val="20"/>
        </w:rPr>
        <w:t xml:space="preserve">INTRODUÇÃO </w:t>
      </w:r>
    </w:p>
    <w:p w14:paraId="44A30F2A" w14:textId="77777777" w:rsidR="00CD4CCF" w:rsidRPr="00CD4CCF" w:rsidRDefault="00CD4CCF" w:rsidP="00CD4CCF">
      <w:pPr>
        <w:widowControl/>
        <w:ind w:firstLine="708"/>
        <w:jc w:val="both"/>
        <w:rPr>
          <w:sz w:val="20"/>
          <w:szCs w:val="20"/>
        </w:rPr>
      </w:pPr>
      <w:r w:rsidRPr="00CD4CCF">
        <w:rPr>
          <w:sz w:val="20"/>
          <w:szCs w:val="20"/>
        </w:rPr>
        <w:t>A umidade de equilíbrio de um material lenhoso pode ser definida como o ponto em que a madeira, quando submetida a temperatura e umidade relativa constantes, se adequa ao teor de umidade do ambiente, ficando em equilíbrio higroscópico com o mesmo (</w:t>
      </w:r>
      <w:proofErr w:type="spellStart"/>
      <w:r w:rsidRPr="00CD4CCF">
        <w:rPr>
          <w:sz w:val="20"/>
          <w:szCs w:val="20"/>
        </w:rPr>
        <w:t>Jankowsky</w:t>
      </w:r>
      <w:proofErr w:type="spellEnd"/>
      <w:r w:rsidRPr="00CD4CCF">
        <w:rPr>
          <w:sz w:val="20"/>
          <w:szCs w:val="20"/>
        </w:rPr>
        <w:t xml:space="preserve"> &amp; Galvão,1979). Nesta faixa de umidade os mecanismos de sorção não provocam defeitos significativos na peça.</w:t>
      </w:r>
    </w:p>
    <w:p w14:paraId="3E8997B9" w14:textId="7FAF101B" w:rsidR="00CD4CCF" w:rsidRPr="00CD4CCF" w:rsidRDefault="00CD4CCF" w:rsidP="00CD4CCF">
      <w:pPr>
        <w:widowControl/>
        <w:ind w:firstLine="708"/>
        <w:jc w:val="both"/>
        <w:rPr>
          <w:sz w:val="20"/>
          <w:szCs w:val="20"/>
        </w:rPr>
      </w:pPr>
      <w:r w:rsidRPr="00CD4CCF">
        <w:rPr>
          <w:sz w:val="20"/>
          <w:szCs w:val="20"/>
        </w:rPr>
        <w:t xml:space="preserve">A troca de umidade com o meio, denominada de sorção da madeira, leva ao processo de contração e inchamento. Problemas ocasionados por esses movimentos de adsorção e dessorção de água da madeira </w:t>
      </w:r>
      <w:r w:rsidR="007B35AE">
        <w:rPr>
          <w:sz w:val="20"/>
          <w:szCs w:val="20"/>
        </w:rPr>
        <w:t>podem ocasionar defeitos em</w:t>
      </w:r>
      <w:r w:rsidRPr="00CD4CCF">
        <w:rPr>
          <w:sz w:val="20"/>
          <w:szCs w:val="20"/>
        </w:rPr>
        <w:t xml:space="preserve"> portas, janelas e gavetas que podem travar ou frestas maiores que as desejáveis podem surgir; aparecimento de rachaduras e empenamentos; e problemas de fixação com pregos, parafusos e colas, que devido às movimentações repetidas, podem desprender-se</w:t>
      </w:r>
      <w:r>
        <w:rPr>
          <w:sz w:val="20"/>
          <w:szCs w:val="20"/>
        </w:rPr>
        <w:t xml:space="preserve"> (</w:t>
      </w:r>
      <w:r w:rsidRPr="00CD4CCF">
        <w:rPr>
          <w:sz w:val="20"/>
          <w:szCs w:val="20"/>
        </w:rPr>
        <w:t>Baraúna et al., 2022</w:t>
      </w:r>
      <w:r>
        <w:rPr>
          <w:sz w:val="20"/>
          <w:szCs w:val="20"/>
        </w:rPr>
        <w:t>)</w:t>
      </w:r>
      <w:r w:rsidRPr="00CD4CCF">
        <w:rPr>
          <w:sz w:val="20"/>
          <w:szCs w:val="20"/>
        </w:rPr>
        <w:t>.</w:t>
      </w:r>
    </w:p>
    <w:p w14:paraId="3F8E6967" w14:textId="72B4DBC9" w:rsidR="00CD4CCF" w:rsidRPr="00CD4CCF" w:rsidRDefault="00CD4CCF" w:rsidP="00CD4CCF">
      <w:pPr>
        <w:widowControl/>
        <w:ind w:firstLine="708"/>
        <w:jc w:val="both"/>
        <w:rPr>
          <w:sz w:val="20"/>
          <w:szCs w:val="20"/>
        </w:rPr>
      </w:pPr>
      <w:r w:rsidRPr="00CD4CCF">
        <w:rPr>
          <w:sz w:val="20"/>
          <w:szCs w:val="20"/>
        </w:rPr>
        <w:t>Existem diversas metodologias destinadas a determinar a umidade de equilíbrio da madeira, dentre elas, o principal método utilizado é o gravimétrico, pois fornece dados precisos, porém, é destrutivo e demanda um maior tempo quando comparado aos medidores elétricos que fornecem resultados instantâneos. Os medidores elétricos apresentam vantagens pois são leves, pequenos e de fácil manuseio, porém, tais equipamentos não fornecem dados confiáveis para faixas de umidade abaixo de 6% ou acima do ponto de saturação das fibras (PSF) (Donato, 201</w:t>
      </w:r>
      <w:r w:rsidR="00F477CB">
        <w:rPr>
          <w:sz w:val="20"/>
          <w:szCs w:val="20"/>
        </w:rPr>
        <w:t>5</w:t>
      </w:r>
      <w:r w:rsidRPr="00CD4CCF">
        <w:rPr>
          <w:sz w:val="20"/>
          <w:szCs w:val="20"/>
        </w:rPr>
        <w:t xml:space="preserve">; </w:t>
      </w:r>
      <w:proofErr w:type="spellStart"/>
      <w:r w:rsidRPr="00CD4CCF">
        <w:rPr>
          <w:sz w:val="20"/>
          <w:szCs w:val="20"/>
        </w:rPr>
        <w:t>Moreschi</w:t>
      </w:r>
      <w:proofErr w:type="spellEnd"/>
      <w:r w:rsidRPr="00CD4CCF">
        <w:rPr>
          <w:sz w:val="20"/>
          <w:szCs w:val="20"/>
        </w:rPr>
        <w:t>, 20</w:t>
      </w:r>
      <w:r w:rsidR="00F477CB">
        <w:rPr>
          <w:sz w:val="20"/>
          <w:szCs w:val="20"/>
        </w:rPr>
        <w:t>16</w:t>
      </w:r>
      <w:r w:rsidRPr="00CD4CCF">
        <w:rPr>
          <w:sz w:val="20"/>
          <w:szCs w:val="20"/>
        </w:rPr>
        <w:t>).</w:t>
      </w:r>
    </w:p>
    <w:p w14:paraId="556E5C0C" w14:textId="327A1983" w:rsidR="00CD4CCF" w:rsidRPr="00CD4CCF" w:rsidRDefault="00CD4CCF" w:rsidP="00CD4CCF">
      <w:pPr>
        <w:widowControl/>
        <w:ind w:firstLine="708"/>
        <w:jc w:val="both"/>
        <w:rPr>
          <w:sz w:val="20"/>
          <w:szCs w:val="20"/>
        </w:rPr>
      </w:pPr>
      <w:r w:rsidRPr="00CD4CCF">
        <w:rPr>
          <w:sz w:val="20"/>
          <w:szCs w:val="20"/>
        </w:rPr>
        <w:t xml:space="preserve">As equações mais utilizadas para determinação da UE é a de </w:t>
      </w:r>
      <w:proofErr w:type="spellStart"/>
      <w:r w:rsidRPr="00CD4CCF">
        <w:rPr>
          <w:sz w:val="20"/>
          <w:szCs w:val="20"/>
        </w:rPr>
        <w:t>Hailwood</w:t>
      </w:r>
      <w:proofErr w:type="spellEnd"/>
      <w:r w:rsidRPr="00CD4CCF">
        <w:rPr>
          <w:sz w:val="20"/>
          <w:szCs w:val="20"/>
        </w:rPr>
        <w:t xml:space="preserve"> e </w:t>
      </w:r>
      <w:proofErr w:type="spellStart"/>
      <w:r w:rsidRPr="00CD4CCF">
        <w:rPr>
          <w:sz w:val="20"/>
          <w:szCs w:val="20"/>
        </w:rPr>
        <w:t>Harrobin</w:t>
      </w:r>
      <w:proofErr w:type="spellEnd"/>
      <w:r w:rsidRPr="00CD4CCF">
        <w:rPr>
          <w:sz w:val="20"/>
          <w:szCs w:val="20"/>
        </w:rPr>
        <w:t xml:space="preserve"> (1 e 2 hidratos) e diversos autores como: Galvão (1975)</w:t>
      </w:r>
      <w:r w:rsidR="00F477CB">
        <w:rPr>
          <w:sz w:val="20"/>
          <w:szCs w:val="20"/>
        </w:rPr>
        <w:t xml:space="preserve"> </w:t>
      </w:r>
      <w:r w:rsidRPr="00CD4CCF">
        <w:rPr>
          <w:sz w:val="20"/>
          <w:szCs w:val="20"/>
        </w:rPr>
        <w:t>e Santana (201</w:t>
      </w:r>
      <w:r w:rsidR="006E3859">
        <w:rPr>
          <w:sz w:val="20"/>
          <w:szCs w:val="20"/>
        </w:rPr>
        <w:t>5</w:t>
      </w:r>
      <w:r w:rsidRPr="00CD4CCF">
        <w:rPr>
          <w:sz w:val="20"/>
          <w:szCs w:val="20"/>
        </w:rPr>
        <w:t xml:space="preserve">), vem utilizando-as para estimar a umidade em seus </w:t>
      </w:r>
      <w:r w:rsidRPr="00CD4CCF">
        <w:rPr>
          <w:sz w:val="20"/>
          <w:szCs w:val="20"/>
        </w:rPr>
        <w:lastRenderedPageBreak/>
        <w:t>respectivos estudos</w:t>
      </w:r>
      <w:r w:rsidR="006E3859">
        <w:rPr>
          <w:sz w:val="20"/>
          <w:szCs w:val="20"/>
        </w:rPr>
        <w:t xml:space="preserve">. </w:t>
      </w:r>
      <w:r w:rsidRPr="00CD4CCF">
        <w:rPr>
          <w:sz w:val="20"/>
          <w:szCs w:val="20"/>
        </w:rPr>
        <w:t>As equações bem como os aparelhos capacitivos fornecem dados consistentes ao que foram propostas, mas, para obtenção de dados mais precisos, se torna necessário estudos que determinem a UE real das localidades, de forma não destrutiva e menos onerosa quando comparado a outras metodologias.</w:t>
      </w:r>
    </w:p>
    <w:p w14:paraId="76DEF13F" w14:textId="68DF7E86" w:rsidR="00B1243D" w:rsidRDefault="00CD4CCF" w:rsidP="00CD4CCF">
      <w:pPr>
        <w:widowControl/>
        <w:ind w:firstLine="708"/>
        <w:jc w:val="both"/>
        <w:rPr>
          <w:sz w:val="20"/>
          <w:szCs w:val="20"/>
        </w:rPr>
      </w:pPr>
      <w:r w:rsidRPr="00CD4CCF">
        <w:rPr>
          <w:sz w:val="20"/>
          <w:szCs w:val="20"/>
        </w:rPr>
        <w:t>Desta forma, o estudo teve como objetivo comparar diferentes metodologias de estimativa da Umidade de Equilíbrio em sete esp</w:t>
      </w:r>
      <w:r w:rsidR="007B35AE">
        <w:rPr>
          <w:sz w:val="20"/>
          <w:szCs w:val="20"/>
        </w:rPr>
        <w:t>é</w:t>
      </w:r>
      <w:r w:rsidRPr="00CD4CCF">
        <w:rPr>
          <w:sz w:val="20"/>
          <w:szCs w:val="20"/>
        </w:rPr>
        <w:t>cies comerciais de madeira, utilizando o método gravimétrico como controle, bem como analisar o comportamento da UE destas espécies durante o período de 11 meses.</w:t>
      </w:r>
    </w:p>
    <w:p w14:paraId="1E6ED19F" w14:textId="77777777" w:rsidR="00CD4CCF" w:rsidRDefault="00CD4CCF" w:rsidP="00CD4CCF">
      <w:pPr>
        <w:widowControl/>
        <w:ind w:firstLine="708"/>
        <w:jc w:val="both"/>
        <w:rPr>
          <w:b/>
          <w:sz w:val="20"/>
          <w:szCs w:val="20"/>
        </w:rPr>
      </w:pPr>
    </w:p>
    <w:p w14:paraId="7F29F5D0" w14:textId="6D9A2721" w:rsidR="00B1243D" w:rsidRDefault="00C822B1">
      <w:pPr>
        <w:widowControl/>
        <w:jc w:val="both"/>
        <w:rPr>
          <w:sz w:val="20"/>
          <w:szCs w:val="20"/>
        </w:rPr>
      </w:pPr>
      <w:r>
        <w:rPr>
          <w:b/>
          <w:sz w:val="20"/>
          <w:szCs w:val="20"/>
        </w:rPr>
        <w:t xml:space="preserve">MATERIAL E MÉTODOS </w:t>
      </w:r>
    </w:p>
    <w:p w14:paraId="40328C3F" w14:textId="305DE7AF" w:rsidR="00894A0A" w:rsidRPr="00894A0A" w:rsidRDefault="007B35AE">
      <w:pPr>
        <w:widowControl/>
        <w:ind w:firstLine="708"/>
        <w:jc w:val="both"/>
        <w:rPr>
          <w:bCs/>
          <w:sz w:val="20"/>
          <w:szCs w:val="20"/>
        </w:rPr>
      </w:pPr>
      <w:r>
        <w:rPr>
          <w:bCs/>
          <w:sz w:val="20"/>
          <w:szCs w:val="20"/>
        </w:rPr>
        <w:t>Foram</w:t>
      </w:r>
      <w:r w:rsidR="00894A0A" w:rsidRPr="00894A0A">
        <w:rPr>
          <w:bCs/>
          <w:sz w:val="20"/>
          <w:szCs w:val="20"/>
        </w:rPr>
        <w:t xml:space="preserve"> avaliadas sete espécies de madeiras comercialmente utilizadas em Aracaju, Sergip</w:t>
      </w:r>
      <w:r w:rsidR="00285FC9">
        <w:rPr>
          <w:bCs/>
          <w:sz w:val="20"/>
          <w:szCs w:val="20"/>
        </w:rPr>
        <w:t xml:space="preserve">e, sendo elas: </w:t>
      </w:r>
      <w:r w:rsidR="00285FC9" w:rsidRPr="00285FC9">
        <w:rPr>
          <w:bCs/>
          <w:sz w:val="20"/>
          <w:szCs w:val="20"/>
        </w:rPr>
        <w:t>Angelim-pedra</w:t>
      </w:r>
      <w:r w:rsidR="00285FC9">
        <w:rPr>
          <w:bCs/>
          <w:sz w:val="20"/>
          <w:szCs w:val="20"/>
        </w:rPr>
        <w:t xml:space="preserve"> (</w:t>
      </w:r>
      <w:proofErr w:type="spellStart"/>
      <w:r w:rsidR="00285FC9" w:rsidRPr="00AE497D">
        <w:rPr>
          <w:bCs/>
          <w:i/>
          <w:iCs/>
          <w:sz w:val="20"/>
          <w:szCs w:val="20"/>
        </w:rPr>
        <w:t>Hymenolobium</w:t>
      </w:r>
      <w:proofErr w:type="spellEnd"/>
      <w:r w:rsidR="00285FC9" w:rsidRPr="00AE497D">
        <w:rPr>
          <w:bCs/>
          <w:i/>
          <w:iCs/>
          <w:sz w:val="20"/>
          <w:szCs w:val="20"/>
        </w:rPr>
        <w:t xml:space="preserve"> </w:t>
      </w:r>
      <w:proofErr w:type="spellStart"/>
      <w:r w:rsidR="00285FC9" w:rsidRPr="00AE497D">
        <w:rPr>
          <w:bCs/>
          <w:i/>
          <w:iCs/>
          <w:sz w:val="20"/>
          <w:szCs w:val="20"/>
        </w:rPr>
        <w:t>petraeum</w:t>
      </w:r>
      <w:proofErr w:type="spellEnd"/>
      <w:r w:rsidR="00285FC9" w:rsidRPr="00285FC9">
        <w:rPr>
          <w:bCs/>
          <w:sz w:val="20"/>
          <w:szCs w:val="20"/>
        </w:rPr>
        <w:t xml:space="preserve"> </w:t>
      </w:r>
      <w:proofErr w:type="spellStart"/>
      <w:r w:rsidR="00285FC9" w:rsidRPr="00285FC9">
        <w:rPr>
          <w:bCs/>
          <w:sz w:val="20"/>
          <w:szCs w:val="20"/>
        </w:rPr>
        <w:t>Ducke</w:t>
      </w:r>
      <w:proofErr w:type="spellEnd"/>
      <w:r w:rsidR="00285FC9">
        <w:rPr>
          <w:bCs/>
          <w:sz w:val="20"/>
          <w:szCs w:val="20"/>
        </w:rPr>
        <w:t xml:space="preserve">), </w:t>
      </w:r>
      <w:r w:rsidR="00285FC9" w:rsidRPr="00285FC9">
        <w:rPr>
          <w:bCs/>
          <w:sz w:val="20"/>
          <w:szCs w:val="20"/>
        </w:rPr>
        <w:t>Angico (</w:t>
      </w:r>
      <w:proofErr w:type="spellStart"/>
      <w:r w:rsidR="00285FC9" w:rsidRPr="00AE497D">
        <w:rPr>
          <w:bCs/>
          <w:i/>
          <w:iCs/>
          <w:sz w:val="20"/>
          <w:szCs w:val="20"/>
        </w:rPr>
        <w:t>Anadenanthera</w:t>
      </w:r>
      <w:proofErr w:type="spellEnd"/>
      <w:r w:rsidR="00285FC9" w:rsidRPr="00AE497D">
        <w:rPr>
          <w:bCs/>
          <w:i/>
          <w:iCs/>
          <w:sz w:val="20"/>
          <w:szCs w:val="20"/>
        </w:rPr>
        <w:t xml:space="preserve"> </w:t>
      </w:r>
      <w:proofErr w:type="spellStart"/>
      <w:r w:rsidR="00285FC9" w:rsidRPr="00AE497D">
        <w:rPr>
          <w:bCs/>
          <w:i/>
          <w:iCs/>
          <w:sz w:val="20"/>
          <w:szCs w:val="20"/>
        </w:rPr>
        <w:t>macrocarpa</w:t>
      </w:r>
      <w:proofErr w:type="spellEnd"/>
      <w:r w:rsidR="00285FC9" w:rsidRPr="00285FC9">
        <w:rPr>
          <w:bCs/>
          <w:sz w:val="20"/>
          <w:szCs w:val="20"/>
        </w:rPr>
        <w:t xml:space="preserve"> (</w:t>
      </w:r>
      <w:proofErr w:type="spellStart"/>
      <w:r w:rsidR="00285FC9" w:rsidRPr="00285FC9">
        <w:rPr>
          <w:bCs/>
          <w:sz w:val="20"/>
          <w:szCs w:val="20"/>
        </w:rPr>
        <w:t>Benth</w:t>
      </w:r>
      <w:proofErr w:type="spellEnd"/>
      <w:r w:rsidR="00285FC9" w:rsidRPr="00285FC9">
        <w:rPr>
          <w:bCs/>
          <w:sz w:val="20"/>
          <w:szCs w:val="20"/>
        </w:rPr>
        <w:t xml:space="preserve">.) </w:t>
      </w:r>
      <w:proofErr w:type="spellStart"/>
      <w:r w:rsidR="00285FC9" w:rsidRPr="00285FC9">
        <w:rPr>
          <w:bCs/>
          <w:sz w:val="20"/>
          <w:szCs w:val="20"/>
        </w:rPr>
        <w:t>Brenan</w:t>
      </w:r>
      <w:proofErr w:type="spellEnd"/>
      <w:r w:rsidR="00285FC9">
        <w:rPr>
          <w:bCs/>
          <w:sz w:val="20"/>
          <w:szCs w:val="20"/>
        </w:rPr>
        <w:t xml:space="preserve">), </w:t>
      </w:r>
      <w:r w:rsidR="00285FC9" w:rsidRPr="00285FC9">
        <w:rPr>
          <w:bCs/>
          <w:sz w:val="20"/>
          <w:szCs w:val="20"/>
        </w:rPr>
        <w:t>Ipê (</w:t>
      </w:r>
      <w:r w:rsidR="00285FC9" w:rsidRPr="00AE497D">
        <w:rPr>
          <w:bCs/>
          <w:i/>
          <w:iCs/>
          <w:sz w:val="20"/>
          <w:szCs w:val="20"/>
        </w:rPr>
        <w:t>Tabebuia spp.</w:t>
      </w:r>
      <w:r w:rsidR="00285FC9" w:rsidRPr="00285FC9">
        <w:rPr>
          <w:bCs/>
          <w:sz w:val="20"/>
          <w:szCs w:val="20"/>
        </w:rPr>
        <w:t>)</w:t>
      </w:r>
      <w:r w:rsidR="00285FC9">
        <w:rPr>
          <w:bCs/>
          <w:sz w:val="20"/>
          <w:szCs w:val="20"/>
        </w:rPr>
        <w:t xml:space="preserve">, </w:t>
      </w:r>
      <w:r w:rsidR="00285FC9" w:rsidRPr="00285FC9">
        <w:rPr>
          <w:bCs/>
          <w:sz w:val="20"/>
          <w:szCs w:val="20"/>
        </w:rPr>
        <w:t>Louro (</w:t>
      </w:r>
      <w:proofErr w:type="spellStart"/>
      <w:r w:rsidR="00285FC9" w:rsidRPr="00AE497D">
        <w:rPr>
          <w:bCs/>
          <w:i/>
          <w:iCs/>
          <w:sz w:val="20"/>
          <w:szCs w:val="20"/>
        </w:rPr>
        <w:t>Laurus</w:t>
      </w:r>
      <w:proofErr w:type="spellEnd"/>
      <w:r w:rsidR="00285FC9" w:rsidRPr="00AE497D">
        <w:rPr>
          <w:bCs/>
          <w:i/>
          <w:iCs/>
          <w:sz w:val="20"/>
          <w:szCs w:val="20"/>
        </w:rPr>
        <w:t xml:space="preserve"> </w:t>
      </w:r>
      <w:proofErr w:type="spellStart"/>
      <w:r w:rsidR="00285FC9" w:rsidRPr="00AE497D">
        <w:rPr>
          <w:bCs/>
          <w:i/>
          <w:iCs/>
          <w:sz w:val="20"/>
          <w:szCs w:val="20"/>
        </w:rPr>
        <w:t>nobilis</w:t>
      </w:r>
      <w:proofErr w:type="spellEnd"/>
      <w:r w:rsidR="00285FC9" w:rsidRPr="00285FC9">
        <w:rPr>
          <w:bCs/>
          <w:sz w:val="20"/>
          <w:szCs w:val="20"/>
        </w:rPr>
        <w:t xml:space="preserve"> L)</w:t>
      </w:r>
      <w:r w:rsidR="00285FC9">
        <w:rPr>
          <w:bCs/>
          <w:sz w:val="20"/>
          <w:szCs w:val="20"/>
        </w:rPr>
        <w:t>,</w:t>
      </w:r>
      <w:r w:rsidR="00AE497D">
        <w:rPr>
          <w:bCs/>
          <w:sz w:val="20"/>
          <w:szCs w:val="20"/>
        </w:rPr>
        <w:t xml:space="preserve"> </w:t>
      </w:r>
      <w:proofErr w:type="spellStart"/>
      <w:r w:rsidR="00AE497D" w:rsidRPr="00AE497D">
        <w:rPr>
          <w:bCs/>
          <w:sz w:val="20"/>
          <w:szCs w:val="20"/>
        </w:rPr>
        <w:t>Ma</w:t>
      </w:r>
      <w:r w:rsidR="00AE497D">
        <w:rPr>
          <w:bCs/>
          <w:sz w:val="20"/>
          <w:szCs w:val="20"/>
        </w:rPr>
        <w:t>ssmaça</w:t>
      </w:r>
      <w:r w:rsidR="00AE497D" w:rsidRPr="00AE497D">
        <w:rPr>
          <w:bCs/>
          <w:sz w:val="20"/>
          <w:szCs w:val="20"/>
        </w:rPr>
        <w:t>aranduba</w:t>
      </w:r>
      <w:proofErr w:type="spellEnd"/>
      <w:r w:rsidR="00AE497D" w:rsidRPr="00AE497D">
        <w:rPr>
          <w:bCs/>
          <w:sz w:val="20"/>
          <w:szCs w:val="20"/>
        </w:rPr>
        <w:t xml:space="preserve"> (</w:t>
      </w:r>
      <w:proofErr w:type="spellStart"/>
      <w:r w:rsidR="00AE497D" w:rsidRPr="00AE497D">
        <w:rPr>
          <w:bCs/>
          <w:i/>
          <w:iCs/>
          <w:sz w:val="20"/>
          <w:szCs w:val="20"/>
        </w:rPr>
        <w:t>Manilkara</w:t>
      </w:r>
      <w:proofErr w:type="spellEnd"/>
      <w:r w:rsidR="00AE497D" w:rsidRPr="00AE497D">
        <w:rPr>
          <w:bCs/>
          <w:i/>
          <w:iCs/>
          <w:sz w:val="20"/>
          <w:szCs w:val="20"/>
        </w:rPr>
        <w:t xml:space="preserve"> spp.</w:t>
      </w:r>
      <w:r w:rsidR="00AE497D" w:rsidRPr="00AE497D">
        <w:rPr>
          <w:bCs/>
          <w:sz w:val="20"/>
          <w:szCs w:val="20"/>
        </w:rPr>
        <w:t>)</w:t>
      </w:r>
      <w:r w:rsidR="00AE497D">
        <w:rPr>
          <w:bCs/>
          <w:sz w:val="20"/>
          <w:szCs w:val="20"/>
        </w:rPr>
        <w:t xml:space="preserve">, </w:t>
      </w:r>
      <w:proofErr w:type="spellStart"/>
      <w:r w:rsidR="00AE497D" w:rsidRPr="00AE497D">
        <w:rPr>
          <w:bCs/>
          <w:sz w:val="20"/>
          <w:szCs w:val="20"/>
        </w:rPr>
        <w:t>Muiracatiara</w:t>
      </w:r>
      <w:proofErr w:type="spellEnd"/>
      <w:r w:rsidR="00AE497D" w:rsidRPr="00AE497D">
        <w:rPr>
          <w:bCs/>
          <w:sz w:val="20"/>
          <w:szCs w:val="20"/>
        </w:rPr>
        <w:t xml:space="preserve"> (</w:t>
      </w:r>
      <w:proofErr w:type="spellStart"/>
      <w:r w:rsidR="00AE497D" w:rsidRPr="00AE497D">
        <w:rPr>
          <w:bCs/>
          <w:i/>
          <w:iCs/>
          <w:sz w:val="20"/>
          <w:szCs w:val="20"/>
        </w:rPr>
        <w:t>Astronium</w:t>
      </w:r>
      <w:proofErr w:type="spellEnd"/>
      <w:r w:rsidR="00AE497D" w:rsidRPr="00AE497D">
        <w:rPr>
          <w:bCs/>
          <w:i/>
          <w:iCs/>
          <w:sz w:val="20"/>
          <w:szCs w:val="20"/>
        </w:rPr>
        <w:t xml:space="preserve"> </w:t>
      </w:r>
      <w:proofErr w:type="spellStart"/>
      <w:r w:rsidR="00AE497D" w:rsidRPr="00AE497D">
        <w:rPr>
          <w:bCs/>
          <w:i/>
          <w:iCs/>
          <w:sz w:val="20"/>
          <w:szCs w:val="20"/>
        </w:rPr>
        <w:t>lecointei</w:t>
      </w:r>
      <w:proofErr w:type="spellEnd"/>
      <w:r w:rsidR="00AE497D" w:rsidRPr="00AE497D">
        <w:rPr>
          <w:bCs/>
          <w:sz w:val="20"/>
          <w:szCs w:val="20"/>
        </w:rPr>
        <w:t>)</w:t>
      </w:r>
      <w:r w:rsidR="00AE497D">
        <w:rPr>
          <w:bCs/>
          <w:sz w:val="20"/>
          <w:szCs w:val="20"/>
        </w:rPr>
        <w:t xml:space="preserve"> e </w:t>
      </w:r>
      <w:r w:rsidR="00AE497D" w:rsidRPr="00AE497D">
        <w:rPr>
          <w:bCs/>
          <w:sz w:val="20"/>
          <w:szCs w:val="20"/>
        </w:rPr>
        <w:t>Sucupira (</w:t>
      </w:r>
      <w:proofErr w:type="spellStart"/>
      <w:r w:rsidR="00AE497D" w:rsidRPr="00AE497D">
        <w:rPr>
          <w:bCs/>
          <w:i/>
          <w:iCs/>
          <w:sz w:val="20"/>
          <w:szCs w:val="20"/>
        </w:rPr>
        <w:t>Pterodons</w:t>
      </w:r>
      <w:proofErr w:type="spellEnd"/>
      <w:r w:rsidR="00AE497D" w:rsidRPr="00AE497D">
        <w:rPr>
          <w:bCs/>
          <w:i/>
          <w:iCs/>
          <w:sz w:val="20"/>
          <w:szCs w:val="20"/>
        </w:rPr>
        <w:t xml:space="preserve"> </w:t>
      </w:r>
      <w:proofErr w:type="spellStart"/>
      <w:r w:rsidR="00AE497D" w:rsidRPr="00AE497D">
        <w:rPr>
          <w:bCs/>
          <w:i/>
          <w:iCs/>
          <w:sz w:val="20"/>
          <w:szCs w:val="20"/>
        </w:rPr>
        <w:t>pubescens</w:t>
      </w:r>
      <w:proofErr w:type="spellEnd"/>
      <w:r w:rsidR="00AE497D" w:rsidRPr="00AE497D">
        <w:rPr>
          <w:bCs/>
          <w:i/>
          <w:iCs/>
          <w:sz w:val="20"/>
          <w:szCs w:val="20"/>
        </w:rPr>
        <w:t xml:space="preserve"> </w:t>
      </w:r>
      <w:proofErr w:type="spellStart"/>
      <w:r w:rsidR="00AE497D" w:rsidRPr="00AE497D">
        <w:rPr>
          <w:bCs/>
          <w:sz w:val="20"/>
          <w:szCs w:val="20"/>
        </w:rPr>
        <w:t>Benth</w:t>
      </w:r>
      <w:proofErr w:type="spellEnd"/>
      <w:r w:rsidR="00AE497D" w:rsidRPr="00AE497D">
        <w:rPr>
          <w:bCs/>
          <w:sz w:val="20"/>
          <w:szCs w:val="20"/>
        </w:rPr>
        <w:t>)</w:t>
      </w:r>
      <w:r w:rsidR="00AE497D">
        <w:rPr>
          <w:bCs/>
          <w:sz w:val="20"/>
          <w:szCs w:val="20"/>
        </w:rPr>
        <w:t>,</w:t>
      </w:r>
      <w:r w:rsidR="00894A0A" w:rsidRPr="00894A0A">
        <w:rPr>
          <w:bCs/>
          <w:sz w:val="20"/>
          <w:szCs w:val="20"/>
        </w:rPr>
        <w:t xml:space="preserve"> </w:t>
      </w:r>
      <w:r w:rsidR="00AE497D">
        <w:rPr>
          <w:bCs/>
          <w:sz w:val="20"/>
          <w:szCs w:val="20"/>
        </w:rPr>
        <w:t>sendo</w:t>
      </w:r>
      <w:r w:rsidR="00894A0A" w:rsidRPr="00894A0A">
        <w:rPr>
          <w:bCs/>
          <w:sz w:val="20"/>
          <w:szCs w:val="20"/>
        </w:rPr>
        <w:t xml:space="preserve"> cinco repetições em seis tratamentos, sendo dois aparelhos capacitivos do mesmo modelo (TCS-75-1 </w:t>
      </w:r>
      <w:r>
        <w:rPr>
          <w:bCs/>
          <w:sz w:val="20"/>
          <w:szCs w:val="20"/>
        </w:rPr>
        <w:t>e</w:t>
      </w:r>
      <w:r w:rsidR="00894A0A" w:rsidRPr="00894A0A">
        <w:rPr>
          <w:bCs/>
          <w:sz w:val="20"/>
          <w:szCs w:val="20"/>
        </w:rPr>
        <w:t xml:space="preserve"> 2), a fórmula desenvolvida por BET, as fórmulas desenvolvidas por </w:t>
      </w:r>
      <w:proofErr w:type="spellStart"/>
      <w:r w:rsidR="00894A0A" w:rsidRPr="00894A0A">
        <w:rPr>
          <w:bCs/>
          <w:sz w:val="20"/>
          <w:szCs w:val="20"/>
        </w:rPr>
        <w:t>Hailwood</w:t>
      </w:r>
      <w:proofErr w:type="spellEnd"/>
      <w:r w:rsidR="00894A0A" w:rsidRPr="00894A0A">
        <w:rPr>
          <w:bCs/>
          <w:sz w:val="20"/>
          <w:szCs w:val="20"/>
        </w:rPr>
        <w:t xml:space="preserve"> e </w:t>
      </w:r>
      <w:proofErr w:type="spellStart"/>
      <w:r w:rsidR="00894A0A" w:rsidRPr="00894A0A">
        <w:rPr>
          <w:bCs/>
          <w:sz w:val="20"/>
          <w:szCs w:val="20"/>
        </w:rPr>
        <w:t>Horrobin</w:t>
      </w:r>
      <w:proofErr w:type="spellEnd"/>
      <w:r w:rsidR="00894A0A" w:rsidRPr="00894A0A">
        <w:rPr>
          <w:bCs/>
          <w:sz w:val="20"/>
          <w:szCs w:val="20"/>
        </w:rPr>
        <w:t xml:space="preserve"> 1 e 2 hidratos, respectivamente, e o método gravimétrico (controle).</w:t>
      </w:r>
    </w:p>
    <w:p w14:paraId="7AE2BF47" w14:textId="47E8F450" w:rsidR="00830A1A" w:rsidRPr="00830A1A" w:rsidRDefault="00830A1A" w:rsidP="00830A1A">
      <w:pPr>
        <w:widowControl/>
        <w:ind w:firstLine="708"/>
        <w:jc w:val="both"/>
        <w:rPr>
          <w:sz w:val="20"/>
          <w:szCs w:val="20"/>
        </w:rPr>
      </w:pPr>
      <w:r w:rsidRPr="00830A1A">
        <w:rPr>
          <w:sz w:val="20"/>
          <w:szCs w:val="20"/>
        </w:rPr>
        <w:t xml:space="preserve">Os valores de umidade da madeira </w:t>
      </w:r>
      <w:r w:rsidR="007B35AE">
        <w:rPr>
          <w:sz w:val="20"/>
          <w:szCs w:val="20"/>
        </w:rPr>
        <w:t>foram</w:t>
      </w:r>
      <w:r w:rsidRPr="00830A1A">
        <w:rPr>
          <w:sz w:val="20"/>
          <w:szCs w:val="20"/>
        </w:rPr>
        <w:t xml:space="preserve"> estimados com o uso de dois medidores capacitivos modelo TCS-75, com medições semanais das amostras, obtendo assim a umidade de equilíbrio (UE) estimada, e uma balança para a obtenção do peso da madeira, considerando a umidade na qual ela se encontra no momento da pesagem, por um período de 11 meses. O TCS-75 foi utilizado considerando o sentido longitudinal das fibras nas amostras.</w:t>
      </w:r>
    </w:p>
    <w:p w14:paraId="41206E4F" w14:textId="67D11202" w:rsidR="00B1243D" w:rsidRDefault="00830A1A" w:rsidP="00830A1A">
      <w:pPr>
        <w:widowControl/>
        <w:ind w:firstLine="708"/>
        <w:jc w:val="both"/>
        <w:rPr>
          <w:sz w:val="20"/>
          <w:szCs w:val="20"/>
        </w:rPr>
      </w:pPr>
      <w:r w:rsidRPr="00830A1A">
        <w:rPr>
          <w:sz w:val="20"/>
          <w:szCs w:val="20"/>
        </w:rPr>
        <w:t>Após esse período as amostras foram colocadas em estufa de circulação de ar mecânica com temperatura de 103±2 ºC até peso constante para determinação dos seus pesos e teores de umidade e, conforme a Equação 1, para a obtenção da umidade real das amostras estudadas durante o período de medição.</w:t>
      </w:r>
    </w:p>
    <w:p w14:paraId="16E79D83" w14:textId="0C78B13A" w:rsidR="00392FCA" w:rsidRPr="00392FCA" w:rsidRDefault="00392FCA" w:rsidP="00392FCA">
      <w:pPr>
        <w:pStyle w:val="PargrafodaLista"/>
        <w:widowControl/>
        <w:numPr>
          <w:ilvl w:val="0"/>
          <w:numId w:val="8"/>
        </w:numPr>
        <w:jc w:val="both"/>
        <w:rPr>
          <w:sz w:val="20"/>
          <w:szCs w:val="20"/>
        </w:rPr>
      </w:pPr>
      <w:r w:rsidRPr="00392FCA">
        <w:rPr>
          <w:sz w:val="20"/>
          <w:szCs w:val="20"/>
        </w:rPr>
        <w:t>Método gravimétrico</w:t>
      </w:r>
      <w:r>
        <w:rPr>
          <w:sz w:val="20"/>
          <w:szCs w:val="20"/>
        </w:rPr>
        <w:t xml:space="preserve"> (Equação 1)</w:t>
      </w:r>
    </w:p>
    <w:p w14:paraId="2A7E0041" w14:textId="2E30F3E0" w:rsidR="00392FCA" w:rsidRPr="00392FCA" w:rsidRDefault="00830A1A" w:rsidP="004B0E2E">
      <w:pPr>
        <w:rPr>
          <w:sz w:val="18"/>
          <w:szCs w:val="20"/>
        </w:rPr>
      </w:pPr>
      <m:oMathPara>
        <m:oMath>
          <m:r>
            <w:rPr>
              <w:rFonts w:ascii="Cambria Math" w:eastAsia="Cambria Math" w:hAnsi="Cambria Math"/>
              <w:sz w:val="18"/>
              <w:szCs w:val="20"/>
            </w:rPr>
            <m:t>TU=</m:t>
          </m:r>
          <m:f>
            <m:fPr>
              <m:ctrlPr>
                <w:rPr>
                  <w:rFonts w:ascii="Cambria Math" w:eastAsia="Cambria Math" w:hAnsi="Cambria Math"/>
                  <w:sz w:val="18"/>
                  <w:szCs w:val="20"/>
                </w:rPr>
              </m:ctrlPr>
            </m:fPr>
            <m:num>
              <m:r>
                <w:rPr>
                  <w:rFonts w:ascii="Cambria Math" w:eastAsia="Cambria Math" w:hAnsi="Cambria Math"/>
                  <w:sz w:val="18"/>
                  <w:szCs w:val="20"/>
                </w:rPr>
                <m:t>MU-MS</m:t>
              </m:r>
            </m:num>
            <m:den>
              <m:r>
                <w:rPr>
                  <w:rFonts w:ascii="Cambria Math" w:eastAsia="Cambria Math" w:hAnsi="Cambria Math"/>
                  <w:sz w:val="18"/>
                  <w:szCs w:val="20"/>
                </w:rPr>
                <m:t>MS</m:t>
              </m:r>
            </m:den>
          </m:f>
          <m:r>
            <w:rPr>
              <w:rFonts w:ascii="Cambria Math" w:eastAsia="Cambria Math" w:hAnsi="Cambria Math"/>
              <w:sz w:val="18"/>
              <w:szCs w:val="20"/>
            </w:rPr>
            <m:t xml:space="preserve"> .100</m:t>
          </m:r>
        </m:oMath>
      </m:oMathPara>
    </w:p>
    <w:p w14:paraId="767057A7" w14:textId="025F2B06" w:rsidR="00507FA3" w:rsidRDefault="00C822B1">
      <w:pPr>
        <w:widowControl/>
        <w:jc w:val="both"/>
        <w:rPr>
          <w:sz w:val="20"/>
          <w:szCs w:val="20"/>
        </w:rPr>
      </w:pPr>
      <w:r w:rsidRPr="00392FCA">
        <w:rPr>
          <w:sz w:val="20"/>
          <w:szCs w:val="20"/>
        </w:rPr>
        <w:t xml:space="preserve">em que: </w:t>
      </w:r>
      <w:proofErr w:type="gramStart"/>
      <w:r w:rsidR="00392FCA">
        <w:rPr>
          <w:sz w:val="20"/>
          <w:szCs w:val="20"/>
        </w:rPr>
        <w:t>TU</w:t>
      </w:r>
      <w:r w:rsidRPr="00392FCA">
        <w:rPr>
          <w:sz w:val="20"/>
          <w:szCs w:val="20"/>
        </w:rPr>
        <w:t xml:space="preserve"> </w:t>
      </w:r>
      <w:r w:rsidR="00392FCA">
        <w:rPr>
          <w:sz w:val="20"/>
          <w:szCs w:val="20"/>
        </w:rPr>
        <w:t>é</w:t>
      </w:r>
      <w:proofErr w:type="gramEnd"/>
      <w:r w:rsidR="00392FCA">
        <w:rPr>
          <w:sz w:val="20"/>
          <w:szCs w:val="20"/>
        </w:rPr>
        <w:t xml:space="preserve"> o Teor de Umidade (%), MU é a massa úmida (g) e MS é a massa seca (g)</w:t>
      </w:r>
      <w:r w:rsidR="007B35AE">
        <w:rPr>
          <w:sz w:val="20"/>
          <w:szCs w:val="20"/>
        </w:rPr>
        <w:t>.</w:t>
      </w:r>
    </w:p>
    <w:p w14:paraId="46BA9DDB" w14:textId="0FF73B98" w:rsidR="00392FCA" w:rsidRDefault="00507FA3" w:rsidP="004B0E2E">
      <w:pPr>
        <w:widowControl/>
        <w:ind w:firstLine="709"/>
        <w:jc w:val="both"/>
        <w:rPr>
          <w:sz w:val="20"/>
          <w:szCs w:val="20"/>
        </w:rPr>
      </w:pPr>
      <w:r w:rsidRPr="00507FA3">
        <w:rPr>
          <w:sz w:val="20"/>
          <w:szCs w:val="20"/>
        </w:rPr>
        <w:t xml:space="preserve">As equações 2 e 3 referem-se a metodologia de medição de umidade, conforme modelos de </w:t>
      </w:r>
      <w:proofErr w:type="spellStart"/>
      <w:r w:rsidRPr="00507FA3">
        <w:rPr>
          <w:sz w:val="20"/>
          <w:szCs w:val="20"/>
        </w:rPr>
        <w:t>Hailwood</w:t>
      </w:r>
      <w:proofErr w:type="spellEnd"/>
      <w:r w:rsidRPr="00507FA3">
        <w:rPr>
          <w:sz w:val="20"/>
          <w:szCs w:val="20"/>
        </w:rPr>
        <w:t xml:space="preserve"> e </w:t>
      </w:r>
      <w:proofErr w:type="spellStart"/>
      <w:r w:rsidRPr="00507FA3">
        <w:rPr>
          <w:sz w:val="20"/>
          <w:szCs w:val="20"/>
        </w:rPr>
        <w:t>Horrobin</w:t>
      </w:r>
      <w:proofErr w:type="spellEnd"/>
      <w:r w:rsidRPr="00507FA3">
        <w:rPr>
          <w:sz w:val="20"/>
          <w:szCs w:val="20"/>
        </w:rPr>
        <w:t xml:space="preserve"> 1 e 2 hidratos, respectivamente.</w:t>
      </w:r>
    </w:p>
    <w:p w14:paraId="6904DA55" w14:textId="68393498" w:rsidR="00392FCA" w:rsidRPr="004B0E2E" w:rsidRDefault="00392FCA" w:rsidP="004B0E2E">
      <w:pPr>
        <w:pStyle w:val="PargrafodaLista"/>
        <w:numPr>
          <w:ilvl w:val="0"/>
          <w:numId w:val="8"/>
        </w:numPr>
        <w:rPr>
          <w:sz w:val="20"/>
          <w:szCs w:val="20"/>
        </w:rPr>
      </w:pPr>
      <w:r w:rsidRPr="00392FCA">
        <w:rPr>
          <w:sz w:val="20"/>
          <w:szCs w:val="20"/>
        </w:rPr>
        <w:t xml:space="preserve">Estimativa de umidade segundo modelo de </w:t>
      </w:r>
      <w:proofErr w:type="spellStart"/>
      <w:r w:rsidRPr="00392FCA">
        <w:rPr>
          <w:sz w:val="20"/>
          <w:szCs w:val="20"/>
        </w:rPr>
        <w:t>Hailwood</w:t>
      </w:r>
      <w:proofErr w:type="spellEnd"/>
      <w:r w:rsidRPr="00392FCA">
        <w:rPr>
          <w:sz w:val="20"/>
          <w:szCs w:val="20"/>
        </w:rPr>
        <w:t xml:space="preserve"> e </w:t>
      </w:r>
      <w:proofErr w:type="spellStart"/>
      <w:r w:rsidRPr="00392FCA">
        <w:rPr>
          <w:sz w:val="20"/>
          <w:szCs w:val="20"/>
        </w:rPr>
        <w:t>Horrobin</w:t>
      </w:r>
      <w:proofErr w:type="spellEnd"/>
      <w:r w:rsidRPr="00392FCA">
        <w:rPr>
          <w:sz w:val="20"/>
          <w:szCs w:val="20"/>
        </w:rPr>
        <w:t xml:space="preserve"> de 1 hidrato </w:t>
      </w:r>
      <w:r>
        <w:rPr>
          <w:sz w:val="20"/>
          <w:szCs w:val="20"/>
        </w:rPr>
        <w:t>(Equação 2)</w:t>
      </w:r>
    </w:p>
    <w:p w14:paraId="221F697A" w14:textId="201C87F7" w:rsidR="004B0E2E" w:rsidRDefault="00392FCA" w:rsidP="00B84A5D">
      <w:pPr>
        <w:widowControl/>
        <w:jc w:val="center"/>
        <w:rPr>
          <w:rFonts w:ascii="Arial" w:hAnsi="Arial" w:cs="Arial"/>
          <w:sz w:val="20"/>
        </w:rPr>
      </w:pPr>
      <w:r w:rsidRPr="00392FCA">
        <w:rPr>
          <w:rFonts w:ascii="Cambria Math" w:hAnsi="Cambria Math" w:cs="Arial"/>
          <w:sz w:val="18"/>
          <w:szCs w:val="18"/>
        </w:rPr>
        <w:t>UE=</w:t>
      </w:r>
      <w:r w:rsidRPr="00F43880">
        <w:rPr>
          <w:rFonts w:ascii="Arial" w:hAnsi="Arial" w:cs="Arial"/>
          <w:szCs w:val="24"/>
        </w:rPr>
        <w:t xml:space="preserve"> </w:t>
      </w:r>
      <m:oMath>
        <m:r>
          <w:rPr>
            <w:rFonts w:ascii="Cambria Math" w:eastAsia="Cambria Math" w:hAnsi="Cambria Math" w:cs="Arial"/>
            <w:sz w:val="20"/>
          </w:rPr>
          <m:t>[</m:t>
        </m:r>
        <m:f>
          <m:fPr>
            <m:ctrlPr>
              <w:rPr>
                <w:rFonts w:ascii="Cambria Math" w:eastAsia="Cambria Math" w:hAnsi="Cambria Math" w:cs="Arial"/>
                <w:sz w:val="20"/>
              </w:rPr>
            </m:ctrlPr>
          </m:fPr>
          <m:num>
            <m:r>
              <w:rPr>
                <w:rFonts w:ascii="Cambria Math" w:eastAsia="Cambria Math" w:hAnsi="Cambria Math" w:cs="Arial"/>
                <w:sz w:val="20"/>
              </w:rPr>
              <m:t>K1 .K2 .H</m:t>
            </m:r>
          </m:num>
          <m:den>
            <m:r>
              <w:rPr>
                <w:rFonts w:ascii="Cambria Math" w:eastAsia="Cambria Math" w:hAnsi="Cambria Math" w:cs="Arial"/>
                <w:sz w:val="20"/>
              </w:rPr>
              <m:t>1+K1 .K2 .H</m:t>
            </m:r>
          </m:den>
        </m:f>
        <m:r>
          <w:rPr>
            <w:rFonts w:ascii="Cambria Math" w:eastAsia="Cambria Math" w:hAnsi="Cambria Math" w:cs="Arial"/>
            <w:sz w:val="20"/>
          </w:rPr>
          <m:t xml:space="preserve">+ </m:t>
        </m:r>
        <m:f>
          <m:fPr>
            <m:ctrlPr>
              <w:rPr>
                <w:rFonts w:ascii="Cambria Math" w:eastAsia="Cambria Math" w:hAnsi="Cambria Math" w:cs="Arial"/>
                <w:sz w:val="20"/>
              </w:rPr>
            </m:ctrlPr>
          </m:fPr>
          <m:num>
            <m:r>
              <w:rPr>
                <w:rFonts w:ascii="Cambria Math" w:eastAsia="Cambria Math" w:hAnsi="Cambria Math" w:cs="Arial"/>
                <w:sz w:val="20"/>
              </w:rPr>
              <m:t>K2 .H</m:t>
            </m:r>
          </m:num>
          <m:den>
            <m:r>
              <w:rPr>
                <w:rFonts w:ascii="Cambria Math" w:eastAsia="Cambria Math" w:hAnsi="Cambria Math" w:cs="Arial"/>
                <w:sz w:val="20"/>
              </w:rPr>
              <m:t xml:space="preserve">1-K2.H </m:t>
            </m:r>
          </m:den>
        </m:f>
        <m:r>
          <w:rPr>
            <w:rFonts w:ascii="Cambria Math" w:eastAsia="Cambria Math" w:hAnsi="Cambria Math" w:cs="Arial"/>
            <w:sz w:val="20"/>
          </w:rPr>
          <m:t xml:space="preserve">] </m:t>
        </m:r>
        <m:f>
          <m:fPr>
            <m:ctrlPr>
              <w:rPr>
                <w:rFonts w:ascii="Cambria Math" w:eastAsia="Cambria Math" w:hAnsi="Cambria Math" w:cs="Arial"/>
                <w:sz w:val="20"/>
              </w:rPr>
            </m:ctrlPr>
          </m:fPr>
          <m:num>
            <m:r>
              <w:rPr>
                <w:rFonts w:ascii="Cambria Math" w:eastAsia="Cambria Math" w:hAnsi="Cambria Math" w:cs="Arial"/>
                <w:sz w:val="20"/>
              </w:rPr>
              <m:t>1800</m:t>
            </m:r>
          </m:num>
          <m:den>
            <m:r>
              <w:rPr>
                <w:rFonts w:ascii="Cambria Math" w:eastAsia="Cambria Math" w:hAnsi="Cambria Math" w:cs="Arial"/>
                <w:sz w:val="20"/>
              </w:rPr>
              <m:t>W</m:t>
            </m:r>
          </m:den>
        </m:f>
      </m:oMath>
    </w:p>
    <w:p w14:paraId="72AE41EE" w14:textId="2A1E44C3" w:rsidR="00507FA3" w:rsidRDefault="00507FA3" w:rsidP="004B0E2E">
      <w:pPr>
        <w:widowControl/>
        <w:jc w:val="both"/>
        <w:rPr>
          <w:sz w:val="20"/>
          <w:szCs w:val="20"/>
        </w:rPr>
      </w:pPr>
      <w:r w:rsidRPr="00392FCA">
        <w:rPr>
          <w:sz w:val="20"/>
          <w:szCs w:val="20"/>
        </w:rPr>
        <w:t xml:space="preserve">em que: </w:t>
      </w:r>
      <w:r w:rsidRPr="00507FA3">
        <w:rPr>
          <w:sz w:val="20"/>
          <w:szCs w:val="20"/>
        </w:rPr>
        <w:t xml:space="preserve">UE </w:t>
      </w:r>
      <w:r>
        <w:rPr>
          <w:sz w:val="20"/>
          <w:szCs w:val="20"/>
        </w:rPr>
        <w:t>é</w:t>
      </w:r>
      <w:r w:rsidRPr="00507FA3">
        <w:rPr>
          <w:sz w:val="20"/>
          <w:szCs w:val="20"/>
        </w:rPr>
        <w:t xml:space="preserve"> </w:t>
      </w:r>
      <w:r>
        <w:rPr>
          <w:sz w:val="20"/>
          <w:szCs w:val="20"/>
        </w:rPr>
        <w:t xml:space="preserve">a </w:t>
      </w:r>
      <w:r w:rsidRPr="00507FA3">
        <w:rPr>
          <w:sz w:val="20"/>
          <w:szCs w:val="20"/>
        </w:rPr>
        <w:t>umidade de equilíbrio da madeira</w:t>
      </w:r>
      <w:r w:rsidR="00E110AB">
        <w:rPr>
          <w:sz w:val="20"/>
          <w:szCs w:val="20"/>
        </w:rPr>
        <w:t>,</w:t>
      </w:r>
      <w:r w:rsidRPr="00507FA3">
        <w:rPr>
          <w:sz w:val="20"/>
          <w:szCs w:val="20"/>
        </w:rPr>
        <w:t xml:space="preserve"> </w:t>
      </w:r>
      <w:r w:rsidR="00882452" w:rsidRPr="00507FA3">
        <w:rPr>
          <w:sz w:val="20"/>
          <w:szCs w:val="20"/>
        </w:rPr>
        <w:t>K1 = 3,730 + 0,03642 T – 0,000154 T²</w:t>
      </w:r>
      <w:r w:rsidR="00882452">
        <w:rPr>
          <w:sz w:val="20"/>
          <w:szCs w:val="20"/>
        </w:rPr>
        <w:t>,</w:t>
      </w:r>
      <w:r w:rsidR="00E110AB">
        <w:rPr>
          <w:sz w:val="20"/>
          <w:szCs w:val="20"/>
        </w:rPr>
        <w:t xml:space="preserve"> </w:t>
      </w:r>
      <w:r w:rsidR="00882452" w:rsidRPr="00507FA3">
        <w:rPr>
          <w:sz w:val="20"/>
          <w:szCs w:val="20"/>
        </w:rPr>
        <w:t>K2 = 0,6740 + 0,001053 T – 0,000001714 T²</w:t>
      </w:r>
      <w:r>
        <w:rPr>
          <w:sz w:val="20"/>
          <w:szCs w:val="20"/>
        </w:rPr>
        <w:t xml:space="preserve">, </w:t>
      </w:r>
      <w:r w:rsidRPr="00507FA3">
        <w:rPr>
          <w:sz w:val="20"/>
          <w:szCs w:val="20"/>
        </w:rPr>
        <w:t>W = 216,9 + 0,01961 T + 0,005720 T²</w:t>
      </w:r>
      <w:r>
        <w:rPr>
          <w:sz w:val="20"/>
          <w:szCs w:val="20"/>
        </w:rPr>
        <w:t xml:space="preserve">, </w:t>
      </w:r>
      <w:r w:rsidRPr="00507FA3">
        <w:rPr>
          <w:sz w:val="20"/>
          <w:szCs w:val="20"/>
        </w:rPr>
        <w:t xml:space="preserve">T </w:t>
      </w:r>
      <w:r>
        <w:rPr>
          <w:sz w:val="20"/>
          <w:szCs w:val="20"/>
        </w:rPr>
        <w:t xml:space="preserve">é a </w:t>
      </w:r>
      <w:r w:rsidRPr="00507FA3">
        <w:rPr>
          <w:sz w:val="20"/>
          <w:szCs w:val="20"/>
        </w:rPr>
        <w:t>temperatura em graus Fahrenheit</w:t>
      </w:r>
      <w:r>
        <w:rPr>
          <w:sz w:val="20"/>
          <w:szCs w:val="20"/>
        </w:rPr>
        <w:t xml:space="preserve"> (</w:t>
      </w:r>
      <w:proofErr w:type="spellStart"/>
      <w:r>
        <w:rPr>
          <w:sz w:val="20"/>
          <w:szCs w:val="20"/>
        </w:rPr>
        <w:t>°F</w:t>
      </w:r>
      <w:proofErr w:type="spellEnd"/>
      <w:r>
        <w:rPr>
          <w:sz w:val="20"/>
          <w:szCs w:val="20"/>
        </w:rPr>
        <w:t>)</w:t>
      </w:r>
      <w:r w:rsidR="00882452">
        <w:rPr>
          <w:sz w:val="20"/>
          <w:szCs w:val="20"/>
        </w:rPr>
        <w:t>,</w:t>
      </w:r>
      <w:r w:rsidR="00E110AB">
        <w:rPr>
          <w:sz w:val="20"/>
          <w:szCs w:val="20"/>
        </w:rPr>
        <w:t xml:space="preserve"> e</w:t>
      </w:r>
      <w:r w:rsidRPr="00507FA3">
        <w:rPr>
          <w:sz w:val="20"/>
          <w:szCs w:val="20"/>
        </w:rPr>
        <w:t xml:space="preserve"> H </w:t>
      </w:r>
      <w:r>
        <w:rPr>
          <w:sz w:val="20"/>
          <w:szCs w:val="20"/>
        </w:rPr>
        <w:t xml:space="preserve">é a </w:t>
      </w:r>
      <w:r w:rsidRPr="00507FA3">
        <w:rPr>
          <w:sz w:val="20"/>
          <w:szCs w:val="20"/>
        </w:rPr>
        <w:t>pressão relativa de vapor d’água</w:t>
      </w:r>
      <w:r>
        <w:rPr>
          <w:sz w:val="20"/>
          <w:szCs w:val="20"/>
        </w:rPr>
        <w:t>.</w:t>
      </w:r>
    </w:p>
    <w:p w14:paraId="588C76A8" w14:textId="20952D48" w:rsidR="00507FA3" w:rsidRPr="004B0E2E" w:rsidRDefault="00507FA3" w:rsidP="004B0E2E">
      <w:pPr>
        <w:pStyle w:val="PargrafodaLista"/>
        <w:numPr>
          <w:ilvl w:val="0"/>
          <w:numId w:val="8"/>
        </w:numPr>
        <w:rPr>
          <w:sz w:val="20"/>
          <w:szCs w:val="20"/>
        </w:rPr>
      </w:pPr>
      <w:r w:rsidRPr="00507FA3">
        <w:rPr>
          <w:sz w:val="20"/>
          <w:szCs w:val="20"/>
        </w:rPr>
        <w:t xml:space="preserve">Estimativa de umidade segundo modelo de </w:t>
      </w:r>
      <w:proofErr w:type="spellStart"/>
      <w:r w:rsidRPr="00507FA3">
        <w:rPr>
          <w:sz w:val="20"/>
          <w:szCs w:val="20"/>
        </w:rPr>
        <w:t>Hailwood</w:t>
      </w:r>
      <w:proofErr w:type="spellEnd"/>
      <w:r w:rsidRPr="00507FA3">
        <w:rPr>
          <w:sz w:val="20"/>
          <w:szCs w:val="20"/>
        </w:rPr>
        <w:t xml:space="preserve"> e </w:t>
      </w:r>
      <w:proofErr w:type="spellStart"/>
      <w:r w:rsidRPr="00507FA3">
        <w:rPr>
          <w:sz w:val="20"/>
          <w:szCs w:val="20"/>
        </w:rPr>
        <w:t>Horrobin</w:t>
      </w:r>
      <w:proofErr w:type="spellEnd"/>
      <w:r w:rsidRPr="00507FA3">
        <w:rPr>
          <w:sz w:val="20"/>
          <w:szCs w:val="20"/>
        </w:rPr>
        <w:t xml:space="preserve"> de 2 hidratos (Equação 3)</w:t>
      </w:r>
    </w:p>
    <w:p w14:paraId="32FF1DED" w14:textId="1780B140" w:rsidR="00830A1A" w:rsidRPr="004B0E2E" w:rsidRDefault="00507FA3" w:rsidP="004B0E2E">
      <w:pPr>
        <w:pStyle w:val="PargrafodaLista"/>
        <w:jc w:val="center"/>
        <w:rPr>
          <w:sz w:val="16"/>
          <w:szCs w:val="16"/>
        </w:rPr>
      </w:pPr>
      <m:oMathPara>
        <m:oMath>
          <m:r>
            <w:rPr>
              <w:rFonts w:ascii="Cambria Math" w:hAnsi="Cambria Math" w:cs="Arial"/>
              <w:sz w:val="18"/>
              <w:szCs w:val="20"/>
            </w:rPr>
            <m:t>UE=</m:t>
          </m:r>
          <m:r>
            <w:rPr>
              <w:rFonts w:ascii="Cambria Math" w:eastAsia="Cambria Math" w:hAnsi="Cambria Math" w:cs="Arial"/>
              <w:sz w:val="18"/>
              <w:szCs w:val="20"/>
            </w:rPr>
            <m:t>[</m:t>
          </m:r>
          <m:f>
            <m:fPr>
              <m:ctrlPr>
                <w:rPr>
                  <w:rFonts w:ascii="Cambria Math" w:eastAsia="Cambria Math" w:hAnsi="Cambria Math" w:cs="Arial"/>
                  <w:sz w:val="18"/>
                  <w:szCs w:val="20"/>
                </w:rPr>
              </m:ctrlPr>
            </m:fPr>
            <m:num>
              <m:r>
                <w:rPr>
                  <w:rFonts w:ascii="Cambria Math" w:eastAsia="Cambria Math" w:hAnsi="Cambria Math" w:cs="Arial"/>
                  <w:sz w:val="18"/>
                  <w:szCs w:val="20"/>
                </w:rPr>
                <m:t>K .H</m:t>
              </m:r>
            </m:num>
            <m:den>
              <m:r>
                <w:rPr>
                  <w:rFonts w:ascii="Cambria Math" w:eastAsia="Cambria Math" w:hAnsi="Cambria Math" w:cs="Arial"/>
                  <w:sz w:val="18"/>
                  <w:szCs w:val="20"/>
                </w:rPr>
                <m:t>1-K .H</m:t>
              </m:r>
            </m:den>
          </m:f>
          <m:r>
            <w:rPr>
              <w:rFonts w:ascii="Cambria Math" w:eastAsia="Cambria Math" w:hAnsi="Cambria Math" w:cs="Arial"/>
              <w:sz w:val="18"/>
              <w:szCs w:val="20"/>
            </w:rPr>
            <m:t xml:space="preserve">+ </m:t>
          </m:r>
          <m:f>
            <m:fPr>
              <m:ctrlPr>
                <w:rPr>
                  <w:rFonts w:ascii="Cambria Math" w:eastAsia="Cambria Math" w:hAnsi="Cambria Math" w:cs="Arial"/>
                  <w:sz w:val="18"/>
                  <w:szCs w:val="20"/>
                </w:rPr>
              </m:ctrlPr>
            </m:fPr>
            <m:num>
              <m:r>
                <w:rPr>
                  <w:rFonts w:ascii="Cambria Math" w:eastAsia="Cambria Math" w:hAnsi="Cambria Math" w:cs="Arial"/>
                  <w:sz w:val="18"/>
                  <w:szCs w:val="20"/>
                </w:rPr>
                <m:t>K .H .K1 +2K1 .K2 .</m:t>
              </m:r>
              <m:sSup>
                <m:sSupPr>
                  <m:ctrlPr>
                    <w:rPr>
                      <w:rFonts w:ascii="Cambria Math" w:eastAsia="Cambria Math" w:hAnsi="Cambria Math" w:cs="Arial"/>
                      <w:sz w:val="18"/>
                      <w:szCs w:val="20"/>
                    </w:rPr>
                  </m:ctrlPr>
                </m:sSupPr>
                <m:e>
                  <m:r>
                    <w:rPr>
                      <w:rFonts w:ascii="Cambria Math" w:eastAsia="Cambria Math" w:hAnsi="Cambria Math" w:cs="Arial"/>
                      <w:sz w:val="18"/>
                      <w:szCs w:val="20"/>
                    </w:rPr>
                    <m:t>K</m:t>
                  </m:r>
                </m:e>
                <m:sup>
                  <m:r>
                    <w:rPr>
                      <w:rFonts w:ascii="Cambria Math" w:eastAsia="Cambria Math" w:hAnsi="Cambria Math" w:cs="Arial"/>
                      <w:sz w:val="18"/>
                      <w:szCs w:val="20"/>
                    </w:rPr>
                    <m:t>2</m:t>
                  </m:r>
                </m:sup>
              </m:sSup>
              <m:r>
                <w:rPr>
                  <w:rFonts w:ascii="Cambria Math" w:eastAsia="Cambria Math" w:hAnsi="Cambria Math" w:cs="Arial"/>
                  <w:sz w:val="18"/>
                  <w:szCs w:val="20"/>
                </w:rPr>
                <m:t xml:space="preserve"> . </m:t>
              </m:r>
              <m:sSup>
                <m:sSupPr>
                  <m:ctrlPr>
                    <w:rPr>
                      <w:rFonts w:ascii="Cambria Math" w:eastAsia="Cambria Math" w:hAnsi="Cambria Math" w:cs="Arial"/>
                      <w:sz w:val="18"/>
                      <w:szCs w:val="20"/>
                    </w:rPr>
                  </m:ctrlPr>
                </m:sSupPr>
                <m:e>
                  <m:r>
                    <w:rPr>
                      <w:rFonts w:ascii="Cambria Math" w:eastAsia="Cambria Math" w:hAnsi="Cambria Math" w:cs="Arial"/>
                      <w:sz w:val="18"/>
                      <w:szCs w:val="20"/>
                    </w:rPr>
                    <m:t>H</m:t>
                  </m:r>
                </m:e>
                <m:sup>
                  <m:r>
                    <w:rPr>
                      <w:rFonts w:ascii="Cambria Math" w:eastAsia="Cambria Math" w:hAnsi="Cambria Math" w:cs="Arial"/>
                      <w:sz w:val="18"/>
                      <w:szCs w:val="20"/>
                    </w:rPr>
                    <m:t>2</m:t>
                  </m:r>
                </m:sup>
              </m:sSup>
            </m:num>
            <m:den>
              <m:r>
                <w:rPr>
                  <w:rFonts w:ascii="Cambria Math" w:eastAsia="Cambria Math" w:hAnsi="Cambria Math" w:cs="Arial"/>
                  <w:sz w:val="18"/>
                  <w:szCs w:val="20"/>
                </w:rPr>
                <m:t xml:space="preserve">1+K .H.K1+K2 . </m:t>
              </m:r>
              <m:sSup>
                <m:sSupPr>
                  <m:ctrlPr>
                    <w:rPr>
                      <w:rFonts w:ascii="Cambria Math" w:eastAsia="Cambria Math" w:hAnsi="Cambria Math" w:cs="Arial"/>
                      <w:sz w:val="18"/>
                      <w:szCs w:val="20"/>
                    </w:rPr>
                  </m:ctrlPr>
                </m:sSupPr>
                <m:e>
                  <m:r>
                    <w:rPr>
                      <w:rFonts w:ascii="Cambria Math" w:eastAsia="Cambria Math" w:hAnsi="Cambria Math" w:cs="Arial"/>
                      <w:sz w:val="18"/>
                      <w:szCs w:val="20"/>
                    </w:rPr>
                    <m:t>K</m:t>
                  </m:r>
                </m:e>
                <m:sup>
                  <m:r>
                    <w:rPr>
                      <w:rFonts w:ascii="Cambria Math" w:eastAsia="Cambria Math" w:hAnsi="Cambria Math" w:cs="Arial"/>
                      <w:sz w:val="18"/>
                      <w:szCs w:val="20"/>
                    </w:rPr>
                    <m:t>2</m:t>
                  </m:r>
                </m:sup>
              </m:sSup>
              <m:r>
                <w:rPr>
                  <w:rFonts w:ascii="Cambria Math" w:eastAsia="Cambria Math" w:hAnsi="Cambria Math" w:cs="Arial"/>
                  <w:sz w:val="18"/>
                  <w:szCs w:val="20"/>
                </w:rPr>
                <m:t xml:space="preserve">.  </m:t>
              </m:r>
              <m:sSup>
                <m:sSupPr>
                  <m:ctrlPr>
                    <w:rPr>
                      <w:rFonts w:ascii="Cambria Math" w:eastAsia="Cambria Math" w:hAnsi="Cambria Math" w:cs="Arial"/>
                      <w:sz w:val="18"/>
                      <w:szCs w:val="20"/>
                    </w:rPr>
                  </m:ctrlPr>
                </m:sSupPr>
                <m:e>
                  <m:r>
                    <w:rPr>
                      <w:rFonts w:ascii="Cambria Math" w:eastAsia="Cambria Math" w:hAnsi="Cambria Math" w:cs="Arial"/>
                      <w:sz w:val="18"/>
                      <w:szCs w:val="20"/>
                    </w:rPr>
                    <m:t>H</m:t>
                  </m:r>
                </m:e>
                <m:sup>
                  <m:r>
                    <w:rPr>
                      <w:rFonts w:ascii="Cambria Math" w:eastAsia="Cambria Math" w:hAnsi="Cambria Math" w:cs="Arial"/>
                      <w:sz w:val="18"/>
                      <w:szCs w:val="20"/>
                    </w:rPr>
                    <m:t>2</m:t>
                  </m:r>
                </m:sup>
              </m:sSup>
            </m:den>
          </m:f>
          <m:r>
            <w:rPr>
              <w:rFonts w:ascii="Cambria Math" w:eastAsia="Cambria Math" w:hAnsi="Cambria Math" w:cs="Arial"/>
              <w:sz w:val="18"/>
              <w:szCs w:val="20"/>
            </w:rPr>
            <m:t xml:space="preserve">] </m:t>
          </m:r>
          <m:f>
            <m:fPr>
              <m:ctrlPr>
                <w:rPr>
                  <w:rFonts w:ascii="Cambria Math" w:eastAsia="Cambria Math" w:hAnsi="Cambria Math" w:cs="Arial"/>
                  <w:sz w:val="18"/>
                  <w:szCs w:val="20"/>
                </w:rPr>
              </m:ctrlPr>
            </m:fPr>
            <m:num>
              <m:r>
                <w:rPr>
                  <w:rFonts w:ascii="Cambria Math" w:eastAsia="Cambria Math" w:hAnsi="Cambria Math" w:cs="Arial"/>
                  <w:sz w:val="18"/>
                  <w:szCs w:val="20"/>
                </w:rPr>
                <m:t>1800</m:t>
              </m:r>
            </m:num>
            <m:den>
              <m:r>
                <w:rPr>
                  <w:rFonts w:ascii="Cambria Math" w:eastAsia="Cambria Math" w:hAnsi="Cambria Math" w:cs="Arial"/>
                  <w:sz w:val="18"/>
                  <w:szCs w:val="20"/>
                </w:rPr>
                <m:t>W</m:t>
              </m:r>
            </m:den>
          </m:f>
        </m:oMath>
      </m:oMathPara>
    </w:p>
    <w:p w14:paraId="32C5937F" w14:textId="18022FF7" w:rsidR="00882452" w:rsidRDefault="00507FA3" w:rsidP="00507FA3">
      <w:pPr>
        <w:widowControl/>
        <w:jc w:val="both"/>
        <w:rPr>
          <w:sz w:val="20"/>
          <w:szCs w:val="20"/>
        </w:rPr>
      </w:pPr>
      <w:r w:rsidRPr="00392FCA">
        <w:rPr>
          <w:sz w:val="20"/>
          <w:szCs w:val="20"/>
        </w:rPr>
        <w:t xml:space="preserve">em que: </w:t>
      </w:r>
      <w:r w:rsidRPr="00507FA3">
        <w:rPr>
          <w:sz w:val="20"/>
          <w:szCs w:val="20"/>
        </w:rPr>
        <w:t xml:space="preserve">UE </w:t>
      </w:r>
      <w:r>
        <w:rPr>
          <w:sz w:val="20"/>
          <w:szCs w:val="20"/>
        </w:rPr>
        <w:t>é</w:t>
      </w:r>
      <w:r w:rsidRPr="00507FA3">
        <w:rPr>
          <w:sz w:val="20"/>
          <w:szCs w:val="20"/>
        </w:rPr>
        <w:t xml:space="preserve"> </w:t>
      </w:r>
      <w:r>
        <w:rPr>
          <w:sz w:val="20"/>
          <w:szCs w:val="20"/>
        </w:rPr>
        <w:t xml:space="preserve">a </w:t>
      </w:r>
      <w:r w:rsidRPr="00507FA3">
        <w:rPr>
          <w:sz w:val="20"/>
          <w:szCs w:val="20"/>
        </w:rPr>
        <w:t>umidade de equilíbrio da madeira (%)</w:t>
      </w:r>
      <w:r>
        <w:rPr>
          <w:sz w:val="20"/>
          <w:szCs w:val="20"/>
        </w:rPr>
        <w:t>,</w:t>
      </w:r>
      <w:r w:rsidR="00882452">
        <w:rPr>
          <w:sz w:val="20"/>
          <w:szCs w:val="20"/>
        </w:rPr>
        <w:t xml:space="preserve"> K= </w:t>
      </w:r>
      <w:r w:rsidR="00882452" w:rsidRPr="00882452">
        <w:rPr>
          <w:sz w:val="20"/>
          <w:szCs w:val="20"/>
        </w:rPr>
        <w:t>0,791 + 0,000463 T – 0,000000844 T²</w:t>
      </w:r>
      <w:r>
        <w:rPr>
          <w:sz w:val="20"/>
          <w:szCs w:val="20"/>
        </w:rPr>
        <w:t xml:space="preserve"> </w:t>
      </w:r>
      <w:r w:rsidRPr="00507FA3">
        <w:rPr>
          <w:sz w:val="20"/>
          <w:szCs w:val="20"/>
        </w:rPr>
        <w:t xml:space="preserve">K1 = </w:t>
      </w:r>
      <w:r w:rsidR="00882452" w:rsidRPr="00882452">
        <w:rPr>
          <w:sz w:val="20"/>
          <w:szCs w:val="20"/>
        </w:rPr>
        <w:t>6,34 + 0,000775 T – 0,0000935 T²</w:t>
      </w:r>
      <w:r>
        <w:rPr>
          <w:sz w:val="20"/>
          <w:szCs w:val="20"/>
        </w:rPr>
        <w:t xml:space="preserve">, </w:t>
      </w:r>
      <w:r w:rsidR="00882452">
        <w:rPr>
          <w:sz w:val="20"/>
          <w:szCs w:val="20"/>
        </w:rPr>
        <w:t xml:space="preserve">K3= </w:t>
      </w:r>
      <w:r w:rsidR="00882452" w:rsidRPr="00882452">
        <w:rPr>
          <w:sz w:val="20"/>
          <w:szCs w:val="20"/>
        </w:rPr>
        <w:t>1,09 + 0,0284 T – 0,0000904 T²</w:t>
      </w:r>
      <w:r w:rsidR="00882452">
        <w:rPr>
          <w:sz w:val="20"/>
          <w:szCs w:val="20"/>
        </w:rPr>
        <w:t xml:space="preserve">, </w:t>
      </w:r>
      <w:r w:rsidRPr="00507FA3">
        <w:rPr>
          <w:sz w:val="20"/>
          <w:szCs w:val="20"/>
        </w:rPr>
        <w:t>W = 216,9 + 0,01961 T + 0,005720 T²</w:t>
      </w:r>
      <w:r>
        <w:rPr>
          <w:sz w:val="20"/>
          <w:szCs w:val="20"/>
        </w:rPr>
        <w:t xml:space="preserve">, </w:t>
      </w:r>
      <w:r w:rsidRPr="00507FA3">
        <w:rPr>
          <w:sz w:val="20"/>
          <w:szCs w:val="20"/>
        </w:rPr>
        <w:t xml:space="preserve">T </w:t>
      </w:r>
      <w:r>
        <w:rPr>
          <w:sz w:val="20"/>
          <w:szCs w:val="20"/>
        </w:rPr>
        <w:t xml:space="preserve">é a </w:t>
      </w:r>
      <w:r w:rsidRPr="00507FA3">
        <w:rPr>
          <w:sz w:val="20"/>
          <w:szCs w:val="20"/>
        </w:rPr>
        <w:t>temperatura em graus Fahrenheit</w:t>
      </w:r>
      <w:r>
        <w:rPr>
          <w:sz w:val="20"/>
          <w:szCs w:val="20"/>
        </w:rPr>
        <w:t xml:space="preserve"> (</w:t>
      </w:r>
      <w:proofErr w:type="spellStart"/>
      <w:r>
        <w:rPr>
          <w:sz w:val="20"/>
          <w:szCs w:val="20"/>
        </w:rPr>
        <w:t>°F</w:t>
      </w:r>
      <w:proofErr w:type="spellEnd"/>
      <w:r>
        <w:rPr>
          <w:sz w:val="20"/>
          <w:szCs w:val="20"/>
        </w:rPr>
        <w:t>)</w:t>
      </w:r>
      <w:r w:rsidRPr="00507FA3">
        <w:rPr>
          <w:sz w:val="20"/>
          <w:szCs w:val="20"/>
        </w:rPr>
        <w:t xml:space="preserve"> </w:t>
      </w:r>
      <w:r w:rsidR="00E110AB">
        <w:rPr>
          <w:sz w:val="20"/>
          <w:szCs w:val="20"/>
        </w:rPr>
        <w:t xml:space="preserve">e </w:t>
      </w:r>
      <w:r w:rsidRPr="00507FA3">
        <w:rPr>
          <w:sz w:val="20"/>
          <w:szCs w:val="20"/>
        </w:rPr>
        <w:t xml:space="preserve">H </w:t>
      </w:r>
      <w:r>
        <w:rPr>
          <w:sz w:val="20"/>
          <w:szCs w:val="20"/>
        </w:rPr>
        <w:t xml:space="preserve">é a </w:t>
      </w:r>
      <w:r w:rsidRPr="00507FA3">
        <w:rPr>
          <w:sz w:val="20"/>
          <w:szCs w:val="20"/>
        </w:rPr>
        <w:t>pressão relativa de vapor d’água</w:t>
      </w:r>
      <w:r>
        <w:rPr>
          <w:sz w:val="20"/>
          <w:szCs w:val="20"/>
        </w:rPr>
        <w:t>.</w:t>
      </w:r>
    </w:p>
    <w:p w14:paraId="611BD47A" w14:textId="0198C821" w:rsidR="00882452" w:rsidRDefault="00882452" w:rsidP="00507FA3">
      <w:pPr>
        <w:widowControl/>
        <w:jc w:val="both"/>
        <w:rPr>
          <w:sz w:val="20"/>
          <w:szCs w:val="20"/>
        </w:rPr>
      </w:pPr>
      <w:r w:rsidRPr="00882452">
        <w:rPr>
          <w:sz w:val="20"/>
          <w:szCs w:val="20"/>
        </w:rPr>
        <w:t xml:space="preserve">A última equação de estimativa da UE avaliada </w:t>
      </w:r>
      <w:r w:rsidR="00E110AB">
        <w:rPr>
          <w:sz w:val="20"/>
          <w:szCs w:val="20"/>
        </w:rPr>
        <w:t>foi</w:t>
      </w:r>
      <w:r w:rsidRPr="00882452">
        <w:rPr>
          <w:sz w:val="20"/>
          <w:szCs w:val="20"/>
        </w:rPr>
        <w:t xml:space="preserve"> a de BET, conforme descreve a equação 4.</w:t>
      </w:r>
    </w:p>
    <w:p w14:paraId="2C012B05" w14:textId="6394B324" w:rsidR="00882452" w:rsidRPr="00B84A5D" w:rsidRDefault="00882452" w:rsidP="00B84A5D">
      <w:pPr>
        <w:pStyle w:val="PargrafodaLista"/>
        <w:numPr>
          <w:ilvl w:val="0"/>
          <w:numId w:val="8"/>
        </w:numPr>
        <w:rPr>
          <w:sz w:val="20"/>
          <w:szCs w:val="20"/>
        </w:rPr>
      </w:pPr>
      <w:r w:rsidRPr="00882452">
        <w:rPr>
          <w:sz w:val="20"/>
          <w:szCs w:val="20"/>
        </w:rPr>
        <w:t xml:space="preserve">Estimativa de umidade segundo modelo de BET (Equação </w:t>
      </w:r>
      <w:r>
        <w:rPr>
          <w:sz w:val="20"/>
          <w:szCs w:val="20"/>
        </w:rPr>
        <w:t>4</w:t>
      </w:r>
      <w:r w:rsidRPr="00882452">
        <w:rPr>
          <w:sz w:val="20"/>
          <w:szCs w:val="20"/>
        </w:rPr>
        <w:t>)</w:t>
      </w:r>
    </w:p>
    <w:p w14:paraId="754025AF" w14:textId="3F484460" w:rsidR="00882452" w:rsidRPr="004B0E2E" w:rsidRDefault="00882452" w:rsidP="004B0E2E">
      <w:pPr>
        <w:pStyle w:val="PargrafodaLista"/>
        <w:rPr>
          <w:sz w:val="16"/>
          <w:szCs w:val="16"/>
        </w:rPr>
      </w:pPr>
      <m:oMathPara>
        <m:oMath>
          <m:r>
            <w:rPr>
              <w:rFonts w:ascii="Cambria Math" w:hAnsi="Cambria Math" w:cs="Arial"/>
              <w:sz w:val="18"/>
              <w:szCs w:val="20"/>
            </w:rPr>
            <m:t>UE=</m:t>
          </m:r>
          <m:r>
            <w:rPr>
              <w:rFonts w:ascii="Cambria Math" w:eastAsia="Cambria Math" w:hAnsi="Cambria Math" w:cs="Arial"/>
              <w:sz w:val="18"/>
              <w:szCs w:val="20"/>
            </w:rPr>
            <m:t>[</m:t>
          </m:r>
          <m:d>
            <m:dPr>
              <m:ctrlPr>
                <w:rPr>
                  <w:rFonts w:ascii="Cambria Math" w:eastAsia="Cambria Math" w:hAnsi="Cambria Math" w:cs="Arial"/>
                  <w:sz w:val="18"/>
                  <w:szCs w:val="20"/>
                </w:rPr>
              </m:ctrlPr>
            </m:dPr>
            <m:e>
              <m:f>
                <m:fPr>
                  <m:ctrlPr>
                    <w:rPr>
                      <w:rFonts w:ascii="Cambria Math" w:eastAsia="Cambria Math" w:hAnsi="Cambria Math" w:cs="Arial"/>
                      <w:sz w:val="18"/>
                      <w:szCs w:val="20"/>
                    </w:rPr>
                  </m:ctrlPr>
                </m:fPr>
                <m:num>
                  <m:r>
                    <w:rPr>
                      <w:rFonts w:ascii="Cambria Math" w:eastAsia="Cambria Math" w:hAnsi="Cambria Math" w:cs="Arial"/>
                      <w:sz w:val="18"/>
                      <w:szCs w:val="20"/>
                    </w:rPr>
                    <m:t>Wm .C.  H</m:t>
                  </m:r>
                </m:num>
                <m:den>
                  <m:r>
                    <w:rPr>
                      <w:rFonts w:ascii="Cambria Math" w:eastAsia="Cambria Math" w:hAnsi="Cambria Math" w:cs="Arial"/>
                      <w:sz w:val="18"/>
                      <w:szCs w:val="20"/>
                    </w:rPr>
                    <m:t>1-H</m:t>
                  </m:r>
                </m:den>
              </m:f>
            </m:e>
          </m:d>
          <m:r>
            <w:rPr>
              <w:rFonts w:ascii="Cambria Math" w:eastAsia="Cambria Math" w:hAnsi="Cambria Math" w:cs="Arial"/>
              <w:sz w:val="18"/>
              <w:szCs w:val="20"/>
            </w:rPr>
            <m:t xml:space="preserve">.( </m:t>
          </m:r>
          <m:f>
            <m:fPr>
              <m:ctrlPr>
                <w:rPr>
                  <w:rFonts w:ascii="Cambria Math" w:eastAsia="Cambria Math" w:hAnsi="Cambria Math" w:cs="Arial"/>
                  <w:sz w:val="18"/>
                  <w:szCs w:val="20"/>
                </w:rPr>
              </m:ctrlPr>
            </m:fPr>
            <m:num>
              <m:r>
                <w:rPr>
                  <w:rFonts w:ascii="Cambria Math" w:eastAsia="Cambria Math" w:hAnsi="Cambria Math" w:cs="Arial"/>
                  <w:sz w:val="18"/>
                  <w:szCs w:val="20"/>
                </w:rPr>
                <m:t>1-</m:t>
              </m:r>
              <m:d>
                <m:dPr>
                  <m:begChr m:val="["/>
                  <m:endChr m:val="]"/>
                  <m:ctrlPr>
                    <w:rPr>
                      <w:rFonts w:ascii="Cambria Math" w:eastAsia="Cambria Math" w:hAnsi="Cambria Math" w:cs="Arial"/>
                      <w:sz w:val="18"/>
                      <w:szCs w:val="20"/>
                    </w:rPr>
                  </m:ctrlPr>
                </m:dPr>
                <m:e>
                  <m:r>
                    <w:rPr>
                      <w:rFonts w:ascii="Cambria Math" w:eastAsia="Cambria Math" w:hAnsi="Cambria Math" w:cs="Arial"/>
                      <w:sz w:val="18"/>
                      <w:szCs w:val="20"/>
                    </w:rPr>
                    <m:t xml:space="preserve"> n+1</m:t>
                  </m:r>
                </m:e>
              </m:d>
              <m:r>
                <w:rPr>
                  <w:rFonts w:ascii="Cambria Math" w:eastAsia="Cambria Math" w:hAnsi="Cambria Math" w:cs="Arial"/>
                  <w:sz w:val="18"/>
                  <w:szCs w:val="20"/>
                </w:rPr>
                <m:t xml:space="preserve">. </m:t>
              </m:r>
              <m:sSup>
                <m:sSupPr>
                  <m:ctrlPr>
                    <w:rPr>
                      <w:rFonts w:ascii="Cambria Math" w:eastAsia="Cambria Math" w:hAnsi="Cambria Math" w:cs="Arial"/>
                      <w:sz w:val="18"/>
                      <w:szCs w:val="20"/>
                    </w:rPr>
                  </m:ctrlPr>
                </m:sSupPr>
                <m:e>
                  <m:r>
                    <w:rPr>
                      <w:rFonts w:ascii="Cambria Math" w:eastAsia="Cambria Math" w:hAnsi="Cambria Math" w:cs="Arial"/>
                      <w:sz w:val="18"/>
                      <w:szCs w:val="20"/>
                    </w:rPr>
                    <m:t>H</m:t>
                  </m:r>
                </m:e>
                <m:sup>
                  <m:r>
                    <w:rPr>
                      <w:rFonts w:ascii="Cambria Math" w:eastAsia="Cambria Math" w:hAnsi="Cambria Math" w:cs="Arial"/>
                      <w:sz w:val="18"/>
                      <w:szCs w:val="20"/>
                    </w:rPr>
                    <m:t>n</m:t>
                  </m:r>
                </m:sup>
              </m:sSup>
              <m:r>
                <w:rPr>
                  <w:rFonts w:ascii="Cambria Math" w:eastAsia="Cambria Math" w:hAnsi="Cambria Math" w:cs="Arial"/>
                  <w:sz w:val="18"/>
                  <w:szCs w:val="20"/>
                </w:rPr>
                <m:t xml:space="preserve">+ n . </m:t>
              </m:r>
              <m:sSup>
                <m:sSupPr>
                  <m:ctrlPr>
                    <w:rPr>
                      <w:rFonts w:ascii="Cambria Math" w:eastAsia="Cambria Math" w:hAnsi="Cambria Math" w:cs="Arial"/>
                      <w:sz w:val="18"/>
                      <w:szCs w:val="20"/>
                    </w:rPr>
                  </m:ctrlPr>
                </m:sSupPr>
                <m:e>
                  <m:r>
                    <w:rPr>
                      <w:rFonts w:ascii="Cambria Math" w:eastAsia="Cambria Math" w:hAnsi="Cambria Math" w:cs="Arial"/>
                      <w:sz w:val="18"/>
                      <w:szCs w:val="20"/>
                    </w:rPr>
                    <m:t>H</m:t>
                  </m:r>
                </m:e>
                <m:sup>
                  <m:r>
                    <w:rPr>
                      <w:rFonts w:ascii="Cambria Math" w:eastAsia="Cambria Math" w:hAnsi="Cambria Math" w:cs="Arial"/>
                      <w:sz w:val="18"/>
                      <w:szCs w:val="20"/>
                    </w:rPr>
                    <m:t>n+1</m:t>
                  </m:r>
                </m:sup>
              </m:sSup>
            </m:num>
            <m:den>
              <m:r>
                <w:rPr>
                  <w:rFonts w:ascii="Cambria Math" w:eastAsia="Cambria Math" w:hAnsi="Cambria Math" w:cs="Arial"/>
                  <w:sz w:val="18"/>
                  <w:szCs w:val="20"/>
                </w:rPr>
                <m:t>1+</m:t>
              </m:r>
              <m:d>
                <m:dPr>
                  <m:begChr m:val="["/>
                  <m:endChr m:val="]"/>
                  <m:ctrlPr>
                    <w:rPr>
                      <w:rFonts w:ascii="Cambria Math" w:eastAsia="Cambria Math" w:hAnsi="Cambria Math" w:cs="Arial"/>
                      <w:sz w:val="18"/>
                      <w:szCs w:val="20"/>
                    </w:rPr>
                  </m:ctrlPr>
                </m:dPr>
                <m:e>
                  <m:r>
                    <w:rPr>
                      <w:rFonts w:ascii="Cambria Math" w:eastAsia="Cambria Math" w:hAnsi="Cambria Math" w:cs="Arial"/>
                      <w:sz w:val="18"/>
                      <w:szCs w:val="20"/>
                    </w:rPr>
                    <m:t>C-1</m:t>
                  </m:r>
                </m:e>
              </m:d>
              <m:r>
                <w:rPr>
                  <w:rFonts w:ascii="Cambria Math" w:eastAsia="Cambria Math" w:hAnsi="Cambria Math" w:cs="Arial"/>
                  <w:sz w:val="18"/>
                  <w:szCs w:val="20"/>
                </w:rPr>
                <m:t xml:space="preserve">.  H-C .  </m:t>
              </m:r>
              <m:sSup>
                <m:sSupPr>
                  <m:ctrlPr>
                    <w:rPr>
                      <w:rFonts w:ascii="Cambria Math" w:eastAsia="Cambria Math" w:hAnsi="Cambria Math" w:cs="Arial"/>
                      <w:sz w:val="18"/>
                      <w:szCs w:val="20"/>
                    </w:rPr>
                  </m:ctrlPr>
                </m:sSupPr>
                <m:e>
                  <m:r>
                    <w:rPr>
                      <w:rFonts w:ascii="Cambria Math" w:eastAsia="Cambria Math" w:hAnsi="Cambria Math" w:cs="Arial"/>
                      <w:sz w:val="18"/>
                      <w:szCs w:val="20"/>
                    </w:rPr>
                    <m:t>H</m:t>
                  </m:r>
                </m:e>
                <m:sup>
                  <m:r>
                    <w:rPr>
                      <w:rFonts w:ascii="Cambria Math" w:eastAsia="Cambria Math" w:hAnsi="Cambria Math" w:cs="Arial"/>
                      <w:sz w:val="18"/>
                      <w:szCs w:val="20"/>
                    </w:rPr>
                    <m:t>n+1</m:t>
                  </m:r>
                </m:sup>
              </m:sSup>
            </m:den>
          </m:f>
          <m:r>
            <w:rPr>
              <w:rFonts w:ascii="Cambria Math" w:eastAsia="Cambria Math" w:hAnsi="Cambria Math" w:cs="Arial"/>
              <w:sz w:val="18"/>
              <w:szCs w:val="20"/>
            </w:rPr>
            <m:t>)]</m:t>
          </m:r>
        </m:oMath>
      </m:oMathPara>
    </w:p>
    <w:p w14:paraId="01333004" w14:textId="0DC47728" w:rsidR="00507FA3" w:rsidRDefault="00882452">
      <w:pPr>
        <w:widowControl/>
        <w:jc w:val="both"/>
        <w:rPr>
          <w:sz w:val="20"/>
          <w:szCs w:val="20"/>
        </w:rPr>
      </w:pPr>
      <w:r w:rsidRPr="00392FCA">
        <w:rPr>
          <w:sz w:val="20"/>
          <w:szCs w:val="20"/>
        </w:rPr>
        <w:t xml:space="preserve">em que: </w:t>
      </w:r>
      <w:r w:rsidRPr="00507FA3">
        <w:rPr>
          <w:sz w:val="20"/>
          <w:szCs w:val="20"/>
        </w:rPr>
        <w:t xml:space="preserve">UE </w:t>
      </w:r>
      <w:r>
        <w:rPr>
          <w:sz w:val="20"/>
          <w:szCs w:val="20"/>
        </w:rPr>
        <w:t>é</w:t>
      </w:r>
      <w:r w:rsidRPr="00507FA3">
        <w:rPr>
          <w:sz w:val="20"/>
          <w:szCs w:val="20"/>
        </w:rPr>
        <w:t xml:space="preserve"> </w:t>
      </w:r>
      <w:r>
        <w:rPr>
          <w:sz w:val="20"/>
          <w:szCs w:val="20"/>
        </w:rPr>
        <w:t xml:space="preserve">a </w:t>
      </w:r>
      <w:r w:rsidRPr="00507FA3">
        <w:rPr>
          <w:sz w:val="20"/>
          <w:szCs w:val="20"/>
        </w:rPr>
        <w:t>umidade de equilíbrio da madeira (%)</w:t>
      </w:r>
      <w:r>
        <w:rPr>
          <w:sz w:val="20"/>
          <w:szCs w:val="20"/>
        </w:rPr>
        <w:t xml:space="preserve">, </w:t>
      </w:r>
      <w:r w:rsidRPr="00882452">
        <w:rPr>
          <w:sz w:val="20"/>
          <w:szCs w:val="20"/>
        </w:rPr>
        <w:t>UE = umidade de equilíbrio da madeira (%)</w:t>
      </w:r>
      <w:r>
        <w:rPr>
          <w:sz w:val="20"/>
          <w:szCs w:val="20"/>
        </w:rPr>
        <w:t xml:space="preserve">, </w:t>
      </w:r>
      <w:proofErr w:type="spellStart"/>
      <w:r w:rsidRPr="00882452">
        <w:rPr>
          <w:sz w:val="20"/>
          <w:szCs w:val="20"/>
        </w:rPr>
        <w:t>Wm</w:t>
      </w:r>
      <w:proofErr w:type="spellEnd"/>
      <w:r w:rsidRPr="00882452">
        <w:rPr>
          <w:sz w:val="20"/>
          <w:szCs w:val="20"/>
        </w:rPr>
        <w:t xml:space="preserve"> = 7,4 – 0,020 T</w:t>
      </w:r>
      <w:r>
        <w:rPr>
          <w:sz w:val="20"/>
          <w:szCs w:val="20"/>
        </w:rPr>
        <w:t xml:space="preserve">, </w:t>
      </w:r>
      <w:r w:rsidRPr="00882452">
        <w:rPr>
          <w:sz w:val="20"/>
          <w:szCs w:val="20"/>
        </w:rPr>
        <w:t>C = 6</w:t>
      </w:r>
      <w:r>
        <w:rPr>
          <w:sz w:val="20"/>
          <w:szCs w:val="20"/>
        </w:rPr>
        <w:t xml:space="preserve">, </w:t>
      </w:r>
      <w:r w:rsidRPr="00882452">
        <w:rPr>
          <w:sz w:val="20"/>
          <w:szCs w:val="20"/>
        </w:rPr>
        <w:t>n = 4,6 + 0,020 T</w:t>
      </w:r>
      <w:r>
        <w:rPr>
          <w:sz w:val="20"/>
          <w:szCs w:val="20"/>
        </w:rPr>
        <w:t xml:space="preserve">, </w:t>
      </w:r>
      <w:r w:rsidRPr="00507FA3">
        <w:rPr>
          <w:sz w:val="20"/>
          <w:szCs w:val="20"/>
        </w:rPr>
        <w:t xml:space="preserve">T </w:t>
      </w:r>
      <w:r>
        <w:rPr>
          <w:sz w:val="20"/>
          <w:szCs w:val="20"/>
        </w:rPr>
        <w:t xml:space="preserve">é a </w:t>
      </w:r>
      <w:r w:rsidRPr="00507FA3">
        <w:rPr>
          <w:sz w:val="20"/>
          <w:szCs w:val="20"/>
        </w:rPr>
        <w:t>temperatura em graus Fahrenheit</w:t>
      </w:r>
      <w:r>
        <w:rPr>
          <w:sz w:val="20"/>
          <w:szCs w:val="20"/>
        </w:rPr>
        <w:t xml:space="preserve"> (</w:t>
      </w:r>
      <w:proofErr w:type="spellStart"/>
      <w:r>
        <w:rPr>
          <w:sz w:val="20"/>
          <w:szCs w:val="20"/>
        </w:rPr>
        <w:t>°F</w:t>
      </w:r>
      <w:proofErr w:type="spellEnd"/>
      <w:r>
        <w:rPr>
          <w:sz w:val="20"/>
          <w:szCs w:val="20"/>
        </w:rPr>
        <w:t>),</w:t>
      </w:r>
      <w:r w:rsidRPr="00507FA3">
        <w:rPr>
          <w:sz w:val="20"/>
          <w:szCs w:val="20"/>
        </w:rPr>
        <w:t xml:space="preserve"> </w:t>
      </w:r>
      <w:r w:rsidR="00E110AB">
        <w:rPr>
          <w:sz w:val="20"/>
          <w:szCs w:val="20"/>
        </w:rPr>
        <w:t xml:space="preserve">e </w:t>
      </w:r>
      <w:r w:rsidRPr="00507FA3">
        <w:rPr>
          <w:sz w:val="20"/>
          <w:szCs w:val="20"/>
        </w:rPr>
        <w:t xml:space="preserve">H </w:t>
      </w:r>
      <w:r>
        <w:rPr>
          <w:sz w:val="20"/>
          <w:szCs w:val="20"/>
        </w:rPr>
        <w:t xml:space="preserve">é a </w:t>
      </w:r>
      <w:r w:rsidRPr="00507FA3">
        <w:rPr>
          <w:sz w:val="20"/>
          <w:szCs w:val="20"/>
        </w:rPr>
        <w:t>pressão relativa de vapor d’água</w:t>
      </w:r>
      <w:r>
        <w:rPr>
          <w:sz w:val="20"/>
          <w:szCs w:val="20"/>
        </w:rPr>
        <w:t>.</w:t>
      </w:r>
    </w:p>
    <w:p w14:paraId="2C0E5BFA" w14:textId="6F0FD266" w:rsidR="00830A1A" w:rsidRDefault="00830A1A" w:rsidP="00830A1A">
      <w:pPr>
        <w:widowControl/>
        <w:ind w:firstLine="709"/>
        <w:jc w:val="both"/>
        <w:rPr>
          <w:sz w:val="20"/>
          <w:szCs w:val="20"/>
        </w:rPr>
      </w:pPr>
      <w:r w:rsidRPr="00830A1A">
        <w:rPr>
          <w:sz w:val="20"/>
          <w:szCs w:val="20"/>
        </w:rPr>
        <w:t xml:space="preserve">O delineamento estatístico utilizado foi o inteiramente </w:t>
      </w:r>
      <w:proofErr w:type="spellStart"/>
      <w:r w:rsidRPr="00830A1A">
        <w:rPr>
          <w:sz w:val="20"/>
          <w:szCs w:val="20"/>
        </w:rPr>
        <w:t>casualizado</w:t>
      </w:r>
      <w:proofErr w:type="spellEnd"/>
      <w:r w:rsidRPr="00830A1A">
        <w:rPr>
          <w:sz w:val="20"/>
          <w:szCs w:val="20"/>
        </w:rPr>
        <w:t xml:space="preserve"> (DIC), para a avaliação da relação. Desse modo, utilizou-se a Análise de Variância (ANOVA) à 5% de significância com o auxílio do software SISVAR (Ferreira, 2019), havendo significância dos dados, foi utilizado o teste de médias Skott-Knott também à 5% de significância (Scott &amp; </w:t>
      </w:r>
      <w:proofErr w:type="spellStart"/>
      <w:r w:rsidRPr="00830A1A">
        <w:rPr>
          <w:sz w:val="20"/>
          <w:szCs w:val="20"/>
        </w:rPr>
        <w:t>Knott</w:t>
      </w:r>
      <w:proofErr w:type="spellEnd"/>
      <w:r w:rsidRPr="00830A1A">
        <w:rPr>
          <w:sz w:val="20"/>
          <w:szCs w:val="20"/>
        </w:rPr>
        <w:t>, 1974).</w:t>
      </w:r>
    </w:p>
    <w:p w14:paraId="2295770A" w14:textId="77777777" w:rsidR="00B1243D" w:rsidRDefault="00B1243D">
      <w:pPr>
        <w:widowControl/>
        <w:jc w:val="both"/>
        <w:rPr>
          <w:sz w:val="20"/>
          <w:szCs w:val="20"/>
        </w:rPr>
      </w:pPr>
    </w:p>
    <w:p w14:paraId="59229EBE" w14:textId="451BFA7E" w:rsidR="00B1243D" w:rsidRDefault="00C822B1">
      <w:pPr>
        <w:widowControl/>
        <w:jc w:val="both"/>
        <w:rPr>
          <w:sz w:val="20"/>
          <w:szCs w:val="20"/>
        </w:rPr>
      </w:pPr>
      <w:r>
        <w:rPr>
          <w:b/>
          <w:sz w:val="20"/>
          <w:szCs w:val="20"/>
        </w:rPr>
        <w:t xml:space="preserve">RESULTADOS E DISCUSSÃO </w:t>
      </w:r>
    </w:p>
    <w:p w14:paraId="787BD39E" w14:textId="270A26C0" w:rsidR="00EE15CD" w:rsidRDefault="00EE15CD" w:rsidP="00FE3101">
      <w:pPr>
        <w:widowControl/>
        <w:ind w:firstLine="709"/>
        <w:jc w:val="both"/>
        <w:rPr>
          <w:sz w:val="20"/>
          <w:szCs w:val="20"/>
        </w:rPr>
      </w:pPr>
      <w:r w:rsidRPr="00EE15CD">
        <w:rPr>
          <w:sz w:val="20"/>
          <w:szCs w:val="20"/>
        </w:rPr>
        <w:t xml:space="preserve">Observando-se os dados obtidos na </w:t>
      </w:r>
      <w:r w:rsidR="00D53979">
        <w:rPr>
          <w:sz w:val="20"/>
          <w:szCs w:val="20"/>
        </w:rPr>
        <w:t>A</w:t>
      </w:r>
      <w:r w:rsidRPr="00EE15CD">
        <w:rPr>
          <w:sz w:val="20"/>
          <w:szCs w:val="20"/>
        </w:rPr>
        <w:t xml:space="preserve">nálise de </w:t>
      </w:r>
      <w:r w:rsidR="00D53979">
        <w:rPr>
          <w:sz w:val="20"/>
          <w:szCs w:val="20"/>
        </w:rPr>
        <w:t>V</w:t>
      </w:r>
      <w:r w:rsidRPr="00EE15CD">
        <w:rPr>
          <w:sz w:val="20"/>
          <w:szCs w:val="20"/>
        </w:rPr>
        <w:t>ariância</w:t>
      </w:r>
      <w:r w:rsidR="00D53979">
        <w:rPr>
          <w:sz w:val="20"/>
          <w:szCs w:val="20"/>
        </w:rPr>
        <w:t xml:space="preserve"> (ANOVA) (Tabela 1)</w:t>
      </w:r>
      <w:r w:rsidRPr="00EE15CD">
        <w:rPr>
          <w:sz w:val="20"/>
          <w:szCs w:val="20"/>
        </w:rPr>
        <w:t xml:space="preserve">, foi possível verificar que apesar da baixa variação contida nos tratamentos, ainda houve diferença significativa entre as metodologias de análise da Umidade de Equilíbrio para todas as espécies estudadas. Essa observação elucida que os vários tratamentos em estudo (TCS-75 1 e 2, </w:t>
      </w:r>
      <w:proofErr w:type="spellStart"/>
      <w:r w:rsidRPr="00EE15CD">
        <w:rPr>
          <w:sz w:val="20"/>
          <w:szCs w:val="20"/>
        </w:rPr>
        <w:t>Hailwood</w:t>
      </w:r>
      <w:proofErr w:type="spellEnd"/>
      <w:r w:rsidRPr="00EE15CD">
        <w:rPr>
          <w:sz w:val="20"/>
          <w:szCs w:val="20"/>
        </w:rPr>
        <w:t xml:space="preserve"> e </w:t>
      </w:r>
      <w:proofErr w:type="spellStart"/>
      <w:r w:rsidRPr="00EE15CD">
        <w:rPr>
          <w:sz w:val="20"/>
          <w:szCs w:val="20"/>
        </w:rPr>
        <w:t>Horrobin</w:t>
      </w:r>
      <w:proofErr w:type="spellEnd"/>
      <w:r w:rsidRPr="00EE15CD">
        <w:rPr>
          <w:sz w:val="20"/>
          <w:szCs w:val="20"/>
        </w:rPr>
        <w:t xml:space="preserve"> de 1 e 2 hidratos e BET) não estão distantes do tratamento controle (gravimétrico), mas exibem diferenças discerníveis no contexto mencionado acima.</w:t>
      </w:r>
    </w:p>
    <w:p w14:paraId="3AC9B183" w14:textId="0A7C0758" w:rsidR="00EE15CD" w:rsidRDefault="00EE15CD" w:rsidP="00EE15CD">
      <w:pPr>
        <w:widowControl/>
        <w:ind w:left="851" w:hanging="851"/>
        <w:jc w:val="both"/>
        <w:rPr>
          <w:sz w:val="20"/>
          <w:szCs w:val="20"/>
        </w:rPr>
      </w:pPr>
      <w:r>
        <w:rPr>
          <w:sz w:val="20"/>
          <w:szCs w:val="20"/>
        </w:rPr>
        <w:t xml:space="preserve">Tabela </w:t>
      </w:r>
      <w:r w:rsidR="00D53979">
        <w:rPr>
          <w:sz w:val="20"/>
          <w:szCs w:val="20"/>
        </w:rPr>
        <w:t>1</w:t>
      </w:r>
      <w:r>
        <w:rPr>
          <w:sz w:val="20"/>
          <w:szCs w:val="20"/>
        </w:rPr>
        <w:t>.</w:t>
      </w:r>
      <w:r>
        <w:rPr>
          <w:sz w:val="20"/>
          <w:szCs w:val="20"/>
        </w:rPr>
        <w:tab/>
      </w:r>
      <w:r w:rsidRPr="00EE15CD">
        <w:rPr>
          <w:sz w:val="20"/>
          <w:szCs w:val="20"/>
        </w:rPr>
        <w:t>Resumo da ANOVA</w:t>
      </w:r>
    </w:p>
    <w:p w14:paraId="33D0D7FD" w14:textId="77777777" w:rsidR="00EE15CD" w:rsidRDefault="00EE15CD" w:rsidP="00EE15CD">
      <w:pPr>
        <w:widowControl/>
        <w:ind w:left="851" w:hanging="851"/>
        <w:jc w:val="both"/>
        <w:rPr>
          <w:sz w:val="18"/>
          <w:szCs w:val="18"/>
        </w:rPr>
      </w:pPr>
    </w:p>
    <w:tbl>
      <w:tblPr>
        <w:tblStyle w:val="a"/>
        <w:tblW w:w="6752" w:type="dxa"/>
        <w:jc w:val="center"/>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560"/>
        <w:gridCol w:w="2148"/>
        <w:gridCol w:w="1441"/>
        <w:gridCol w:w="1603"/>
      </w:tblGrid>
      <w:tr w:rsidR="00EE15CD" w14:paraId="1A83298A" w14:textId="77777777" w:rsidTr="00EE15CD">
        <w:trPr>
          <w:trHeight w:val="227"/>
          <w:jc w:val="center"/>
        </w:trPr>
        <w:tc>
          <w:tcPr>
            <w:tcW w:w="1560" w:type="dxa"/>
            <w:tcBorders>
              <w:top w:val="single" w:sz="4" w:space="0" w:color="000000"/>
              <w:bottom w:val="single" w:sz="4" w:space="0" w:color="000000"/>
            </w:tcBorders>
          </w:tcPr>
          <w:p w14:paraId="66ABB864" w14:textId="4ACF844D" w:rsidR="00EE15CD" w:rsidRDefault="00EE15CD" w:rsidP="00EE15CD">
            <w:pPr>
              <w:widowControl/>
              <w:rPr>
                <w:sz w:val="18"/>
                <w:szCs w:val="18"/>
              </w:rPr>
            </w:pPr>
            <w:r w:rsidRPr="009521BE">
              <w:t>Espécie</w:t>
            </w:r>
          </w:p>
        </w:tc>
        <w:tc>
          <w:tcPr>
            <w:tcW w:w="2148" w:type="dxa"/>
            <w:tcBorders>
              <w:top w:val="single" w:sz="4" w:space="0" w:color="000000"/>
              <w:bottom w:val="single" w:sz="4" w:space="0" w:color="000000"/>
            </w:tcBorders>
          </w:tcPr>
          <w:p w14:paraId="64CDD14E" w14:textId="0155CA19" w:rsidR="00EE15CD" w:rsidRDefault="00EE15CD" w:rsidP="00EE15CD">
            <w:pPr>
              <w:widowControl/>
              <w:jc w:val="center"/>
              <w:rPr>
                <w:sz w:val="18"/>
                <w:szCs w:val="18"/>
              </w:rPr>
            </w:pPr>
            <w:r w:rsidRPr="009521BE">
              <w:t>CV (%)</w:t>
            </w:r>
          </w:p>
        </w:tc>
        <w:tc>
          <w:tcPr>
            <w:tcW w:w="1441" w:type="dxa"/>
            <w:tcBorders>
              <w:top w:val="single" w:sz="4" w:space="0" w:color="000000"/>
              <w:bottom w:val="single" w:sz="4" w:space="0" w:color="000000"/>
            </w:tcBorders>
          </w:tcPr>
          <w:p w14:paraId="46E39CA4" w14:textId="76B3C414" w:rsidR="00EE15CD" w:rsidRDefault="00EE15CD" w:rsidP="00EE15CD">
            <w:pPr>
              <w:widowControl/>
              <w:jc w:val="center"/>
              <w:rPr>
                <w:sz w:val="18"/>
                <w:szCs w:val="18"/>
              </w:rPr>
            </w:pPr>
            <w:r w:rsidRPr="009521BE">
              <w:t>GL</w:t>
            </w:r>
          </w:p>
        </w:tc>
        <w:tc>
          <w:tcPr>
            <w:tcW w:w="1603" w:type="dxa"/>
            <w:tcBorders>
              <w:top w:val="single" w:sz="4" w:space="0" w:color="000000"/>
              <w:bottom w:val="single" w:sz="4" w:space="0" w:color="000000"/>
            </w:tcBorders>
          </w:tcPr>
          <w:p w14:paraId="24FD0A5C" w14:textId="781143C9" w:rsidR="00EE15CD" w:rsidRDefault="00EE15CD" w:rsidP="00EE15CD">
            <w:pPr>
              <w:widowControl/>
              <w:jc w:val="center"/>
              <w:rPr>
                <w:sz w:val="18"/>
                <w:szCs w:val="18"/>
              </w:rPr>
            </w:pPr>
            <w:r w:rsidRPr="009521BE">
              <w:t>QM</w:t>
            </w:r>
          </w:p>
        </w:tc>
      </w:tr>
      <w:tr w:rsidR="00EE15CD" w14:paraId="5810BA5D" w14:textId="77777777" w:rsidTr="00EE15CD">
        <w:trPr>
          <w:trHeight w:val="227"/>
          <w:jc w:val="center"/>
        </w:trPr>
        <w:tc>
          <w:tcPr>
            <w:tcW w:w="1560" w:type="dxa"/>
            <w:tcBorders>
              <w:top w:val="single" w:sz="4" w:space="0" w:color="000000"/>
            </w:tcBorders>
          </w:tcPr>
          <w:p w14:paraId="34DD5CDD" w14:textId="523CE61A" w:rsidR="00EE15CD" w:rsidRDefault="00EE15CD" w:rsidP="00EE15CD">
            <w:pPr>
              <w:widowControl/>
              <w:rPr>
                <w:sz w:val="18"/>
                <w:szCs w:val="18"/>
              </w:rPr>
            </w:pPr>
            <w:r w:rsidRPr="004B2361">
              <w:t>Angelim Pedra</w:t>
            </w:r>
          </w:p>
        </w:tc>
        <w:tc>
          <w:tcPr>
            <w:tcW w:w="2148" w:type="dxa"/>
            <w:tcBorders>
              <w:top w:val="single" w:sz="4" w:space="0" w:color="000000"/>
            </w:tcBorders>
          </w:tcPr>
          <w:p w14:paraId="5EC702E2" w14:textId="0E39DA4A" w:rsidR="00EE15CD" w:rsidRDefault="00EE15CD" w:rsidP="00EE15CD">
            <w:pPr>
              <w:widowControl/>
              <w:jc w:val="center"/>
              <w:rPr>
                <w:sz w:val="18"/>
                <w:szCs w:val="18"/>
              </w:rPr>
            </w:pPr>
            <w:r w:rsidRPr="004B2361">
              <w:t>2,56</w:t>
            </w:r>
          </w:p>
        </w:tc>
        <w:tc>
          <w:tcPr>
            <w:tcW w:w="1441" w:type="dxa"/>
            <w:tcBorders>
              <w:top w:val="single" w:sz="4" w:space="0" w:color="000000"/>
            </w:tcBorders>
          </w:tcPr>
          <w:p w14:paraId="427D94A6" w14:textId="0374F773" w:rsidR="00EE15CD" w:rsidRDefault="00EE15CD" w:rsidP="00EE15CD">
            <w:pPr>
              <w:widowControl/>
              <w:jc w:val="center"/>
              <w:rPr>
                <w:sz w:val="18"/>
                <w:szCs w:val="18"/>
              </w:rPr>
            </w:pPr>
            <w:r w:rsidRPr="004B2361">
              <w:t>5</w:t>
            </w:r>
          </w:p>
        </w:tc>
        <w:tc>
          <w:tcPr>
            <w:tcW w:w="1603" w:type="dxa"/>
            <w:tcBorders>
              <w:top w:val="single" w:sz="4" w:space="0" w:color="000000"/>
            </w:tcBorders>
          </w:tcPr>
          <w:p w14:paraId="68EC9B5A" w14:textId="4092F1EF" w:rsidR="00EE15CD" w:rsidRDefault="00EE15CD" w:rsidP="00EE15CD">
            <w:pPr>
              <w:widowControl/>
              <w:jc w:val="center"/>
              <w:rPr>
                <w:sz w:val="18"/>
                <w:szCs w:val="18"/>
              </w:rPr>
            </w:pPr>
            <w:r w:rsidRPr="004B2361">
              <w:t>146,892051*</w:t>
            </w:r>
          </w:p>
        </w:tc>
      </w:tr>
      <w:tr w:rsidR="00EE15CD" w14:paraId="5CC64CA7" w14:textId="77777777" w:rsidTr="00407D37">
        <w:trPr>
          <w:trHeight w:val="227"/>
          <w:jc w:val="center"/>
        </w:trPr>
        <w:tc>
          <w:tcPr>
            <w:tcW w:w="1560" w:type="dxa"/>
            <w:tcBorders>
              <w:bottom w:val="nil"/>
            </w:tcBorders>
          </w:tcPr>
          <w:p w14:paraId="14CA667E" w14:textId="51128CD2" w:rsidR="00EE15CD" w:rsidRDefault="00EE15CD" w:rsidP="00EE15CD">
            <w:pPr>
              <w:widowControl/>
              <w:rPr>
                <w:sz w:val="18"/>
                <w:szCs w:val="18"/>
              </w:rPr>
            </w:pPr>
            <w:r w:rsidRPr="00FC3701">
              <w:t>Angico</w:t>
            </w:r>
          </w:p>
        </w:tc>
        <w:tc>
          <w:tcPr>
            <w:tcW w:w="2148" w:type="dxa"/>
            <w:tcBorders>
              <w:bottom w:val="nil"/>
            </w:tcBorders>
          </w:tcPr>
          <w:p w14:paraId="009D97A6" w14:textId="5E0699D8" w:rsidR="00EE15CD" w:rsidRDefault="00EE15CD" w:rsidP="00EE15CD">
            <w:pPr>
              <w:widowControl/>
              <w:jc w:val="center"/>
              <w:rPr>
                <w:sz w:val="18"/>
                <w:szCs w:val="18"/>
              </w:rPr>
            </w:pPr>
            <w:r w:rsidRPr="00FC3701">
              <w:t>2,21</w:t>
            </w:r>
          </w:p>
        </w:tc>
        <w:tc>
          <w:tcPr>
            <w:tcW w:w="1441" w:type="dxa"/>
            <w:tcBorders>
              <w:bottom w:val="nil"/>
            </w:tcBorders>
          </w:tcPr>
          <w:p w14:paraId="098078D5" w14:textId="0D34FC21" w:rsidR="00EE15CD" w:rsidRDefault="00EE15CD" w:rsidP="00EE15CD">
            <w:pPr>
              <w:widowControl/>
              <w:jc w:val="center"/>
              <w:rPr>
                <w:sz w:val="18"/>
                <w:szCs w:val="18"/>
              </w:rPr>
            </w:pPr>
            <w:r w:rsidRPr="00FC3701">
              <w:t>5</w:t>
            </w:r>
          </w:p>
        </w:tc>
        <w:tc>
          <w:tcPr>
            <w:tcW w:w="1603" w:type="dxa"/>
            <w:tcBorders>
              <w:bottom w:val="nil"/>
            </w:tcBorders>
          </w:tcPr>
          <w:p w14:paraId="70A09D7A" w14:textId="6F8AE7C2" w:rsidR="00EE15CD" w:rsidRDefault="00EE15CD" w:rsidP="00EE15CD">
            <w:pPr>
              <w:widowControl/>
              <w:jc w:val="center"/>
              <w:rPr>
                <w:sz w:val="18"/>
                <w:szCs w:val="18"/>
              </w:rPr>
            </w:pPr>
            <w:r w:rsidRPr="00FC3701">
              <w:t>40,226347 *</w:t>
            </w:r>
          </w:p>
        </w:tc>
      </w:tr>
      <w:tr w:rsidR="00EE15CD" w14:paraId="13B1DA6E" w14:textId="77777777" w:rsidTr="00C950D4">
        <w:trPr>
          <w:trHeight w:val="227"/>
          <w:jc w:val="center"/>
        </w:trPr>
        <w:tc>
          <w:tcPr>
            <w:tcW w:w="1560" w:type="dxa"/>
            <w:tcBorders>
              <w:top w:val="nil"/>
              <w:bottom w:val="nil"/>
            </w:tcBorders>
          </w:tcPr>
          <w:p w14:paraId="3E777BE8" w14:textId="334C261B" w:rsidR="00EE15CD" w:rsidRDefault="00EE15CD" w:rsidP="00EE15CD">
            <w:pPr>
              <w:widowControl/>
              <w:rPr>
                <w:sz w:val="18"/>
                <w:szCs w:val="18"/>
              </w:rPr>
            </w:pPr>
            <w:r w:rsidRPr="003A63D7">
              <w:t>Ipê</w:t>
            </w:r>
          </w:p>
        </w:tc>
        <w:tc>
          <w:tcPr>
            <w:tcW w:w="2148" w:type="dxa"/>
            <w:tcBorders>
              <w:top w:val="nil"/>
              <w:bottom w:val="nil"/>
            </w:tcBorders>
          </w:tcPr>
          <w:p w14:paraId="155BF9D2" w14:textId="4B2478B8" w:rsidR="00EE15CD" w:rsidRDefault="00EE15CD" w:rsidP="00EE15CD">
            <w:pPr>
              <w:widowControl/>
              <w:jc w:val="center"/>
              <w:rPr>
                <w:sz w:val="18"/>
                <w:szCs w:val="18"/>
              </w:rPr>
            </w:pPr>
            <w:r w:rsidRPr="003A63D7">
              <w:t>2,29</w:t>
            </w:r>
          </w:p>
        </w:tc>
        <w:tc>
          <w:tcPr>
            <w:tcW w:w="1441" w:type="dxa"/>
            <w:tcBorders>
              <w:top w:val="nil"/>
              <w:bottom w:val="nil"/>
            </w:tcBorders>
          </w:tcPr>
          <w:p w14:paraId="7F3287E0" w14:textId="6BCB0E3F" w:rsidR="00EE15CD" w:rsidRDefault="00EE15CD" w:rsidP="00EE15CD">
            <w:pPr>
              <w:widowControl/>
              <w:jc w:val="center"/>
              <w:rPr>
                <w:sz w:val="18"/>
                <w:szCs w:val="18"/>
              </w:rPr>
            </w:pPr>
            <w:r w:rsidRPr="003A63D7">
              <w:t>5</w:t>
            </w:r>
          </w:p>
        </w:tc>
        <w:tc>
          <w:tcPr>
            <w:tcW w:w="1603" w:type="dxa"/>
            <w:tcBorders>
              <w:top w:val="nil"/>
              <w:bottom w:val="nil"/>
            </w:tcBorders>
          </w:tcPr>
          <w:p w14:paraId="498BCFDB" w14:textId="4196B393" w:rsidR="00EE15CD" w:rsidRDefault="00EE15CD" w:rsidP="00EE15CD">
            <w:pPr>
              <w:widowControl/>
              <w:jc w:val="center"/>
              <w:rPr>
                <w:sz w:val="18"/>
                <w:szCs w:val="18"/>
              </w:rPr>
            </w:pPr>
            <w:r w:rsidRPr="003A63D7">
              <w:t>80,707198 *</w:t>
            </w:r>
          </w:p>
        </w:tc>
      </w:tr>
      <w:tr w:rsidR="00EE15CD" w14:paraId="730E892D" w14:textId="77777777" w:rsidTr="00DC6335">
        <w:trPr>
          <w:trHeight w:val="227"/>
          <w:jc w:val="center"/>
        </w:trPr>
        <w:tc>
          <w:tcPr>
            <w:tcW w:w="1560" w:type="dxa"/>
            <w:tcBorders>
              <w:top w:val="nil"/>
            </w:tcBorders>
          </w:tcPr>
          <w:p w14:paraId="29156795" w14:textId="70FF9BEC" w:rsidR="00EE15CD" w:rsidRDefault="00EE15CD" w:rsidP="00EE15CD">
            <w:pPr>
              <w:widowControl/>
              <w:rPr>
                <w:sz w:val="18"/>
                <w:szCs w:val="18"/>
              </w:rPr>
            </w:pPr>
            <w:r w:rsidRPr="002F7DB7">
              <w:t>Louro</w:t>
            </w:r>
          </w:p>
        </w:tc>
        <w:tc>
          <w:tcPr>
            <w:tcW w:w="2148" w:type="dxa"/>
            <w:tcBorders>
              <w:top w:val="nil"/>
            </w:tcBorders>
          </w:tcPr>
          <w:p w14:paraId="15ABA8D9" w14:textId="3C17EBDD" w:rsidR="00EE15CD" w:rsidRDefault="00EE15CD" w:rsidP="00EE15CD">
            <w:pPr>
              <w:widowControl/>
              <w:jc w:val="center"/>
              <w:rPr>
                <w:sz w:val="18"/>
                <w:szCs w:val="18"/>
              </w:rPr>
            </w:pPr>
            <w:r w:rsidRPr="002F7DB7">
              <w:t>2,17</w:t>
            </w:r>
          </w:p>
        </w:tc>
        <w:tc>
          <w:tcPr>
            <w:tcW w:w="1441" w:type="dxa"/>
            <w:tcBorders>
              <w:top w:val="nil"/>
            </w:tcBorders>
          </w:tcPr>
          <w:p w14:paraId="4A81E765" w14:textId="7A1D5552" w:rsidR="00EE15CD" w:rsidRDefault="00EE15CD" w:rsidP="00EE15CD">
            <w:pPr>
              <w:widowControl/>
              <w:jc w:val="center"/>
              <w:rPr>
                <w:sz w:val="18"/>
                <w:szCs w:val="18"/>
              </w:rPr>
            </w:pPr>
            <w:r w:rsidRPr="002F7DB7">
              <w:t>5</w:t>
            </w:r>
          </w:p>
        </w:tc>
        <w:tc>
          <w:tcPr>
            <w:tcW w:w="1603" w:type="dxa"/>
            <w:tcBorders>
              <w:top w:val="nil"/>
            </w:tcBorders>
          </w:tcPr>
          <w:p w14:paraId="59ECF8B8" w14:textId="253E03D6" w:rsidR="00EE15CD" w:rsidRDefault="00EE15CD" w:rsidP="00EE15CD">
            <w:pPr>
              <w:widowControl/>
              <w:jc w:val="center"/>
              <w:rPr>
                <w:sz w:val="18"/>
                <w:szCs w:val="18"/>
              </w:rPr>
            </w:pPr>
            <w:r w:rsidRPr="002F7DB7">
              <w:t>39,580565 *</w:t>
            </w:r>
          </w:p>
        </w:tc>
      </w:tr>
      <w:tr w:rsidR="00EE15CD" w14:paraId="576CE32A" w14:textId="77777777" w:rsidTr="0063521E">
        <w:trPr>
          <w:trHeight w:val="227"/>
          <w:jc w:val="center"/>
        </w:trPr>
        <w:tc>
          <w:tcPr>
            <w:tcW w:w="1560" w:type="dxa"/>
            <w:vAlign w:val="bottom"/>
          </w:tcPr>
          <w:p w14:paraId="485B4C3B" w14:textId="0EBCE535" w:rsidR="00EE15CD" w:rsidRPr="00EE15CD" w:rsidRDefault="00EE15CD" w:rsidP="00EE15CD">
            <w:pPr>
              <w:widowControl/>
            </w:pPr>
            <w:r w:rsidRPr="00EE15CD">
              <w:t>Ma</w:t>
            </w:r>
            <w:r w:rsidR="00AE497D">
              <w:t>ss</w:t>
            </w:r>
            <w:r w:rsidRPr="00EE15CD">
              <w:t>aranduba</w:t>
            </w:r>
          </w:p>
        </w:tc>
        <w:tc>
          <w:tcPr>
            <w:tcW w:w="2148" w:type="dxa"/>
            <w:vAlign w:val="bottom"/>
          </w:tcPr>
          <w:p w14:paraId="71884960" w14:textId="7844233E" w:rsidR="00EE15CD" w:rsidRPr="00EE15CD" w:rsidRDefault="00EE15CD" w:rsidP="00EE15CD">
            <w:pPr>
              <w:widowControl/>
              <w:jc w:val="center"/>
            </w:pPr>
            <w:r w:rsidRPr="00EE15CD">
              <w:t>1,21</w:t>
            </w:r>
          </w:p>
        </w:tc>
        <w:tc>
          <w:tcPr>
            <w:tcW w:w="1441" w:type="dxa"/>
            <w:vAlign w:val="bottom"/>
          </w:tcPr>
          <w:p w14:paraId="1473CED4" w14:textId="6909083E" w:rsidR="00EE15CD" w:rsidRPr="00EE15CD" w:rsidRDefault="00EE15CD" w:rsidP="00EE15CD">
            <w:pPr>
              <w:widowControl/>
              <w:jc w:val="center"/>
            </w:pPr>
            <w:r w:rsidRPr="00EE15CD">
              <w:t>5</w:t>
            </w:r>
          </w:p>
        </w:tc>
        <w:tc>
          <w:tcPr>
            <w:tcW w:w="1603" w:type="dxa"/>
            <w:vAlign w:val="bottom"/>
          </w:tcPr>
          <w:p w14:paraId="39D264AC" w14:textId="1A8E2325" w:rsidR="00EE15CD" w:rsidRPr="00EE15CD" w:rsidRDefault="00EE15CD" w:rsidP="00EE15CD">
            <w:pPr>
              <w:widowControl/>
              <w:jc w:val="center"/>
            </w:pPr>
            <w:r w:rsidRPr="00EE15CD">
              <w:t>49,530621 *</w:t>
            </w:r>
          </w:p>
        </w:tc>
      </w:tr>
      <w:tr w:rsidR="00EE15CD" w14:paraId="30840DA3" w14:textId="77777777" w:rsidTr="004A3D77">
        <w:trPr>
          <w:trHeight w:val="227"/>
          <w:jc w:val="center"/>
        </w:trPr>
        <w:tc>
          <w:tcPr>
            <w:tcW w:w="1560" w:type="dxa"/>
            <w:shd w:val="clear" w:color="auto" w:fill="auto"/>
          </w:tcPr>
          <w:p w14:paraId="22EE0F0D" w14:textId="5EBCBE47" w:rsidR="00EE15CD" w:rsidRDefault="00EE15CD" w:rsidP="00EE15CD">
            <w:pPr>
              <w:widowControl/>
              <w:rPr>
                <w:sz w:val="18"/>
                <w:szCs w:val="18"/>
              </w:rPr>
            </w:pPr>
            <w:proofErr w:type="spellStart"/>
            <w:r w:rsidRPr="002241D0">
              <w:t>Muiracatiara</w:t>
            </w:r>
            <w:proofErr w:type="spellEnd"/>
          </w:p>
        </w:tc>
        <w:tc>
          <w:tcPr>
            <w:tcW w:w="2148" w:type="dxa"/>
            <w:shd w:val="clear" w:color="auto" w:fill="auto"/>
          </w:tcPr>
          <w:p w14:paraId="21C4354C" w14:textId="6E7B8F73" w:rsidR="00EE15CD" w:rsidRDefault="00EE15CD" w:rsidP="00EE15CD">
            <w:pPr>
              <w:widowControl/>
              <w:jc w:val="center"/>
              <w:rPr>
                <w:sz w:val="18"/>
                <w:szCs w:val="18"/>
              </w:rPr>
            </w:pPr>
            <w:r w:rsidRPr="002241D0">
              <w:t>2,95</w:t>
            </w:r>
          </w:p>
        </w:tc>
        <w:tc>
          <w:tcPr>
            <w:tcW w:w="1441" w:type="dxa"/>
            <w:shd w:val="clear" w:color="auto" w:fill="auto"/>
          </w:tcPr>
          <w:p w14:paraId="7F3D7AB3" w14:textId="16C61021" w:rsidR="00EE15CD" w:rsidRDefault="00EE15CD" w:rsidP="00EE15CD">
            <w:pPr>
              <w:widowControl/>
              <w:jc w:val="center"/>
              <w:rPr>
                <w:sz w:val="18"/>
                <w:szCs w:val="18"/>
              </w:rPr>
            </w:pPr>
            <w:r w:rsidRPr="002241D0">
              <w:t>5</w:t>
            </w:r>
          </w:p>
        </w:tc>
        <w:tc>
          <w:tcPr>
            <w:tcW w:w="1603" w:type="dxa"/>
            <w:shd w:val="clear" w:color="auto" w:fill="auto"/>
          </w:tcPr>
          <w:p w14:paraId="749919EA" w14:textId="1AA004AC" w:rsidR="00EE15CD" w:rsidRDefault="00EE15CD" w:rsidP="00EE15CD">
            <w:pPr>
              <w:widowControl/>
              <w:jc w:val="center"/>
              <w:rPr>
                <w:sz w:val="18"/>
                <w:szCs w:val="18"/>
              </w:rPr>
            </w:pPr>
            <w:r w:rsidRPr="002241D0">
              <w:t>46,283795 *</w:t>
            </w:r>
          </w:p>
        </w:tc>
      </w:tr>
      <w:tr w:rsidR="00EE15CD" w14:paraId="07E63AD1" w14:textId="77777777" w:rsidTr="006E12DF">
        <w:trPr>
          <w:trHeight w:val="227"/>
          <w:jc w:val="center"/>
        </w:trPr>
        <w:tc>
          <w:tcPr>
            <w:tcW w:w="1560" w:type="dxa"/>
            <w:tcBorders>
              <w:bottom w:val="single" w:sz="4" w:space="0" w:color="000000"/>
            </w:tcBorders>
          </w:tcPr>
          <w:p w14:paraId="0FB1777D" w14:textId="53F647FE" w:rsidR="00EE15CD" w:rsidRDefault="00EE15CD" w:rsidP="00EE15CD">
            <w:pPr>
              <w:widowControl/>
              <w:rPr>
                <w:sz w:val="18"/>
                <w:szCs w:val="18"/>
              </w:rPr>
            </w:pPr>
            <w:r w:rsidRPr="00DA68F6">
              <w:t>Sucupira</w:t>
            </w:r>
          </w:p>
        </w:tc>
        <w:tc>
          <w:tcPr>
            <w:tcW w:w="2148" w:type="dxa"/>
            <w:tcBorders>
              <w:bottom w:val="single" w:sz="4" w:space="0" w:color="000000"/>
            </w:tcBorders>
          </w:tcPr>
          <w:p w14:paraId="434416ED" w14:textId="46004995" w:rsidR="00EE15CD" w:rsidRDefault="00EE15CD" w:rsidP="00EE15CD">
            <w:pPr>
              <w:widowControl/>
              <w:jc w:val="center"/>
              <w:rPr>
                <w:sz w:val="18"/>
                <w:szCs w:val="18"/>
              </w:rPr>
            </w:pPr>
            <w:r w:rsidRPr="00DA68F6">
              <w:t>0,74</w:t>
            </w:r>
          </w:p>
        </w:tc>
        <w:tc>
          <w:tcPr>
            <w:tcW w:w="1441" w:type="dxa"/>
            <w:tcBorders>
              <w:bottom w:val="single" w:sz="4" w:space="0" w:color="000000"/>
            </w:tcBorders>
          </w:tcPr>
          <w:p w14:paraId="27BF9DCF" w14:textId="531BE1E3" w:rsidR="00EE15CD" w:rsidRDefault="00EE15CD" w:rsidP="00EE15CD">
            <w:pPr>
              <w:widowControl/>
              <w:jc w:val="center"/>
              <w:rPr>
                <w:sz w:val="18"/>
                <w:szCs w:val="18"/>
              </w:rPr>
            </w:pPr>
            <w:r w:rsidRPr="00DA68F6">
              <w:t>5</w:t>
            </w:r>
          </w:p>
        </w:tc>
        <w:tc>
          <w:tcPr>
            <w:tcW w:w="1603" w:type="dxa"/>
            <w:tcBorders>
              <w:bottom w:val="single" w:sz="4" w:space="0" w:color="000000"/>
            </w:tcBorders>
          </w:tcPr>
          <w:p w14:paraId="4C0C1DF6" w14:textId="23BAE087" w:rsidR="00EE15CD" w:rsidRDefault="00EE15CD" w:rsidP="00EE15CD">
            <w:pPr>
              <w:widowControl/>
              <w:jc w:val="center"/>
              <w:rPr>
                <w:sz w:val="18"/>
                <w:szCs w:val="18"/>
              </w:rPr>
            </w:pPr>
            <w:r w:rsidRPr="00DA68F6">
              <w:t>44,569579 *</w:t>
            </w:r>
          </w:p>
        </w:tc>
      </w:tr>
    </w:tbl>
    <w:p w14:paraId="6933F0D0" w14:textId="27E80FF0" w:rsidR="00EE15CD" w:rsidRPr="00B80E33" w:rsidRDefault="00EE15CD" w:rsidP="00B80E33">
      <w:pPr>
        <w:widowControl/>
        <w:textAlignment w:val="baseline"/>
        <w:rPr>
          <w:sz w:val="16"/>
          <w:szCs w:val="16"/>
        </w:rPr>
      </w:pPr>
      <w:r w:rsidRPr="00B80E33">
        <w:rPr>
          <w:sz w:val="16"/>
          <w:szCs w:val="16"/>
        </w:rPr>
        <w:t xml:space="preserve">Legenda: </w:t>
      </w:r>
      <w:r w:rsidR="000B011A" w:rsidRPr="00B80E33">
        <w:rPr>
          <w:sz w:val="16"/>
          <w:szCs w:val="16"/>
        </w:rPr>
        <w:t xml:space="preserve">CV= </w:t>
      </w:r>
      <w:r w:rsidRPr="00B80E33">
        <w:rPr>
          <w:sz w:val="16"/>
          <w:szCs w:val="16"/>
        </w:rPr>
        <w:t>coeficiente de variação (%)</w:t>
      </w:r>
      <w:r w:rsidR="000B011A" w:rsidRPr="00B80E33">
        <w:rPr>
          <w:sz w:val="16"/>
          <w:szCs w:val="16"/>
        </w:rPr>
        <w:t>, GL= Grau de Liberdade, QM= Quadrado médio</w:t>
      </w:r>
      <w:r w:rsidR="006A6563" w:rsidRPr="00B80E33">
        <w:rPr>
          <w:sz w:val="16"/>
          <w:szCs w:val="16"/>
        </w:rPr>
        <w:t xml:space="preserve">, *= </w:t>
      </w:r>
      <w:r w:rsidR="00B80E33">
        <w:rPr>
          <w:sz w:val="16"/>
          <w:szCs w:val="16"/>
        </w:rPr>
        <w:t>Significativo</w:t>
      </w:r>
      <w:r w:rsidR="006A6563" w:rsidRPr="00B80E33">
        <w:rPr>
          <w:sz w:val="16"/>
          <w:szCs w:val="16"/>
        </w:rPr>
        <w:t xml:space="preserve"> à 5% de confiabilidade.</w:t>
      </w:r>
    </w:p>
    <w:p w14:paraId="514EAB07" w14:textId="77777777" w:rsidR="0066009B" w:rsidRDefault="0066009B" w:rsidP="00EE15CD">
      <w:pPr>
        <w:widowControl/>
        <w:jc w:val="both"/>
        <w:rPr>
          <w:sz w:val="20"/>
          <w:szCs w:val="20"/>
        </w:rPr>
      </w:pPr>
    </w:p>
    <w:p w14:paraId="56DA2FA9" w14:textId="259D2926" w:rsidR="00EE15CD" w:rsidRDefault="0066009B">
      <w:pPr>
        <w:widowControl/>
        <w:ind w:firstLine="709"/>
        <w:jc w:val="both"/>
        <w:rPr>
          <w:sz w:val="20"/>
          <w:szCs w:val="20"/>
        </w:rPr>
      </w:pPr>
      <w:r w:rsidRPr="0066009B">
        <w:rPr>
          <w:sz w:val="20"/>
          <w:szCs w:val="20"/>
        </w:rPr>
        <w:t xml:space="preserve">Constatada a diferença significativa entre os tratamentos, aplicou-se o teste de </w:t>
      </w:r>
      <w:proofErr w:type="spellStart"/>
      <w:r w:rsidRPr="0066009B">
        <w:rPr>
          <w:sz w:val="20"/>
          <w:szCs w:val="20"/>
        </w:rPr>
        <w:t>Scott-Knott</w:t>
      </w:r>
      <w:proofErr w:type="spellEnd"/>
      <w:r w:rsidRPr="0066009B">
        <w:rPr>
          <w:sz w:val="20"/>
          <w:szCs w:val="20"/>
        </w:rPr>
        <w:t xml:space="preserve"> a 5% de confiança, com o intuito de agrupar as médias obtidas em grupos semelhantes. </w:t>
      </w:r>
    </w:p>
    <w:p w14:paraId="3537D189" w14:textId="2467A499" w:rsidR="0066009B" w:rsidRDefault="0066009B">
      <w:pPr>
        <w:widowControl/>
        <w:ind w:firstLine="709"/>
        <w:jc w:val="both"/>
        <w:rPr>
          <w:sz w:val="20"/>
          <w:szCs w:val="20"/>
        </w:rPr>
      </w:pPr>
      <w:r w:rsidRPr="0066009B">
        <w:rPr>
          <w:sz w:val="20"/>
          <w:szCs w:val="20"/>
        </w:rPr>
        <w:t>Considerando-se o método gravimétrico, recomendado para a determinação real do teor de umidade da madeira, pode-</w:t>
      </w:r>
      <w:r w:rsidR="002218B2" w:rsidRPr="0066009B">
        <w:rPr>
          <w:sz w:val="20"/>
          <w:szCs w:val="20"/>
        </w:rPr>
        <w:t>se afirmar</w:t>
      </w:r>
      <w:r w:rsidRPr="0066009B">
        <w:rPr>
          <w:sz w:val="20"/>
          <w:szCs w:val="20"/>
        </w:rPr>
        <w:t xml:space="preserve"> que </w:t>
      </w:r>
      <w:r w:rsidR="002218B2">
        <w:rPr>
          <w:sz w:val="20"/>
          <w:szCs w:val="20"/>
        </w:rPr>
        <w:t>os resultados observados nele representam a UE real das</w:t>
      </w:r>
      <w:r w:rsidRPr="0066009B">
        <w:rPr>
          <w:sz w:val="20"/>
          <w:szCs w:val="20"/>
        </w:rPr>
        <w:t xml:space="preserve"> espécies</w:t>
      </w:r>
      <w:r w:rsidR="002218B2">
        <w:rPr>
          <w:sz w:val="20"/>
          <w:szCs w:val="20"/>
        </w:rPr>
        <w:t xml:space="preserve"> estudadas</w:t>
      </w:r>
      <w:r w:rsidRPr="0066009B">
        <w:rPr>
          <w:sz w:val="20"/>
          <w:szCs w:val="20"/>
        </w:rPr>
        <w:t xml:space="preserve"> para a região de São Cristóvão/SE</w:t>
      </w:r>
      <w:r w:rsidR="00F477CB">
        <w:rPr>
          <w:sz w:val="20"/>
          <w:szCs w:val="20"/>
        </w:rPr>
        <w:t xml:space="preserve">. </w:t>
      </w:r>
      <w:r w:rsidRPr="0066009B">
        <w:rPr>
          <w:sz w:val="20"/>
          <w:szCs w:val="20"/>
        </w:rPr>
        <w:t xml:space="preserve">Importante ressaltar que os valores obtidos neste estudo se aplicam a região onde foi implantado o experimento, uma vez que fatores </w:t>
      </w:r>
      <w:r w:rsidR="00F477CB">
        <w:rPr>
          <w:sz w:val="20"/>
          <w:szCs w:val="20"/>
        </w:rPr>
        <w:t xml:space="preserve">climáticos </w:t>
      </w:r>
      <w:r w:rsidR="00F477CB" w:rsidRPr="0066009B">
        <w:rPr>
          <w:sz w:val="20"/>
          <w:szCs w:val="20"/>
        </w:rPr>
        <w:t>influenciam</w:t>
      </w:r>
      <w:r w:rsidRPr="0066009B">
        <w:rPr>
          <w:sz w:val="20"/>
          <w:szCs w:val="20"/>
        </w:rPr>
        <w:t xml:space="preserve"> a UE da madeira (Sá, 201</w:t>
      </w:r>
      <w:r w:rsidR="006E3859">
        <w:rPr>
          <w:sz w:val="20"/>
          <w:szCs w:val="20"/>
        </w:rPr>
        <w:t>5</w:t>
      </w:r>
      <w:r w:rsidRPr="0066009B">
        <w:rPr>
          <w:sz w:val="20"/>
          <w:szCs w:val="20"/>
        </w:rPr>
        <w:t>).</w:t>
      </w:r>
    </w:p>
    <w:p w14:paraId="53C76E4F" w14:textId="3C55ADF6" w:rsidR="002218B2" w:rsidRDefault="0066009B" w:rsidP="002218B2">
      <w:pPr>
        <w:widowControl/>
        <w:ind w:firstLine="709"/>
        <w:jc w:val="both"/>
        <w:rPr>
          <w:sz w:val="20"/>
          <w:szCs w:val="20"/>
        </w:rPr>
      </w:pPr>
      <w:bookmarkStart w:id="1" w:name="_Hlk198151282"/>
      <w:r w:rsidRPr="0066009B">
        <w:rPr>
          <w:sz w:val="20"/>
          <w:szCs w:val="20"/>
        </w:rPr>
        <w:t xml:space="preserve">Com exceção do TCS-1 para a espécie Massaranduba todos os outros tratamentos variaram significativamente em relação ao método </w:t>
      </w:r>
      <w:r w:rsidR="002218B2">
        <w:rPr>
          <w:sz w:val="20"/>
          <w:szCs w:val="20"/>
        </w:rPr>
        <w:t>gravimétrico (Imagem 1)</w:t>
      </w:r>
      <w:r w:rsidRPr="0066009B">
        <w:rPr>
          <w:sz w:val="20"/>
          <w:szCs w:val="20"/>
        </w:rPr>
        <w:t>. Consequentemente, pode-se afirmar que o TCS-1 estimou com precisão o valor da UE para a Massaranduba, sugerindo sua adequação para futuras estimativas dessa espécie.</w:t>
      </w:r>
      <w:r>
        <w:rPr>
          <w:sz w:val="20"/>
          <w:szCs w:val="20"/>
        </w:rPr>
        <w:t xml:space="preserve"> </w:t>
      </w:r>
      <w:r w:rsidRPr="0066009B">
        <w:rPr>
          <w:sz w:val="20"/>
          <w:szCs w:val="20"/>
        </w:rPr>
        <w:t xml:space="preserve">Os tratamentos </w:t>
      </w:r>
      <w:bookmarkEnd w:id="1"/>
      <w:r w:rsidRPr="0066009B">
        <w:rPr>
          <w:sz w:val="20"/>
          <w:szCs w:val="20"/>
        </w:rPr>
        <w:t xml:space="preserve">TCS-75 1 e 2 variaram significativamente </w:t>
      </w:r>
      <w:r w:rsidR="00B90EF0">
        <w:rPr>
          <w:sz w:val="20"/>
          <w:szCs w:val="20"/>
        </w:rPr>
        <w:t xml:space="preserve">entre si </w:t>
      </w:r>
      <w:r w:rsidRPr="0066009B">
        <w:rPr>
          <w:sz w:val="20"/>
          <w:szCs w:val="20"/>
        </w:rPr>
        <w:t>em cinco das sete espécies estudadas, mesmo com a padronização das medições no sentido axial das fibras, tal fato pode estar relacionado com o operador, uma vez que cada aparelho foi manuseado por pessoas diferentes.</w:t>
      </w:r>
      <w:r w:rsidR="002218B2">
        <w:rPr>
          <w:sz w:val="20"/>
          <w:szCs w:val="20"/>
        </w:rPr>
        <w:t xml:space="preserve"> </w:t>
      </w:r>
      <w:r w:rsidR="002218B2" w:rsidRPr="0066009B">
        <w:rPr>
          <w:sz w:val="20"/>
          <w:szCs w:val="20"/>
        </w:rPr>
        <w:t xml:space="preserve">Os resultados da análise constam na Tabela </w:t>
      </w:r>
      <w:r w:rsidR="00FE3101">
        <w:rPr>
          <w:sz w:val="20"/>
          <w:szCs w:val="20"/>
        </w:rPr>
        <w:t>2</w:t>
      </w:r>
      <w:r w:rsidR="002218B2">
        <w:rPr>
          <w:sz w:val="20"/>
          <w:szCs w:val="20"/>
        </w:rPr>
        <w:t>.</w:t>
      </w:r>
      <w:r w:rsidR="00285FC9">
        <w:rPr>
          <w:sz w:val="20"/>
          <w:szCs w:val="20"/>
        </w:rPr>
        <w:t xml:space="preserve"> Vale ressaltar</w:t>
      </w:r>
      <w:r w:rsidR="00285FC9" w:rsidRPr="00285FC9">
        <w:rPr>
          <w:sz w:val="20"/>
          <w:szCs w:val="20"/>
        </w:rPr>
        <w:t xml:space="preserve"> que os resultados obtidos </w:t>
      </w:r>
      <w:r w:rsidR="00285FC9">
        <w:rPr>
          <w:sz w:val="20"/>
          <w:szCs w:val="20"/>
        </w:rPr>
        <w:t>com</w:t>
      </w:r>
      <w:r w:rsidR="00285FC9" w:rsidRPr="00285FC9">
        <w:rPr>
          <w:sz w:val="20"/>
          <w:szCs w:val="20"/>
        </w:rPr>
        <w:t xml:space="preserve"> </w:t>
      </w:r>
      <w:r w:rsidR="00285FC9">
        <w:rPr>
          <w:sz w:val="20"/>
          <w:szCs w:val="20"/>
        </w:rPr>
        <w:t xml:space="preserve">os </w:t>
      </w:r>
      <w:r w:rsidR="00285FC9" w:rsidRPr="00285FC9">
        <w:rPr>
          <w:sz w:val="20"/>
          <w:szCs w:val="20"/>
        </w:rPr>
        <w:t xml:space="preserve">tratamentos </w:t>
      </w:r>
      <w:proofErr w:type="spellStart"/>
      <w:r w:rsidR="00285FC9" w:rsidRPr="00285FC9">
        <w:rPr>
          <w:sz w:val="20"/>
          <w:szCs w:val="20"/>
        </w:rPr>
        <w:t>Hailwood</w:t>
      </w:r>
      <w:proofErr w:type="spellEnd"/>
      <w:r w:rsidR="00285FC9" w:rsidRPr="00285FC9">
        <w:rPr>
          <w:sz w:val="20"/>
          <w:szCs w:val="20"/>
        </w:rPr>
        <w:t xml:space="preserve"> e </w:t>
      </w:r>
      <w:proofErr w:type="spellStart"/>
      <w:r w:rsidR="00285FC9" w:rsidRPr="00285FC9">
        <w:rPr>
          <w:sz w:val="20"/>
          <w:szCs w:val="20"/>
        </w:rPr>
        <w:t>Horrobin</w:t>
      </w:r>
      <w:proofErr w:type="spellEnd"/>
      <w:r w:rsidR="00285FC9" w:rsidRPr="00285FC9">
        <w:rPr>
          <w:sz w:val="20"/>
          <w:szCs w:val="20"/>
        </w:rPr>
        <w:t xml:space="preserve"> de 1 e 2 hidratos e BET não alteraram seus valores reais em função das espécies</w:t>
      </w:r>
      <w:r w:rsidR="00285FC9">
        <w:rPr>
          <w:sz w:val="20"/>
          <w:szCs w:val="20"/>
        </w:rPr>
        <w:t xml:space="preserve"> estudadas</w:t>
      </w:r>
      <w:r w:rsidR="00285FC9" w:rsidRPr="00285FC9">
        <w:rPr>
          <w:sz w:val="20"/>
          <w:szCs w:val="20"/>
        </w:rPr>
        <w:t xml:space="preserve"> devido suas equações considerarem apenas umidade relativa, pressão de saturação e temperatura. No entanto, o comportamento dessas metodologias diferiu em relação aos demais tratamentos dentro de cada espécie.</w:t>
      </w:r>
    </w:p>
    <w:p w14:paraId="3CE3B0B4" w14:textId="05FEAB42" w:rsidR="009E4787" w:rsidRDefault="002218B2" w:rsidP="009E4787">
      <w:pPr>
        <w:widowControl/>
        <w:ind w:firstLine="709"/>
        <w:jc w:val="center"/>
        <w:rPr>
          <w:noProof/>
          <w:sz w:val="20"/>
          <w:szCs w:val="20"/>
        </w:rPr>
      </w:pPr>
      <w:r>
        <w:rPr>
          <w:noProof/>
          <w:sz w:val="24"/>
          <w:szCs w:val="24"/>
        </w:rPr>
        <w:drawing>
          <wp:inline distT="114300" distB="114300" distL="114300" distR="114300" wp14:anchorId="7A21F708" wp14:editId="3570EA76">
            <wp:extent cx="3206750" cy="2183765"/>
            <wp:effectExtent l="0" t="0" r="0" b="6985"/>
            <wp:docPr id="7" name="image2.png" descr="Gráfico, Gráfico de linh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7" name="image2.png" descr="Gráfico, Gráfico de linhas&#10;&#10;O conteúdo gerado por IA pode estar incorreto."/>
                    <pic:cNvPicPr preferRelativeResize="0"/>
                  </pic:nvPicPr>
                  <pic:blipFill>
                    <a:blip r:embed="rId7"/>
                    <a:srcRect/>
                    <a:stretch>
                      <a:fillRect/>
                    </a:stretch>
                  </pic:blipFill>
                  <pic:spPr>
                    <a:xfrm>
                      <a:off x="0" y="0"/>
                      <a:ext cx="3209112" cy="2185373"/>
                    </a:xfrm>
                    <a:prstGeom prst="rect">
                      <a:avLst/>
                    </a:prstGeom>
                    <a:ln/>
                  </pic:spPr>
                </pic:pic>
              </a:graphicData>
            </a:graphic>
          </wp:inline>
        </w:drawing>
      </w:r>
    </w:p>
    <w:p w14:paraId="107230AB" w14:textId="7252D705" w:rsidR="002218B2" w:rsidRPr="00923DF3" w:rsidRDefault="002218B2" w:rsidP="00923DF3">
      <w:pPr>
        <w:pStyle w:val="paragraph"/>
        <w:spacing w:before="0" w:beforeAutospacing="0" w:after="0" w:afterAutospacing="0"/>
        <w:ind w:left="851" w:hanging="851"/>
        <w:jc w:val="both"/>
        <w:textAlignment w:val="baseline"/>
        <w:rPr>
          <w:rStyle w:val="normaltextrun"/>
          <w:sz w:val="20"/>
          <w:szCs w:val="20"/>
        </w:rPr>
      </w:pPr>
      <w:r w:rsidRPr="00923DF3">
        <w:rPr>
          <w:rStyle w:val="normaltextrun"/>
          <w:sz w:val="20"/>
          <w:szCs w:val="20"/>
        </w:rPr>
        <w:t xml:space="preserve">Figura </w:t>
      </w:r>
      <w:r w:rsidR="00F477CB" w:rsidRPr="00923DF3">
        <w:rPr>
          <w:rStyle w:val="normaltextrun"/>
          <w:sz w:val="20"/>
          <w:szCs w:val="20"/>
        </w:rPr>
        <w:t>1. Comportamento</w:t>
      </w:r>
      <w:r w:rsidRPr="00923DF3">
        <w:rPr>
          <w:rStyle w:val="normaltextrun"/>
          <w:sz w:val="20"/>
          <w:szCs w:val="20"/>
        </w:rPr>
        <w:t xml:space="preserve"> da madeira de </w:t>
      </w:r>
      <w:r w:rsidR="00F477CB" w:rsidRPr="00923DF3">
        <w:rPr>
          <w:rStyle w:val="normaltextrun"/>
          <w:sz w:val="20"/>
          <w:szCs w:val="20"/>
        </w:rPr>
        <w:t>Massaranduba</w:t>
      </w:r>
      <w:r w:rsidRPr="00923DF3">
        <w:rPr>
          <w:rStyle w:val="normaltextrun"/>
          <w:sz w:val="20"/>
          <w:szCs w:val="20"/>
        </w:rPr>
        <w:t xml:space="preserve"> </w:t>
      </w:r>
      <w:r w:rsidR="00F477CB" w:rsidRPr="00923DF3">
        <w:rPr>
          <w:rStyle w:val="normaltextrun"/>
          <w:sz w:val="20"/>
          <w:szCs w:val="20"/>
        </w:rPr>
        <w:t>com diferentes métodos de estimativa da Umidade de Equilíbrio</w:t>
      </w:r>
    </w:p>
    <w:p w14:paraId="1ECDCEB3" w14:textId="77777777" w:rsidR="00961539" w:rsidRDefault="00961539" w:rsidP="004B0E2E">
      <w:pPr>
        <w:widowControl/>
        <w:jc w:val="both"/>
        <w:rPr>
          <w:sz w:val="20"/>
          <w:szCs w:val="20"/>
        </w:rPr>
      </w:pPr>
    </w:p>
    <w:p w14:paraId="0537BBAA" w14:textId="4A26444E" w:rsidR="002218B2" w:rsidRPr="002218B2" w:rsidRDefault="002218B2" w:rsidP="002218B2">
      <w:pPr>
        <w:widowControl/>
        <w:ind w:left="851" w:hanging="851"/>
        <w:jc w:val="both"/>
        <w:rPr>
          <w:sz w:val="20"/>
          <w:szCs w:val="20"/>
        </w:rPr>
      </w:pPr>
      <w:r>
        <w:rPr>
          <w:sz w:val="20"/>
          <w:szCs w:val="20"/>
        </w:rPr>
        <w:t>Tabela 3.</w:t>
      </w:r>
      <w:r>
        <w:rPr>
          <w:sz w:val="20"/>
          <w:szCs w:val="20"/>
        </w:rPr>
        <w:tab/>
        <w:t>V</w:t>
      </w:r>
      <w:r w:rsidRPr="002218B2">
        <w:rPr>
          <w:sz w:val="20"/>
          <w:szCs w:val="20"/>
        </w:rPr>
        <w:t>alores médios referentes aos tratamentos utilizados.</w:t>
      </w:r>
    </w:p>
    <w:tbl>
      <w:tblPr>
        <w:tblStyle w:val="a"/>
        <w:tblW w:w="10112" w:type="dxa"/>
        <w:jc w:val="center"/>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264"/>
        <w:gridCol w:w="1520"/>
        <w:gridCol w:w="1009"/>
        <w:gridCol w:w="1263"/>
        <w:gridCol w:w="984"/>
        <w:gridCol w:w="1545"/>
        <w:gridCol w:w="1404"/>
        <w:gridCol w:w="1123"/>
      </w:tblGrid>
      <w:tr w:rsidR="007E3E58" w14:paraId="46A7DD2F" w14:textId="463DB713" w:rsidTr="004B0E2E">
        <w:trPr>
          <w:trHeight w:val="420"/>
          <w:jc w:val="center"/>
        </w:trPr>
        <w:tc>
          <w:tcPr>
            <w:tcW w:w="1264" w:type="dxa"/>
            <w:tcBorders>
              <w:top w:val="single" w:sz="4" w:space="0" w:color="000000"/>
              <w:bottom w:val="single" w:sz="4" w:space="0" w:color="000000"/>
            </w:tcBorders>
          </w:tcPr>
          <w:p w14:paraId="156F3220" w14:textId="17D8E443" w:rsidR="007E3E58" w:rsidRDefault="007E3E58" w:rsidP="005B2F39">
            <w:pPr>
              <w:widowControl/>
              <w:rPr>
                <w:sz w:val="18"/>
                <w:szCs w:val="18"/>
              </w:rPr>
            </w:pPr>
            <w:r>
              <w:t>Tratamento</w:t>
            </w:r>
          </w:p>
        </w:tc>
        <w:tc>
          <w:tcPr>
            <w:tcW w:w="1520" w:type="dxa"/>
            <w:tcBorders>
              <w:top w:val="single" w:sz="4" w:space="0" w:color="000000"/>
              <w:bottom w:val="single" w:sz="4" w:space="0" w:color="000000"/>
            </w:tcBorders>
          </w:tcPr>
          <w:p w14:paraId="65E2B084" w14:textId="324984C0" w:rsidR="007E3E58" w:rsidRDefault="007E3E58" w:rsidP="005B2F39">
            <w:pPr>
              <w:widowControl/>
              <w:jc w:val="center"/>
              <w:rPr>
                <w:sz w:val="18"/>
                <w:szCs w:val="18"/>
              </w:rPr>
            </w:pPr>
            <w:r w:rsidRPr="007E3E58">
              <w:t>Angelim-Pedra</w:t>
            </w:r>
          </w:p>
        </w:tc>
        <w:tc>
          <w:tcPr>
            <w:tcW w:w="1009" w:type="dxa"/>
            <w:tcBorders>
              <w:top w:val="single" w:sz="4" w:space="0" w:color="000000"/>
              <w:bottom w:val="single" w:sz="4" w:space="0" w:color="000000"/>
            </w:tcBorders>
          </w:tcPr>
          <w:p w14:paraId="449AAF50" w14:textId="00B0278E" w:rsidR="007E3E58" w:rsidRDefault="007E3E58" w:rsidP="005B2F39">
            <w:pPr>
              <w:widowControl/>
              <w:jc w:val="center"/>
              <w:rPr>
                <w:sz w:val="18"/>
                <w:szCs w:val="18"/>
              </w:rPr>
            </w:pPr>
            <w:r>
              <w:t>Angico</w:t>
            </w:r>
          </w:p>
        </w:tc>
        <w:tc>
          <w:tcPr>
            <w:tcW w:w="1263" w:type="dxa"/>
            <w:tcBorders>
              <w:top w:val="single" w:sz="4" w:space="0" w:color="000000"/>
              <w:bottom w:val="single" w:sz="4" w:space="0" w:color="000000"/>
            </w:tcBorders>
          </w:tcPr>
          <w:p w14:paraId="7D447776" w14:textId="23F7D224" w:rsidR="007E3E58" w:rsidRDefault="007E3E58" w:rsidP="005B2F39">
            <w:pPr>
              <w:widowControl/>
              <w:jc w:val="center"/>
              <w:rPr>
                <w:sz w:val="18"/>
                <w:szCs w:val="18"/>
              </w:rPr>
            </w:pPr>
            <w:r>
              <w:t>Ipê</w:t>
            </w:r>
          </w:p>
        </w:tc>
        <w:tc>
          <w:tcPr>
            <w:tcW w:w="984" w:type="dxa"/>
            <w:tcBorders>
              <w:top w:val="single" w:sz="4" w:space="0" w:color="000000"/>
              <w:bottom w:val="single" w:sz="4" w:space="0" w:color="000000"/>
            </w:tcBorders>
          </w:tcPr>
          <w:p w14:paraId="5FAFCFE5" w14:textId="149219CA" w:rsidR="007E3E58" w:rsidRDefault="007E3E58" w:rsidP="005B2F39">
            <w:pPr>
              <w:widowControl/>
              <w:jc w:val="center"/>
            </w:pPr>
            <w:r>
              <w:t>Louro</w:t>
            </w:r>
          </w:p>
        </w:tc>
        <w:tc>
          <w:tcPr>
            <w:tcW w:w="1545" w:type="dxa"/>
            <w:tcBorders>
              <w:top w:val="single" w:sz="4" w:space="0" w:color="000000"/>
              <w:bottom w:val="single" w:sz="4" w:space="0" w:color="000000"/>
            </w:tcBorders>
          </w:tcPr>
          <w:p w14:paraId="4EB05412" w14:textId="5A0639FD" w:rsidR="007E3E58" w:rsidRDefault="007E3E58" w:rsidP="005B2F39">
            <w:pPr>
              <w:widowControl/>
              <w:jc w:val="center"/>
            </w:pPr>
            <w:r>
              <w:t>Massaranduba</w:t>
            </w:r>
          </w:p>
        </w:tc>
        <w:tc>
          <w:tcPr>
            <w:tcW w:w="1404" w:type="dxa"/>
            <w:tcBorders>
              <w:top w:val="single" w:sz="4" w:space="0" w:color="000000"/>
              <w:bottom w:val="single" w:sz="4" w:space="0" w:color="000000"/>
            </w:tcBorders>
          </w:tcPr>
          <w:p w14:paraId="36E7D09D" w14:textId="1E379762" w:rsidR="007E3E58" w:rsidRDefault="007E3E58" w:rsidP="005B2F39">
            <w:pPr>
              <w:widowControl/>
              <w:jc w:val="center"/>
            </w:pPr>
            <w:proofErr w:type="spellStart"/>
            <w:r>
              <w:t>Muiracatiara</w:t>
            </w:r>
            <w:proofErr w:type="spellEnd"/>
          </w:p>
        </w:tc>
        <w:tc>
          <w:tcPr>
            <w:tcW w:w="1123" w:type="dxa"/>
            <w:tcBorders>
              <w:top w:val="single" w:sz="4" w:space="0" w:color="000000"/>
              <w:bottom w:val="single" w:sz="4" w:space="0" w:color="000000"/>
            </w:tcBorders>
          </w:tcPr>
          <w:p w14:paraId="48A52F04" w14:textId="1237A975" w:rsidR="007E3E58" w:rsidRDefault="007E3E58" w:rsidP="005B2F39">
            <w:pPr>
              <w:widowControl/>
              <w:jc w:val="center"/>
            </w:pPr>
            <w:r>
              <w:t>Sucupira</w:t>
            </w:r>
          </w:p>
        </w:tc>
      </w:tr>
      <w:tr w:rsidR="007E3E58" w14:paraId="22DCC322" w14:textId="04098180" w:rsidTr="004B0E2E">
        <w:trPr>
          <w:trHeight w:val="420"/>
          <w:jc w:val="center"/>
        </w:trPr>
        <w:tc>
          <w:tcPr>
            <w:tcW w:w="1264" w:type="dxa"/>
            <w:tcBorders>
              <w:top w:val="single" w:sz="4" w:space="0" w:color="000000"/>
            </w:tcBorders>
          </w:tcPr>
          <w:p w14:paraId="30DD1C88" w14:textId="35E43602" w:rsidR="007E3E58" w:rsidRDefault="007E3E58" w:rsidP="007E3E58">
            <w:pPr>
              <w:widowControl/>
              <w:rPr>
                <w:sz w:val="18"/>
                <w:szCs w:val="18"/>
              </w:rPr>
            </w:pPr>
            <w:r>
              <w:t>Estufa</w:t>
            </w:r>
          </w:p>
        </w:tc>
        <w:tc>
          <w:tcPr>
            <w:tcW w:w="1520" w:type="dxa"/>
            <w:tcBorders>
              <w:top w:val="single" w:sz="4" w:space="0" w:color="000000"/>
            </w:tcBorders>
          </w:tcPr>
          <w:p w14:paraId="2D9C59AF" w14:textId="0264D2A3" w:rsidR="007E3E58" w:rsidRDefault="007E3E58" w:rsidP="007E3E58">
            <w:pPr>
              <w:widowControl/>
              <w:jc w:val="center"/>
              <w:rPr>
                <w:sz w:val="18"/>
                <w:szCs w:val="18"/>
              </w:rPr>
            </w:pPr>
            <w:r w:rsidRPr="007E3E58">
              <w:t>12,</w:t>
            </w:r>
            <w:r w:rsidR="007A188E">
              <w:t>54</w:t>
            </w:r>
            <w:r w:rsidRPr="007E3E58">
              <w:t xml:space="preserve"> a3</w:t>
            </w:r>
          </w:p>
        </w:tc>
        <w:tc>
          <w:tcPr>
            <w:tcW w:w="1009" w:type="dxa"/>
            <w:tcBorders>
              <w:top w:val="single" w:sz="4" w:space="0" w:color="000000"/>
            </w:tcBorders>
          </w:tcPr>
          <w:p w14:paraId="622964F7" w14:textId="4048A1F3" w:rsidR="007E3E58" w:rsidRDefault="007E3E58" w:rsidP="007E3E58">
            <w:pPr>
              <w:widowControl/>
              <w:jc w:val="center"/>
              <w:rPr>
                <w:sz w:val="18"/>
                <w:szCs w:val="18"/>
              </w:rPr>
            </w:pPr>
            <w:r w:rsidRPr="007E3E58">
              <w:t>14,</w:t>
            </w:r>
            <w:r w:rsidR="007A188E">
              <w:t>35</w:t>
            </w:r>
            <w:r w:rsidRPr="007E3E58">
              <w:t xml:space="preserve"> a1</w:t>
            </w:r>
          </w:p>
        </w:tc>
        <w:tc>
          <w:tcPr>
            <w:tcW w:w="1263" w:type="dxa"/>
            <w:tcBorders>
              <w:top w:val="single" w:sz="4" w:space="0" w:color="000000"/>
            </w:tcBorders>
          </w:tcPr>
          <w:p w14:paraId="69134220" w14:textId="532D67E2" w:rsidR="007E3E58" w:rsidRDefault="007E3E58" w:rsidP="007E3E58">
            <w:pPr>
              <w:widowControl/>
              <w:jc w:val="center"/>
              <w:rPr>
                <w:sz w:val="18"/>
                <w:szCs w:val="18"/>
              </w:rPr>
            </w:pPr>
            <w:r w:rsidRPr="007E3E58">
              <w:t>9,</w:t>
            </w:r>
            <w:proofErr w:type="gramStart"/>
            <w:r w:rsidRPr="007E3E58">
              <w:t>3</w:t>
            </w:r>
            <w:r w:rsidR="007A188E">
              <w:t>8</w:t>
            </w:r>
            <w:r w:rsidRPr="007E3E58">
              <w:t xml:space="preserve"> </w:t>
            </w:r>
            <w:r w:rsidR="004B0E2E">
              <w:t xml:space="preserve"> </w:t>
            </w:r>
            <w:r w:rsidRPr="007E3E58">
              <w:t>a</w:t>
            </w:r>
            <w:proofErr w:type="gramEnd"/>
            <w:r w:rsidRPr="007E3E58">
              <w:t>1</w:t>
            </w:r>
          </w:p>
        </w:tc>
        <w:tc>
          <w:tcPr>
            <w:tcW w:w="984" w:type="dxa"/>
            <w:tcBorders>
              <w:top w:val="single" w:sz="4" w:space="0" w:color="000000"/>
            </w:tcBorders>
          </w:tcPr>
          <w:p w14:paraId="5A0A6398" w14:textId="5D2280FB" w:rsidR="007E3E58" w:rsidRPr="004B2361" w:rsidRDefault="007E3E58" w:rsidP="007E3E58">
            <w:pPr>
              <w:widowControl/>
              <w:jc w:val="center"/>
            </w:pPr>
            <w:r w:rsidRPr="007E3E58">
              <w:t>13,</w:t>
            </w:r>
            <w:r w:rsidR="007A188E">
              <w:t>76</w:t>
            </w:r>
            <w:r w:rsidRPr="007E3E58">
              <w:t xml:space="preserve"> a1</w:t>
            </w:r>
          </w:p>
        </w:tc>
        <w:tc>
          <w:tcPr>
            <w:tcW w:w="1545" w:type="dxa"/>
            <w:tcBorders>
              <w:top w:val="single" w:sz="4" w:space="0" w:color="000000"/>
            </w:tcBorders>
          </w:tcPr>
          <w:p w14:paraId="6069B1A2" w14:textId="62E01074" w:rsidR="007E3E58" w:rsidRPr="004B2361" w:rsidRDefault="007E3E58" w:rsidP="007E3E58">
            <w:pPr>
              <w:widowControl/>
              <w:jc w:val="center"/>
            </w:pPr>
            <w:r w:rsidRPr="007E3E58">
              <w:t>13,8</w:t>
            </w:r>
            <w:r w:rsidR="007A188E">
              <w:t>4</w:t>
            </w:r>
            <w:r w:rsidRPr="007E3E58">
              <w:t xml:space="preserve"> a</w:t>
            </w:r>
            <w:r w:rsidR="00865588">
              <w:t>2</w:t>
            </w:r>
          </w:p>
        </w:tc>
        <w:tc>
          <w:tcPr>
            <w:tcW w:w="1404" w:type="dxa"/>
            <w:tcBorders>
              <w:top w:val="single" w:sz="4" w:space="0" w:color="000000"/>
            </w:tcBorders>
          </w:tcPr>
          <w:p w14:paraId="4AF5F88D" w14:textId="44837914" w:rsidR="007E3E58" w:rsidRPr="004B2361" w:rsidRDefault="007E3E58" w:rsidP="007E3E58">
            <w:pPr>
              <w:widowControl/>
              <w:jc w:val="center"/>
            </w:pPr>
            <w:r w:rsidRPr="007E3E58">
              <w:t>12,7</w:t>
            </w:r>
            <w:r w:rsidR="007A188E">
              <w:t>6</w:t>
            </w:r>
            <w:r w:rsidRPr="007E3E58">
              <w:t xml:space="preserve"> a1</w:t>
            </w:r>
          </w:p>
        </w:tc>
        <w:tc>
          <w:tcPr>
            <w:tcW w:w="1123" w:type="dxa"/>
            <w:tcBorders>
              <w:top w:val="single" w:sz="4" w:space="0" w:color="000000"/>
            </w:tcBorders>
          </w:tcPr>
          <w:p w14:paraId="7BB9C531" w14:textId="6A44A3C0" w:rsidR="007E3E58" w:rsidRPr="004B2361" w:rsidRDefault="007E3E58" w:rsidP="007E3E58">
            <w:pPr>
              <w:widowControl/>
              <w:jc w:val="center"/>
            </w:pPr>
            <w:r w:rsidRPr="007E3E58">
              <w:t>12,6</w:t>
            </w:r>
            <w:r w:rsidR="00865588">
              <w:t>6</w:t>
            </w:r>
            <w:r w:rsidRPr="007E3E58">
              <w:t xml:space="preserve"> a1</w:t>
            </w:r>
          </w:p>
        </w:tc>
      </w:tr>
      <w:tr w:rsidR="007E3E58" w14:paraId="60BD61A3" w14:textId="20CEE3C3" w:rsidTr="004B0E2E">
        <w:trPr>
          <w:trHeight w:val="420"/>
          <w:jc w:val="center"/>
        </w:trPr>
        <w:tc>
          <w:tcPr>
            <w:tcW w:w="1264" w:type="dxa"/>
            <w:tcBorders>
              <w:bottom w:val="nil"/>
            </w:tcBorders>
          </w:tcPr>
          <w:p w14:paraId="0A36AC59" w14:textId="61CA2CC8" w:rsidR="007E3E58" w:rsidRDefault="007E3E58" w:rsidP="007E3E58">
            <w:pPr>
              <w:widowControl/>
              <w:rPr>
                <w:sz w:val="18"/>
                <w:szCs w:val="18"/>
              </w:rPr>
            </w:pPr>
            <w:r w:rsidRPr="007E3E58">
              <w:t>TCS-75 1</w:t>
            </w:r>
          </w:p>
        </w:tc>
        <w:tc>
          <w:tcPr>
            <w:tcW w:w="1520" w:type="dxa"/>
            <w:tcBorders>
              <w:bottom w:val="nil"/>
            </w:tcBorders>
          </w:tcPr>
          <w:p w14:paraId="6E7E8043" w14:textId="6434A867" w:rsidR="007E3E58" w:rsidRDefault="007E3E58" w:rsidP="007E3E58">
            <w:pPr>
              <w:widowControl/>
              <w:jc w:val="center"/>
              <w:rPr>
                <w:sz w:val="18"/>
                <w:szCs w:val="18"/>
              </w:rPr>
            </w:pPr>
            <w:r w:rsidRPr="007E3E58">
              <w:t>7,</w:t>
            </w:r>
            <w:proofErr w:type="gramStart"/>
            <w:r w:rsidRPr="007E3E58">
              <w:t xml:space="preserve">41 </w:t>
            </w:r>
            <w:r w:rsidR="004B0E2E">
              <w:t xml:space="preserve"> </w:t>
            </w:r>
            <w:r w:rsidRPr="007E3E58">
              <w:t>a</w:t>
            </w:r>
            <w:proofErr w:type="gramEnd"/>
            <w:r w:rsidRPr="007E3E58">
              <w:t>1</w:t>
            </w:r>
          </w:p>
        </w:tc>
        <w:tc>
          <w:tcPr>
            <w:tcW w:w="1009" w:type="dxa"/>
            <w:tcBorders>
              <w:bottom w:val="nil"/>
            </w:tcBorders>
          </w:tcPr>
          <w:p w14:paraId="060B7172" w14:textId="0F1E59B1" w:rsidR="007E3E58" w:rsidRDefault="007E3E58" w:rsidP="007E3E58">
            <w:pPr>
              <w:widowControl/>
              <w:jc w:val="center"/>
              <w:rPr>
                <w:sz w:val="18"/>
                <w:szCs w:val="18"/>
              </w:rPr>
            </w:pPr>
            <w:r w:rsidRPr="007E3E58">
              <w:t>19,47 a4</w:t>
            </w:r>
          </w:p>
        </w:tc>
        <w:tc>
          <w:tcPr>
            <w:tcW w:w="1263" w:type="dxa"/>
            <w:tcBorders>
              <w:bottom w:val="nil"/>
            </w:tcBorders>
          </w:tcPr>
          <w:p w14:paraId="000BD37F" w14:textId="1A639AEB" w:rsidR="007E3E58" w:rsidRDefault="007E3E58" w:rsidP="007E3E58">
            <w:pPr>
              <w:widowControl/>
              <w:jc w:val="center"/>
              <w:rPr>
                <w:sz w:val="18"/>
                <w:szCs w:val="18"/>
              </w:rPr>
            </w:pPr>
            <w:r w:rsidRPr="007E3E58">
              <w:t>14,02 a2</w:t>
            </w:r>
          </w:p>
        </w:tc>
        <w:tc>
          <w:tcPr>
            <w:tcW w:w="984" w:type="dxa"/>
            <w:tcBorders>
              <w:bottom w:val="nil"/>
            </w:tcBorders>
          </w:tcPr>
          <w:p w14:paraId="7C393CB4" w14:textId="7A3AE503" w:rsidR="007E3E58" w:rsidRPr="00FC3701" w:rsidRDefault="007E3E58" w:rsidP="007E3E58">
            <w:pPr>
              <w:widowControl/>
              <w:jc w:val="center"/>
            </w:pPr>
            <w:r w:rsidRPr="007E3E58">
              <w:t>18,40 a4</w:t>
            </w:r>
          </w:p>
        </w:tc>
        <w:tc>
          <w:tcPr>
            <w:tcW w:w="1545" w:type="dxa"/>
            <w:tcBorders>
              <w:bottom w:val="nil"/>
            </w:tcBorders>
          </w:tcPr>
          <w:p w14:paraId="475A0AF3" w14:textId="40709468" w:rsidR="007E3E58" w:rsidRPr="00FC3701" w:rsidRDefault="007E3E58" w:rsidP="007E3E58">
            <w:pPr>
              <w:widowControl/>
              <w:jc w:val="center"/>
            </w:pPr>
            <w:r w:rsidRPr="007E3E58">
              <w:t>13,66 a1</w:t>
            </w:r>
          </w:p>
        </w:tc>
        <w:tc>
          <w:tcPr>
            <w:tcW w:w="1404" w:type="dxa"/>
            <w:tcBorders>
              <w:bottom w:val="nil"/>
            </w:tcBorders>
          </w:tcPr>
          <w:p w14:paraId="7DB0152B" w14:textId="39FA3E69" w:rsidR="007E3E58" w:rsidRPr="00FC3701" w:rsidRDefault="007E3E58" w:rsidP="007E3E58">
            <w:pPr>
              <w:widowControl/>
              <w:jc w:val="center"/>
            </w:pPr>
            <w:r w:rsidRPr="007E3E58">
              <w:t>15,11 a2</w:t>
            </w:r>
          </w:p>
        </w:tc>
        <w:tc>
          <w:tcPr>
            <w:tcW w:w="1123" w:type="dxa"/>
            <w:tcBorders>
              <w:bottom w:val="nil"/>
            </w:tcBorders>
          </w:tcPr>
          <w:p w14:paraId="3C04662A" w14:textId="503919CF" w:rsidR="007E3E58" w:rsidRPr="00FC3701" w:rsidRDefault="007E3E58" w:rsidP="007E3E58">
            <w:pPr>
              <w:widowControl/>
              <w:jc w:val="center"/>
            </w:pPr>
            <w:r w:rsidRPr="007E3E58">
              <w:t>16,28 a4</w:t>
            </w:r>
          </w:p>
        </w:tc>
      </w:tr>
      <w:tr w:rsidR="007E3E58" w14:paraId="0FE12B7A" w14:textId="0FD02730" w:rsidTr="004B0E2E">
        <w:trPr>
          <w:trHeight w:val="420"/>
          <w:jc w:val="center"/>
        </w:trPr>
        <w:tc>
          <w:tcPr>
            <w:tcW w:w="1264" w:type="dxa"/>
            <w:tcBorders>
              <w:top w:val="nil"/>
              <w:bottom w:val="nil"/>
            </w:tcBorders>
          </w:tcPr>
          <w:p w14:paraId="5C579463" w14:textId="7FFEEACF" w:rsidR="007E3E58" w:rsidRDefault="007E3E58" w:rsidP="007E3E58">
            <w:pPr>
              <w:widowControl/>
              <w:rPr>
                <w:sz w:val="18"/>
                <w:szCs w:val="18"/>
              </w:rPr>
            </w:pPr>
            <w:r w:rsidRPr="007E3E58">
              <w:t>TCS-75 2</w:t>
            </w:r>
          </w:p>
        </w:tc>
        <w:tc>
          <w:tcPr>
            <w:tcW w:w="1520" w:type="dxa"/>
            <w:tcBorders>
              <w:top w:val="nil"/>
              <w:bottom w:val="nil"/>
            </w:tcBorders>
          </w:tcPr>
          <w:p w14:paraId="26E49034" w14:textId="1150CF7D" w:rsidR="007E3E58" w:rsidRDefault="007E3E58" w:rsidP="007E3E58">
            <w:pPr>
              <w:widowControl/>
              <w:jc w:val="center"/>
              <w:rPr>
                <w:sz w:val="18"/>
                <w:szCs w:val="18"/>
              </w:rPr>
            </w:pPr>
            <w:r w:rsidRPr="007E3E58">
              <w:t>7,</w:t>
            </w:r>
            <w:proofErr w:type="gramStart"/>
            <w:r w:rsidRPr="007E3E58">
              <w:t xml:space="preserve">88 </w:t>
            </w:r>
            <w:r w:rsidR="004B0E2E">
              <w:t xml:space="preserve"> </w:t>
            </w:r>
            <w:r w:rsidRPr="007E3E58">
              <w:t>a</w:t>
            </w:r>
            <w:proofErr w:type="gramEnd"/>
            <w:r w:rsidRPr="007E3E58">
              <w:t>2</w:t>
            </w:r>
          </w:p>
        </w:tc>
        <w:tc>
          <w:tcPr>
            <w:tcW w:w="1009" w:type="dxa"/>
            <w:tcBorders>
              <w:top w:val="nil"/>
              <w:bottom w:val="nil"/>
            </w:tcBorders>
          </w:tcPr>
          <w:p w14:paraId="297CE67F" w14:textId="4B5E92E7" w:rsidR="007E3E58" w:rsidRDefault="007E3E58" w:rsidP="007E3E58">
            <w:pPr>
              <w:widowControl/>
              <w:jc w:val="center"/>
              <w:rPr>
                <w:sz w:val="18"/>
                <w:szCs w:val="18"/>
              </w:rPr>
            </w:pPr>
            <w:r w:rsidRPr="007E3E58">
              <w:t>18,38 a3</w:t>
            </w:r>
          </w:p>
        </w:tc>
        <w:tc>
          <w:tcPr>
            <w:tcW w:w="1263" w:type="dxa"/>
            <w:tcBorders>
              <w:top w:val="nil"/>
              <w:bottom w:val="nil"/>
            </w:tcBorders>
          </w:tcPr>
          <w:p w14:paraId="37A3542E" w14:textId="063691A5" w:rsidR="007E3E58" w:rsidRDefault="007E3E58" w:rsidP="007E3E58">
            <w:pPr>
              <w:widowControl/>
              <w:jc w:val="center"/>
              <w:rPr>
                <w:sz w:val="18"/>
                <w:szCs w:val="18"/>
              </w:rPr>
            </w:pPr>
            <w:r w:rsidRPr="007E3E58">
              <w:t>13,74 a2</w:t>
            </w:r>
          </w:p>
        </w:tc>
        <w:tc>
          <w:tcPr>
            <w:tcW w:w="984" w:type="dxa"/>
            <w:tcBorders>
              <w:top w:val="nil"/>
              <w:bottom w:val="nil"/>
            </w:tcBorders>
          </w:tcPr>
          <w:p w14:paraId="73FDFF6E" w14:textId="767E25BA" w:rsidR="007E3E58" w:rsidRPr="003A63D7" w:rsidRDefault="007E3E58" w:rsidP="007E3E58">
            <w:pPr>
              <w:widowControl/>
              <w:jc w:val="center"/>
            </w:pPr>
            <w:r w:rsidRPr="007E3E58">
              <w:t>17,64 a3</w:t>
            </w:r>
          </w:p>
        </w:tc>
        <w:tc>
          <w:tcPr>
            <w:tcW w:w="1545" w:type="dxa"/>
            <w:tcBorders>
              <w:top w:val="nil"/>
              <w:bottom w:val="nil"/>
            </w:tcBorders>
          </w:tcPr>
          <w:p w14:paraId="4378C3AC" w14:textId="607A5903" w:rsidR="007E3E58" w:rsidRPr="003A63D7" w:rsidRDefault="007E3E58" w:rsidP="007E3E58">
            <w:pPr>
              <w:widowControl/>
              <w:jc w:val="center"/>
            </w:pPr>
            <w:r w:rsidRPr="007E3E58">
              <w:t>13,48 a1</w:t>
            </w:r>
          </w:p>
        </w:tc>
        <w:tc>
          <w:tcPr>
            <w:tcW w:w="1404" w:type="dxa"/>
            <w:tcBorders>
              <w:top w:val="nil"/>
              <w:bottom w:val="nil"/>
            </w:tcBorders>
          </w:tcPr>
          <w:p w14:paraId="2F39A997" w14:textId="50B5BF73" w:rsidR="007E3E58" w:rsidRPr="003A63D7" w:rsidRDefault="007E3E58" w:rsidP="007E3E58">
            <w:pPr>
              <w:widowControl/>
              <w:jc w:val="center"/>
            </w:pPr>
            <w:r w:rsidRPr="007E3E58">
              <w:t>14,86 a2</w:t>
            </w:r>
          </w:p>
        </w:tc>
        <w:tc>
          <w:tcPr>
            <w:tcW w:w="1123" w:type="dxa"/>
            <w:tcBorders>
              <w:top w:val="nil"/>
              <w:bottom w:val="nil"/>
            </w:tcBorders>
          </w:tcPr>
          <w:p w14:paraId="3F7C0C51" w14:textId="677E862D" w:rsidR="007E3E58" w:rsidRPr="003A63D7" w:rsidRDefault="007E3E58" w:rsidP="007E3E58">
            <w:pPr>
              <w:widowControl/>
              <w:jc w:val="center"/>
            </w:pPr>
            <w:r w:rsidRPr="007E3E58">
              <w:t>15,80 a3</w:t>
            </w:r>
          </w:p>
        </w:tc>
      </w:tr>
      <w:tr w:rsidR="007E3E58" w14:paraId="6B939E5B" w14:textId="14F15BE4" w:rsidTr="004B0E2E">
        <w:trPr>
          <w:trHeight w:val="420"/>
          <w:jc w:val="center"/>
        </w:trPr>
        <w:tc>
          <w:tcPr>
            <w:tcW w:w="1264" w:type="dxa"/>
            <w:tcBorders>
              <w:top w:val="nil"/>
            </w:tcBorders>
          </w:tcPr>
          <w:p w14:paraId="4C4D94BA" w14:textId="18231C9F" w:rsidR="007E3E58" w:rsidRDefault="007E3E58" w:rsidP="007E3E58">
            <w:pPr>
              <w:widowControl/>
              <w:rPr>
                <w:sz w:val="18"/>
                <w:szCs w:val="18"/>
              </w:rPr>
            </w:pPr>
            <w:r w:rsidRPr="007E3E58">
              <w:t xml:space="preserve">Ha. </w:t>
            </w:r>
            <w:proofErr w:type="spellStart"/>
            <w:r w:rsidRPr="007E3E58">
              <w:t>Hor</w:t>
            </w:r>
            <w:proofErr w:type="spellEnd"/>
            <w:r w:rsidRPr="007E3E58">
              <w:t xml:space="preserve"> 1h</w:t>
            </w:r>
          </w:p>
        </w:tc>
        <w:tc>
          <w:tcPr>
            <w:tcW w:w="1520" w:type="dxa"/>
            <w:tcBorders>
              <w:top w:val="nil"/>
            </w:tcBorders>
          </w:tcPr>
          <w:p w14:paraId="574F8041" w14:textId="7BEE5FA9" w:rsidR="007E3E58" w:rsidRDefault="007E3E58" w:rsidP="007E3E58">
            <w:pPr>
              <w:widowControl/>
              <w:jc w:val="center"/>
              <w:rPr>
                <w:sz w:val="18"/>
                <w:szCs w:val="18"/>
              </w:rPr>
            </w:pPr>
            <w:r w:rsidRPr="007E3E58">
              <w:t>15,50 a4</w:t>
            </w:r>
          </w:p>
        </w:tc>
        <w:tc>
          <w:tcPr>
            <w:tcW w:w="1009" w:type="dxa"/>
            <w:tcBorders>
              <w:top w:val="nil"/>
            </w:tcBorders>
          </w:tcPr>
          <w:p w14:paraId="1FF831E7" w14:textId="02D8C525" w:rsidR="007E3E58" w:rsidRDefault="007E3E58" w:rsidP="007E3E58">
            <w:pPr>
              <w:widowControl/>
              <w:jc w:val="center"/>
              <w:rPr>
                <w:sz w:val="18"/>
                <w:szCs w:val="18"/>
              </w:rPr>
            </w:pPr>
            <w:r w:rsidRPr="007E3E58">
              <w:t>15,50 a2</w:t>
            </w:r>
          </w:p>
        </w:tc>
        <w:tc>
          <w:tcPr>
            <w:tcW w:w="1263" w:type="dxa"/>
            <w:tcBorders>
              <w:top w:val="nil"/>
            </w:tcBorders>
          </w:tcPr>
          <w:p w14:paraId="0F9F412A" w14:textId="510FBB89" w:rsidR="007E3E58" w:rsidRDefault="007E3E58" w:rsidP="007E3E58">
            <w:pPr>
              <w:widowControl/>
              <w:jc w:val="center"/>
              <w:rPr>
                <w:sz w:val="18"/>
                <w:szCs w:val="18"/>
              </w:rPr>
            </w:pPr>
            <w:r w:rsidRPr="007E3E58">
              <w:t>15,50 a3</w:t>
            </w:r>
          </w:p>
        </w:tc>
        <w:tc>
          <w:tcPr>
            <w:tcW w:w="984" w:type="dxa"/>
            <w:tcBorders>
              <w:top w:val="nil"/>
            </w:tcBorders>
          </w:tcPr>
          <w:p w14:paraId="2DE43FCD" w14:textId="639A5F38" w:rsidR="007E3E58" w:rsidRPr="002F7DB7" w:rsidRDefault="007E3E58" w:rsidP="007E3E58">
            <w:pPr>
              <w:widowControl/>
              <w:jc w:val="center"/>
            </w:pPr>
            <w:r w:rsidRPr="007E3E58">
              <w:t>15,50 a2</w:t>
            </w:r>
          </w:p>
        </w:tc>
        <w:tc>
          <w:tcPr>
            <w:tcW w:w="1545" w:type="dxa"/>
            <w:tcBorders>
              <w:top w:val="nil"/>
            </w:tcBorders>
          </w:tcPr>
          <w:p w14:paraId="509E545C" w14:textId="4ADDD186" w:rsidR="007E3E58" w:rsidRPr="002F7DB7" w:rsidRDefault="007E3E58" w:rsidP="007E3E58">
            <w:pPr>
              <w:widowControl/>
              <w:jc w:val="center"/>
            </w:pPr>
            <w:r w:rsidRPr="007E3E58">
              <w:t>15,50 a3</w:t>
            </w:r>
          </w:p>
        </w:tc>
        <w:tc>
          <w:tcPr>
            <w:tcW w:w="1404" w:type="dxa"/>
            <w:tcBorders>
              <w:top w:val="nil"/>
            </w:tcBorders>
          </w:tcPr>
          <w:p w14:paraId="739F95F8" w14:textId="2AFA2456" w:rsidR="007E3E58" w:rsidRPr="002F7DB7" w:rsidRDefault="007E3E58" w:rsidP="007E3E58">
            <w:pPr>
              <w:widowControl/>
              <w:jc w:val="center"/>
            </w:pPr>
            <w:r w:rsidRPr="007E3E58">
              <w:t>15,50 a3</w:t>
            </w:r>
          </w:p>
        </w:tc>
        <w:tc>
          <w:tcPr>
            <w:tcW w:w="1123" w:type="dxa"/>
            <w:tcBorders>
              <w:top w:val="nil"/>
            </w:tcBorders>
          </w:tcPr>
          <w:p w14:paraId="0A5EF2DA" w14:textId="5950C29E" w:rsidR="007E3E58" w:rsidRPr="002F7DB7" w:rsidRDefault="007E3E58" w:rsidP="007E3E58">
            <w:pPr>
              <w:widowControl/>
              <w:jc w:val="center"/>
            </w:pPr>
            <w:r w:rsidRPr="007E3E58">
              <w:t>15,50 a2</w:t>
            </w:r>
          </w:p>
        </w:tc>
      </w:tr>
      <w:tr w:rsidR="007E3E58" w14:paraId="5A70A7FA" w14:textId="7797516F" w:rsidTr="004B0E2E">
        <w:trPr>
          <w:trHeight w:val="420"/>
          <w:jc w:val="center"/>
        </w:trPr>
        <w:tc>
          <w:tcPr>
            <w:tcW w:w="1264" w:type="dxa"/>
            <w:vAlign w:val="center"/>
          </w:tcPr>
          <w:p w14:paraId="192EE872" w14:textId="52E0C8A4" w:rsidR="007E3E58" w:rsidRPr="00EE15CD" w:rsidRDefault="007E3E58" w:rsidP="007E3E58">
            <w:pPr>
              <w:widowControl/>
              <w:jc w:val="center"/>
            </w:pPr>
            <w:r w:rsidRPr="007E3E58">
              <w:t xml:space="preserve">Ha. </w:t>
            </w:r>
            <w:proofErr w:type="spellStart"/>
            <w:r w:rsidRPr="007E3E58">
              <w:t>Hor</w:t>
            </w:r>
            <w:proofErr w:type="spellEnd"/>
            <w:r w:rsidRPr="007E3E58">
              <w:t xml:space="preserve"> 2h</w:t>
            </w:r>
          </w:p>
        </w:tc>
        <w:tc>
          <w:tcPr>
            <w:tcW w:w="1520" w:type="dxa"/>
          </w:tcPr>
          <w:p w14:paraId="379819BB" w14:textId="0A471D44" w:rsidR="007E3E58" w:rsidRPr="00EE15CD" w:rsidRDefault="007E3E58" w:rsidP="007E3E58">
            <w:pPr>
              <w:widowControl/>
              <w:jc w:val="center"/>
            </w:pPr>
            <w:r w:rsidRPr="007E3E58">
              <w:t>21,78 a5</w:t>
            </w:r>
          </w:p>
        </w:tc>
        <w:tc>
          <w:tcPr>
            <w:tcW w:w="1009" w:type="dxa"/>
          </w:tcPr>
          <w:p w14:paraId="611FFD3D" w14:textId="653A6276" w:rsidR="007E3E58" w:rsidRPr="00EE15CD" w:rsidRDefault="007E3E58" w:rsidP="007E3E58">
            <w:pPr>
              <w:widowControl/>
              <w:jc w:val="center"/>
            </w:pPr>
            <w:r w:rsidRPr="007E3E58">
              <w:t>21,78 a5</w:t>
            </w:r>
          </w:p>
        </w:tc>
        <w:tc>
          <w:tcPr>
            <w:tcW w:w="1263" w:type="dxa"/>
          </w:tcPr>
          <w:p w14:paraId="2342F2FD" w14:textId="0BE041E1" w:rsidR="007E3E58" w:rsidRPr="00EE15CD" w:rsidRDefault="007E3E58" w:rsidP="007E3E58">
            <w:pPr>
              <w:widowControl/>
              <w:jc w:val="center"/>
            </w:pPr>
            <w:r w:rsidRPr="007E3E58">
              <w:t>21,78 a4</w:t>
            </w:r>
          </w:p>
        </w:tc>
        <w:tc>
          <w:tcPr>
            <w:tcW w:w="984" w:type="dxa"/>
          </w:tcPr>
          <w:p w14:paraId="7CA4D77E" w14:textId="354C15A1" w:rsidR="007E3E58" w:rsidRPr="00EE15CD" w:rsidRDefault="007E3E58" w:rsidP="007E3E58">
            <w:pPr>
              <w:widowControl/>
              <w:jc w:val="center"/>
            </w:pPr>
            <w:r w:rsidRPr="007E3E58">
              <w:t>21,78 a5</w:t>
            </w:r>
          </w:p>
        </w:tc>
        <w:tc>
          <w:tcPr>
            <w:tcW w:w="1545" w:type="dxa"/>
          </w:tcPr>
          <w:p w14:paraId="47636351" w14:textId="42E68081" w:rsidR="007E3E58" w:rsidRPr="00EE15CD" w:rsidRDefault="007E3E58" w:rsidP="007E3E58">
            <w:pPr>
              <w:widowControl/>
              <w:jc w:val="center"/>
            </w:pPr>
            <w:r w:rsidRPr="007E3E58">
              <w:t>21,78 a4</w:t>
            </w:r>
          </w:p>
        </w:tc>
        <w:tc>
          <w:tcPr>
            <w:tcW w:w="1404" w:type="dxa"/>
          </w:tcPr>
          <w:p w14:paraId="312E27B4" w14:textId="1FDCA57D" w:rsidR="007E3E58" w:rsidRPr="00EE15CD" w:rsidRDefault="007E3E58" w:rsidP="007E3E58">
            <w:pPr>
              <w:widowControl/>
              <w:jc w:val="center"/>
            </w:pPr>
            <w:r w:rsidRPr="007E3E58">
              <w:t>21,78 a4</w:t>
            </w:r>
          </w:p>
        </w:tc>
        <w:tc>
          <w:tcPr>
            <w:tcW w:w="1123" w:type="dxa"/>
          </w:tcPr>
          <w:p w14:paraId="031C1107" w14:textId="6EC570F8" w:rsidR="007E3E58" w:rsidRPr="00EE15CD" w:rsidRDefault="007E3E58" w:rsidP="007E3E58">
            <w:pPr>
              <w:widowControl/>
              <w:jc w:val="center"/>
            </w:pPr>
            <w:r w:rsidRPr="007E3E58">
              <w:t>21,78 a5</w:t>
            </w:r>
          </w:p>
        </w:tc>
      </w:tr>
      <w:tr w:rsidR="007E3E58" w14:paraId="0994080C" w14:textId="77777777" w:rsidTr="004B0E2E">
        <w:trPr>
          <w:trHeight w:val="420"/>
          <w:jc w:val="center"/>
        </w:trPr>
        <w:tc>
          <w:tcPr>
            <w:tcW w:w="1264" w:type="dxa"/>
            <w:vAlign w:val="center"/>
          </w:tcPr>
          <w:p w14:paraId="0BF5993A" w14:textId="68352778" w:rsidR="007E3E58" w:rsidRPr="007E3E58" w:rsidRDefault="007E3E58" w:rsidP="007E3E58">
            <w:pPr>
              <w:widowControl/>
              <w:jc w:val="center"/>
            </w:pPr>
            <w:r w:rsidRPr="007E3E58">
              <w:lastRenderedPageBreak/>
              <w:t>BET</w:t>
            </w:r>
          </w:p>
        </w:tc>
        <w:tc>
          <w:tcPr>
            <w:tcW w:w="1520" w:type="dxa"/>
          </w:tcPr>
          <w:p w14:paraId="6803F293" w14:textId="278BBBA7" w:rsidR="007E3E58" w:rsidRPr="00EE15CD" w:rsidRDefault="007E3E58" w:rsidP="007E3E58">
            <w:pPr>
              <w:widowControl/>
              <w:jc w:val="center"/>
            </w:pPr>
            <w:r w:rsidRPr="007E3E58">
              <w:t>15,68 a4</w:t>
            </w:r>
          </w:p>
        </w:tc>
        <w:tc>
          <w:tcPr>
            <w:tcW w:w="1009" w:type="dxa"/>
          </w:tcPr>
          <w:p w14:paraId="7A7DED8E" w14:textId="36AABC54" w:rsidR="007E3E58" w:rsidRPr="00EE15CD" w:rsidRDefault="007E3E58" w:rsidP="007E3E58">
            <w:pPr>
              <w:widowControl/>
              <w:jc w:val="center"/>
            </w:pPr>
            <w:r w:rsidRPr="007E3E58">
              <w:t>15,68 a2</w:t>
            </w:r>
          </w:p>
        </w:tc>
        <w:tc>
          <w:tcPr>
            <w:tcW w:w="1263" w:type="dxa"/>
          </w:tcPr>
          <w:p w14:paraId="4C0F5FF7" w14:textId="4F07A101" w:rsidR="007E3E58" w:rsidRPr="00EE15CD" w:rsidRDefault="007E3E58" w:rsidP="007E3E58">
            <w:pPr>
              <w:widowControl/>
              <w:jc w:val="center"/>
            </w:pPr>
            <w:r w:rsidRPr="007E3E58">
              <w:t>15,68 a3</w:t>
            </w:r>
          </w:p>
        </w:tc>
        <w:tc>
          <w:tcPr>
            <w:tcW w:w="984" w:type="dxa"/>
          </w:tcPr>
          <w:p w14:paraId="04E1587B" w14:textId="72B88FEE" w:rsidR="007E3E58" w:rsidRPr="00EE15CD" w:rsidRDefault="007E3E58" w:rsidP="007E3E58">
            <w:pPr>
              <w:widowControl/>
              <w:jc w:val="center"/>
            </w:pPr>
            <w:r w:rsidRPr="007E3E58">
              <w:t>15,68 a2</w:t>
            </w:r>
          </w:p>
        </w:tc>
        <w:tc>
          <w:tcPr>
            <w:tcW w:w="1545" w:type="dxa"/>
          </w:tcPr>
          <w:p w14:paraId="540C20AD" w14:textId="2D76A53C" w:rsidR="007E3E58" w:rsidRPr="00EE15CD" w:rsidRDefault="007E3E58" w:rsidP="007E3E58">
            <w:pPr>
              <w:widowControl/>
              <w:jc w:val="center"/>
            </w:pPr>
            <w:r w:rsidRPr="007E3E58">
              <w:t>15,68 a3</w:t>
            </w:r>
          </w:p>
        </w:tc>
        <w:tc>
          <w:tcPr>
            <w:tcW w:w="1404" w:type="dxa"/>
          </w:tcPr>
          <w:p w14:paraId="704E7D50" w14:textId="3BADA75E" w:rsidR="007E3E58" w:rsidRPr="00EE15CD" w:rsidRDefault="007E3E58" w:rsidP="007E3E58">
            <w:pPr>
              <w:widowControl/>
              <w:jc w:val="center"/>
            </w:pPr>
            <w:r w:rsidRPr="007E3E58">
              <w:t>15,68 a3</w:t>
            </w:r>
          </w:p>
        </w:tc>
        <w:tc>
          <w:tcPr>
            <w:tcW w:w="1123" w:type="dxa"/>
          </w:tcPr>
          <w:p w14:paraId="0E2A588E" w14:textId="0FFAA050" w:rsidR="007E3E58" w:rsidRPr="00EE15CD" w:rsidRDefault="007E3E58" w:rsidP="007E3E58">
            <w:pPr>
              <w:widowControl/>
              <w:jc w:val="center"/>
            </w:pPr>
            <w:r w:rsidRPr="007E3E58">
              <w:t>15,68 a3</w:t>
            </w:r>
          </w:p>
        </w:tc>
      </w:tr>
    </w:tbl>
    <w:p w14:paraId="25ECC1A5" w14:textId="4C04A5AB" w:rsidR="0066009B" w:rsidRPr="0066009B" w:rsidRDefault="0066009B" w:rsidP="0066009B">
      <w:pPr>
        <w:widowControl/>
        <w:ind w:firstLine="709"/>
        <w:jc w:val="both"/>
        <w:rPr>
          <w:sz w:val="20"/>
          <w:szCs w:val="20"/>
        </w:rPr>
      </w:pPr>
      <w:r w:rsidRPr="0066009B">
        <w:rPr>
          <w:sz w:val="20"/>
          <w:szCs w:val="20"/>
        </w:rPr>
        <w:t xml:space="preserve">A variação da umidade de equilíbrio existente entre as espécies </w:t>
      </w:r>
      <w:r w:rsidR="00AD2D01">
        <w:rPr>
          <w:sz w:val="20"/>
          <w:szCs w:val="20"/>
        </w:rPr>
        <w:t>pode estar</w:t>
      </w:r>
      <w:r w:rsidRPr="0066009B">
        <w:rPr>
          <w:sz w:val="20"/>
          <w:szCs w:val="20"/>
        </w:rPr>
        <w:t xml:space="preserve"> relacionad</w:t>
      </w:r>
      <w:r w:rsidR="00AD2D01">
        <w:rPr>
          <w:sz w:val="20"/>
          <w:szCs w:val="20"/>
        </w:rPr>
        <w:t>a</w:t>
      </w:r>
      <w:r w:rsidRPr="0066009B">
        <w:rPr>
          <w:sz w:val="20"/>
          <w:szCs w:val="20"/>
        </w:rPr>
        <w:t xml:space="preserve"> com a densidade presente na mesma, uma vez que quanto mais elementos químicos a madeira conter</w:t>
      </w:r>
      <w:r w:rsidR="00AD2D01">
        <w:rPr>
          <w:sz w:val="20"/>
          <w:szCs w:val="20"/>
        </w:rPr>
        <w:t xml:space="preserve">, </w:t>
      </w:r>
      <w:r w:rsidRPr="0066009B">
        <w:rPr>
          <w:sz w:val="20"/>
          <w:szCs w:val="20"/>
        </w:rPr>
        <w:t>menor será a quantidade de água presente nela, deste modo</w:t>
      </w:r>
      <w:r w:rsidR="00AD2D01">
        <w:rPr>
          <w:sz w:val="20"/>
          <w:szCs w:val="20"/>
        </w:rPr>
        <w:t xml:space="preserve">, </w:t>
      </w:r>
      <w:r w:rsidRPr="0066009B">
        <w:rPr>
          <w:sz w:val="20"/>
          <w:szCs w:val="20"/>
        </w:rPr>
        <w:t>madeiras mais densas apresentam menores umidades de equilíbrio (Lima et al, 2024)</w:t>
      </w:r>
      <w:r w:rsidR="00AD2D01">
        <w:rPr>
          <w:sz w:val="20"/>
          <w:szCs w:val="20"/>
        </w:rPr>
        <w:t>.</w:t>
      </w:r>
    </w:p>
    <w:p w14:paraId="56DD13D5" w14:textId="43210122" w:rsidR="00B1243D" w:rsidRDefault="0066009B" w:rsidP="00442853">
      <w:pPr>
        <w:widowControl/>
        <w:ind w:firstLine="709"/>
        <w:jc w:val="both"/>
        <w:rPr>
          <w:sz w:val="20"/>
          <w:szCs w:val="20"/>
          <w:highlight w:val="yellow"/>
        </w:rPr>
      </w:pPr>
      <w:r w:rsidRPr="0066009B">
        <w:rPr>
          <w:sz w:val="20"/>
          <w:szCs w:val="20"/>
        </w:rPr>
        <w:t xml:space="preserve">Em estudo sobre comparação entre métodos de aferição do teor de umidade em peças de madeira de dimensões reduzidas </w:t>
      </w:r>
      <w:r w:rsidR="009E4787" w:rsidRPr="009E4787">
        <w:rPr>
          <w:sz w:val="20"/>
          <w:szCs w:val="20"/>
        </w:rPr>
        <w:t>Araújo</w:t>
      </w:r>
      <w:r w:rsidRPr="009E4787">
        <w:rPr>
          <w:sz w:val="20"/>
          <w:szCs w:val="20"/>
        </w:rPr>
        <w:t xml:space="preserve"> et al. (2018)</w:t>
      </w:r>
      <w:r w:rsidRPr="0066009B">
        <w:rPr>
          <w:sz w:val="20"/>
          <w:szCs w:val="20"/>
        </w:rPr>
        <w:t xml:space="preserve"> encontrou para a madeira de Massaranduba resultados na faixa de 16,25% e 23,33% com a utilização de medidores capacitivos, tais resultados foram discrepantes com os encontrados neste estudo para os medidores capacitivos testados, entretanto, o mesmo autor encontrou resultados na faixa de 13,36% e 17,29% para o método gravimétrico, resultados como este corroboram com os encontrados neste estudo.</w:t>
      </w:r>
      <w:r>
        <w:rPr>
          <w:sz w:val="20"/>
          <w:szCs w:val="20"/>
        </w:rPr>
        <w:t xml:space="preserve"> Já </w:t>
      </w:r>
      <w:r w:rsidRPr="0066009B">
        <w:rPr>
          <w:sz w:val="20"/>
          <w:szCs w:val="20"/>
        </w:rPr>
        <w:t>Santana (201</w:t>
      </w:r>
      <w:r w:rsidR="006E3859">
        <w:rPr>
          <w:sz w:val="20"/>
          <w:szCs w:val="20"/>
        </w:rPr>
        <w:t>5</w:t>
      </w:r>
      <w:r w:rsidRPr="0066009B">
        <w:rPr>
          <w:sz w:val="20"/>
          <w:szCs w:val="20"/>
        </w:rPr>
        <w:t xml:space="preserve">) em estudo sobre a estimativa da umidade de equilíbrio para alguns municípios do estado de </w:t>
      </w:r>
      <w:r>
        <w:rPr>
          <w:sz w:val="20"/>
          <w:szCs w:val="20"/>
        </w:rPr>
        <w:t>S</w:t>
      </w:r>
      <w:r w:rsidRPr="0066009B">
        <w:rPr>
          <w:sz w:val="20"/>
          <w:szCs w:val="20"/>
        </w:rPr>
        <w:t xml:space="preserve">ergipe mediante equações, encontrou para o estado de Sergipe médias de 13,02 % para a equação de </w:t>
      </w:r>
      <w:proofErr w:type="spellStart"/>
      <w:r w:rsidRPr="0066009B">
        <w:rPr>
          <w:sz w:val="20"/>
          <w:szCs w:val="20"/>
        </w:rPr>
        <w:t>Hailwood</w:t>
      </w:r>
      <w:proofErr w:type="spellEnd"/>
      <w:r w:rsidRPr="0066009B">
        <w:rPr>
          <w:sz w:val="20"/>
          <w:szCs w:val="20"/>
        </w:rPr>
        <w:t xml:space="preserve"> e </w:t>
      </w:r>
      <w:proofErr w:type="spellStart"/>
      <w:r w:rsidRPr="0066009B">
        <w:rPr>
          <w:sz w:val="20"/>
          <w:szCs w:val="20"/>
        </w:rPr>
        <w:t>Horrobin</w:t>
      </w:r>
      <w:proofErr w:type="spellEnd"/>
      <w:r w:rsidRPr="0066009B">
        <w:rPr>
          <w:sz w:val="20"/>
          <w:szCs w:val="20"/>
        </w:rPr>
        <w:t xml:space="preserve"> de 1 hidrato, 10,05% para a equação de </w:t>
      </w:r>
      <w:proofErr w:type="spellStart"/>
      <w:r w:rsidRPr="0066009B">
        <w:rPr>
          <w:sz w:val="20"/>
          <w:szCs w:val="20"/>
        </w:rPr>
        <w:t>Hailwood</w:t>
      </w:r>
      <w:proofErr w:type="spellEnd"/>
      <w:r w:rsidRPr="0066009B">
        <w:rPr>
          <w:sz w:val="20"/>
          <w:szCs w:val="20"/>
        </w:rPr>
        <w:t xml:space="preserve"> e </w:t>
      </w:r>
      <w:proofErr w:type="spellStart"/>
      <w:r w:rsidRPr="0066009B">
        <w:rPr>
          <w:sz w:val="20"/>
          <w:szCs w:val="20"/>
        </w:rPr>
        <w:t>Horrobin</w:t>
      </w:r>
      <w:proofErr w:type="spellEnd"/>
      <w:r w:rsidRPr="0066009B">
        <w:rPr>
          <w:sz w:val="20"/>
          <w:szCs w:val="20"/>
        </w:rPr>
        <w:t xml:space="preserve"> de 2 hidratos e 13,72% para a equação de BET. Os resultados encontrados pelo autor foram abaixo das encontradas neste estudo, que foram de 15,50%, 21,78% e 15,68% respectivamente.</w:t>
      </w:r>
    </w:p>
    <w:p w14:paraId="39A3AECF" w14:textId="77777777" w:rsidR="00442853" w:rsidRPr="00442853" w:rsidRDefault="00442853" w:rsidP="00442853">
      <w:pPr>
        <w:widowControl/>
        <w:ind w:firstLine="709"/>
        <w:jc w:val="both"/>
        <w:rPr>
          <w:sz w:val="20"/>
          <w:szCs w:val="20"/>
          <w:highlight w:val="yellow"/>
        </w:rPr>
      </w:pPr>
    </w:p>
    <w:p w14:paraId="689BDBFC" w14:textId="57760228" w:rsidR="00B1243D" w:rsidRDefault="00C822B1" w:rsidP="00830A1A">
      <w:pPr>
        <w:widowControl/>
        <w:jc w:val="both"/>
        <w:rPr>
          <w:sz w:val="20"/>
          <w:szCs w:val="20"/>
        </w:rPr>
      </w:pPr>
      <w:r>
        <w:rPr>
          <w:b/>
          <w:sz w:val="20"/>
          <w:szCs w:val="20"/>
        </w:rPr>
        <w:t xml:space="preserve">CONCLUSÕES </w:t>
      </w:r>
    </w:p>
    <w:p w14:paraId="5D8C84C0" w14:textId="1C163AAA" w:rsidR="00830A1A" w:rsidRPr="00442853" w:rsidRDefault="00830A1A" w:rsidP="00830A1A">
      <w:pPr>
        <w:pStyle w:val="PargrafodaLista"/>
        <w:widowControl/>
        <w:numPr>
          <w:ilvl w:val="0"/>
          <w:numId w:val="2"/>
        </w:numPr>
        <w:jc w:val="both"/>
        <w:rPr>
          <w:sz w:val="20"/>
          <w:szCs w:val="20"/>
        </w:rPr>
      </w:pPr>
      <w:r w:rsidRPr="00830A1A">
        <w:rPr>
          <w:sz w:val="20"/>
          <w:szCs w:val="20"/>
        </w:rPr>
        <w:t>O TCS-1 apresentou resultados consistentes para a espécie Massaranduba, sendo assim indicado o uso do aparelho para a estimativa da UE desta espécie</w:t>
      </w:r>
      <w:r w:rsidR="00442853">
        <w:rPr>
          <w:sz w:val="20"/>
          <w:szCs w:val="20"/>
        </w:rPr>
        <w:t>;</w:t>
      </w:r>
    </w:p>
    <w:p w14:paraId="38BA28EF" w14:textId="62A56E73" w:rsidR="00830A1A" w:rsidRPr="00442853" w:rsidRDefault="00830A1A" w:rsidP="00442853">
      <w:pPr>
        <w:pStyle w:val="PargrafodaLista"/>
        <w:widowControl/>
        <w:numPr>
          <w:ilvl w:val="0"/>
          <w:numId w:val="2"/>
        </w:numPr>
        <w:jc w:val="both"/>
        <w:rPr>
          <w:sz w:val="20"/>
          <w:szCs w:val="20"/>
        </w:rPr>
      </w:pPr>
      <w:r w:rsidRPr="00830A1A">
        <w:rPr>
          <w:sz w:val="20"/>
          <w:szCs w:val="20"/>
        </w:rPr>
        <w:t>Todas as metodologias de estimativa da UE avaliadas diferiram do tratamento controle, com exceção do TCS-1 para a Massaranduba</w:t>
      </w:r>
      <w:r w:rsidR="00442853">
        <w:rPr>
          <w:sz w:val="20"/>
          <w:szCs w:val="20"/>
        </w:rPr>
        <w:t>;</w:t>
      </w:r>
    </w:p>
    <w:p w14:paraId="67EF01BC" w14:textId="65734161" w:rsidR="00B1243D" w:rsidRDefault="00830A1A" w:rsidP="00442853">
      <w:pPr>
        <w:pStyle w:val="PargrafodaLista"/>
        <w:numPr>
          <w:ilvl w:val="0"/>
          <w:numId w:val="2"/>
        </w:numPr>
        <w:rPr>
          <w:sz w:val="20"/>
          <w:szCs w:val="20"/>
        </w:rPr>
      </w:pPr>
      <w:r w:rsidRPr="00830A1A">
        <w:rPr>
          <w:sz w:val="20"/>
          <w:szCs w:val="20"/>
        </w:rPr>
        <w:t>O teor de umidade de equilíbrio médio para a região estudada é de 12,70%</w:t>
      </w:r>
      <w:r w:rsidR="00442853">
        <w:rPr>
          <w:sz w:val="20"/>
          <w:szCs w:val="20"/>
        </w:rPr>
        <w:t>.</w:t>
      </w:r>
    </w:p>
    <w:p w14:paraId="11A01BE1" w14:textId="77777777" w:rsidR="00FE3101" w:rsidRPr="00442853" w:rsidRDefault="00FE3101" w:rsidP="00FE3101">
      <w:pPr>
        <w:pStyle w:val="PargrafodaLista"/>
        <w:rPr>
          <w:sz w:val="20"/>
          <w:szCs w:val="20"/>
        </w:rPr>
      </w:pPr>
    </w:p>
    <w:p w14:paraId="1633258F" w14:textId="64354C44" w:rsidR="000B011A" w:rsidRDefault="00C822B1" w:rsidP="00FE3101">
      <w:pPr>
        <w:widowControl/>
        <w:jc w:val="both"/>
        <w:rPr>
          <w:b/>
          <w:sz w:val="20"/>
          <w:szCs w:val="20"/>
        </w:rPr>
      </w:pPr>
      <w:r>
        <w:rPr>
          <w:b/>
          <w:sz w:val="20"/>
          <w:szCs w:val="20"/>
        </w:rPr>
        <w:t xml:space="preserve">REFERÊNCIAS </w:t>
      </w:r>
    </w:p>
    <w:p w14:paraId="6BBBC184" w14:textId="6B862D0C" w:rsidR="009E4787" w:rsidRPr="000B011A" w:rsidRDefault="009E4787" w:rsidP="009E4787">
      <w:pPr>
        <w:spacing w:after="120"/>
        <w:jc w:val="both"/>
        <w:rPr>
          <w:sz w:val="20"/>
          <w:szCs w:val="20"/>
        </w:rPr>
      </w:pPr>
      <w:r w:rsidRPr="009E4787">
        <w:rPr>
          <w:sz w:val="20"/>
          <w:szCs w:val="20"/>
        </w:rPr>
        <w:t>ARA</w:t>
      </w:r>
      <w:r>
        <w:rPr>
          <w:sz w:val="20"/>
          <w:szCs w:val="20"/>
        </w:rPr>
        <w:t>Ú</w:t>
      </w:r>
      <w:r w:rsidRPr="009E4787">
        <w:rPr>
          <w:sz w:val="20"/>
          <w:szCs w:val="20"/>
        </w:rPr>
        <w:t>JO, Sandro Fábio César; CUNHA, Rita Dione Araújo. Avaliação Comparativa Entre Métodos De Aferição Do Teor De Umidade Em Peças De Madeira De Dimensões Reduzidas</w:t>
      </w:r>
      <w:r>
        <w:rPr>
          <w:sz w:val="20"/>
          <w:szCs w:val="20"/>
        </w:rPr>
        <w:t>. 2018.</w:t>
      </w:r>
    </w:p>
    <w:p w14:paraId="5BEA2AB0" w14:textId="5293D441" w:rsidR="00F477CB" w:rsidRPr="00394021" w:rsidRDefault="00F477CB" w:rsidP="006E3859">
      <w:pPr>
        <w:spacing w:after="120"/>
        <w:jc w:val="both"/>
        <w:rPr>
          <w:sz w:val="20"/>
          <w:szCs w:val="20"/>
          <w:lang w:val="en-US"/>
        </w:rPr>
      </w:pPr>
      <w:r w:rsidRPr="00F477CB">
        <w:rPr>
          <w:sz w:val="20"/>
          <w:szCs w:val="20"/>
        </w:rPr>
        <w:t xml:space="preserve">BARAÚNA, </w:t>
      </w:r>
      <w:proofErr w:type="spellStart"/>
      <w:r w:rsidRPr="00F477CB">
        <w:rPr>
          <w:sz w:val="20"/>
          <w:szCs w:val="20"/>
        </w:rPr>
        <w:t>Edy</w:t>
      </w:r>
      <w:proofErr w:type="spellEnd"/>
      <w:r w:rsidRPr="00F477CB">
        <w:rPr>
          <w:sz w:val="20"/>
          <w:szCs w:val="20"/>
        </w:rPr>
        <w:t xml:space="preserve"> </w:t>
      </w:r>
      <w:proofErr w:type="spellStart"/>
      <w:r w:rsidRPr="00F477CB">
        <w:rPr>
          <w:sz w:val="20"/>
          <w:szCs w:val="20"/>
        </w:rPr>
        <w:t>Eime</w:t>
      </w:r>
      <w:proofErr w:type="spellEnd"/>
      <w:r w:rsidRPr="00F477CB">
        <w:rPr>
          <w:sz w:val="20"/>
          <w:szCs w:val="20"/>
        </w:rPr>
        <w:t xml:space="preserve"> Pereira et al. Umidade de equilíbrio da madeira de Eucalyptus Spp. para o município de Montes Claros, Minas Gerais. </w:t>
      </w:r>
      <w:r w:rsidRPr="00394021">
        <w:rPr>
          <w:sz w:val="20"/>
          <w:szCs w:val="20"/>
          <w:lang w:val="en-US"/>
        </w:rPr>
        <w:t>Research, Society and Development, v. 11, n. 9, p. e15711931160-e15711931160, 2022.</w:t>
      </w:r>
    </w:p>
    <w:p w14:paraId="73B9D2A5" w14:textId="4E588560" w:rsidR="00F477CB" w:rsidRPr="00394021" w:rsidRDefault="00F477CB" w:rsidP="006E3859">
      <w:pPr>
        <w:spacing w:after="120"/>
        <w:jc w:val="both"/>
        <w:rPr>
          <w:sz w:val="20"/>
          <w:szCs w:val="20"/>
          <w:lang w:val="en-US"/>
        </w:rPr>
      </w:pPr>
      <w:r w:rsidRPr="00394021">
        <w:rPr>
          <w:sz w:val="20"/>
          <w:szCs w:val="20"/>
          <w:lang w:val="en-US"/>
        </w:rPr>
        <w:t xml:space="preserve">DONATO, Danilo Barros. </w:t>
      </w:r>
      <w:r w:rsidRPr="00F477CB">
        <w:rPr>
          <w:sz w:val="20"/>
          <w:szCs w:val="20"/>
        </w:rPr>
        <w:t xml:space="preserve">Métodos de amostragem e de determinação do teor de umidade da madeira em tora. </w:t>
      </w:r>
      <w:r w:rsidRPr="00394021">
        <w:rPr>
          <w:sz w:val="20"/>
          <w:szCs w:val="20"/>
          <w:lang w:val="en-US"/>
        </w:rPr>
        <w:t>2015.</w:t>
      </w:r>
    </w:p>
    <w:p w14:paraId="361A899B" w14:textId="1D4A86C5" w:rsidR="006E3859" w:rsidRDefault="006E3859" w:rsidP="006E3859">
      <w:pPr>
        <w:spacing w:after="120"/>
        <w:jc w:val="both"/>
        <w:rPr>
          <w:sz w:val="20"/>
          <w:szCs w:val="20"/>
        </w:rPr>
      </w:pPr>
      <w:r w:rsidRPr="006E3859">
        <w:rPr>
          <w:sz w:val="20"/>
          <w:szCs w:val="20"/>
          <w:lang w:val="en-US"/>
        </w:rPr>
        <w:t xml:space="preserve">FERREIRA, Daniel Furtado. SISVAR: A computer analysis system to fixed effects split plot type designs. </w:t>
      </w:r>
      <w:proofErr w:type="spellStart"/>
      <w:r w:rsidRPr="006E3859">
        <w:rPr>
          <w:sz w:val="20"/>
          <w:szCs w:val="20"/>
        </w:rPr>
        <w:t>Brazilian</w:t>
      </w:r>
      <w:proofErr w:type="spellEnd"/>
      <w:r w:rsidRPr="006E3859">
        <w:rPr>
          <w:sz w:val="20"/>
          <w:szCs w:val="20"/>
        </w:rPr>
        <w:t xml:space="preserve"> </w:t>
      </w:r>
      <w:proofErr w:type="spellStart"/>
      <w:r w:rsidRPr="006E3859">
        <w:rPr>
          <w:sz w:val="20"/>
          <w:szCs w:val="20"/>
        </w:rPr>
        <w:t>Journal</w:t>
      </w:r>
      <w:proofErr w:type="spellEnd"/>
      <w:r w:rsidRPr="006E3859">
        <w:rPr>
          <w:sz w:val="20"/>
          <w:szCs w:val="20"/>
        </w:rPr>
        <w:t xml:space="preserve"> </w:t>
      </w:r>
      <w:proofErr w:type="spellStart"/>
      <w:r w:rsidRPr="006E3859">
        <w:rPr>
          <w:sz w:val="20"/>
          <w:szCs w:val="20"/>
        </w:rPr>
        <w:t>of</w:t>
      </w:r>
      <w:proofErr w:type="spellEnd"/>
      <w:r w:rsidRPr="006E3859">
        <w:rPr>
          <w:sz w:val="20"/>
          <w:szCs w:val="20"/>
        </w:rPr>
        <w:t xml:space="preserve"> </w:t>
      </w:r>
      <w:proofErr w:type="spellStart"/>
      <w:r w:rsidRPr="006E3859">
        <w:rPr>
          <w:sz w:val="20"/>
          <w:szCs w:val="20"/>
        </w:rPr>
        <w:t>Biometrics</w:t>
      </w:r>
      <w:proofErr w:type="spellEnd"/>
      <w:r w:rsidRPr="006E3859">
        <w:rPr>
          <w:sz w:val="20"/>
          <w:szCs w:val="20"/>
        </w:rPr>
        <w:t>, v. 37, n. 4, p. 529-535, 2019.</w:t>
      </w:r>
    </w:p>
    <w:p w14:paraId="4A9AFEBC" w14:textId="23037CD8" w:rsidR="00F477CB" w:rsidRDefault="00F477CB" w:rsidP="006E3859">
      <w:pPr>
        <w:spacing w:after="120"/>
        <w:jc w:val="both"/>
        <w:rPr>
          <w:sz w:val="20"/>
          <w:szCs w:val="20"/>
        </w:rPr>
      </w:pPr>
      <w:r w:rsidRPr="00F477CB">
        <w:rPr>
          <w:sz w:val="20"/>
          <w:szCs w:val="20"/>
        </w:rPr>
        <w:t>GALVÃO, A. Paulo M. Estimativas da umidade de equilíbrio da madeira em diferentes cidades do Brasil. IPEF, v. 11, p. 53-65, 1975.</w:t>
      </w:r>
    </w:p>
    <w:p w14:paraId="2E5767C7" w14:textId="57717DDC" w:rsidR="006E3859" w:rsidRDefault="006E3859" w:rsidP="006E3859">
      <w:pPr>
        <w:spacing w:after="120"/>
        <w:jc w:val="both"/>
        <w:rPr>
          <w:sz w:val="20"/>
          <w:szCs w:val="20"/>
        </w:rPr>
      </w:pPr>
      <w:r w:rsidRPr="006E3859">
        <w:rPr>
          <w:sz w:val="20"/>
          <w:szCs w:val="20"/>
        </w:rPr>
        <w:t xml:space="preserve">LIMA, Marcelle Teodoro et al. Estimativa da umidade de equilíbrio da madeira de </w:t>
      </w:r>
      <w:proofErr w:type="spellStart"/>
      <w:r w:rsidRPr="006E3859">
        <w:rPr>
          <w:sz w:val="20"/>
          <w:szCs w:val="20"/>
        </w:rPr>
        <w:t>Hymenolobium</w:t>
      </w:r>
      <w:proofErr w:type="spellEnd"/>
      <w:r w:rsidRPr="006E3859">
        <w:rPr>
          <w:sz w:val="20"/>
          <w:szCs w:val="20"/>
        </w:rPr>
        <w:t xml:space="preserve"> </w:t>
      </w:r>
      <w:proofErr w:type="spellStart"/>
      <w:r w:rsidRPr="006E3859">
        <w:rPr>
          <w:sz w:val="20"/>
          <w:szCs w:val="20"/>
        </w:rPr>
        <w:t>heterocarpum</w:t>
      </w:r>
      <w:proofErr w:type="spellEnd"/>
      <w:r w:rsidRPr="006E3859">
        <w:rPr>
          <w:sz w:val="20"/>
          <w:szCs w:val="20"/>
        </w:rPr>
        <w:t xml:space="preserve"> </w:t>
      </w:r>
      <w:proofErr w:type="spellStart"/>
      <w:r w:rsidRPr="006E3859">
        <w:rPr>
          <w:sz w:val="20"/>
          <w:szCs w:val="20"/>
        </w:rPr>
        <w:t>Ducke</w:t>
      </w:r>
      <w:proofErr w:type="spellEnd"/>
      <w:r w:rsidRPr="006E3859">
        <w:rPr>
          <w:sz w:val="20"/>
          <w:szCs w:val="20"/>
        </w:rPr>
        <w:t xml:space="preserve"> para o sul de Tocantins/</w:t>
      </w:r>
      <w:proofErr w:type="spellStart"/>
      <w:r w:rsidRPr="006E3859">
        <w:rPr>
          <w:sz w:val="20"/>
          <w:szCs w:val="20"/>
        </w:rPr>
        <w:t>Estimation</w:t>
      </w:r>
      <w:proofErr w:type="spellEnd"/>
      <w:r w:rsidRPr="006E3859">
        <w:rPr>
          <w:sz w:val="20"/>
          <w:szCs w:val="20"/>
        </w:rPr>
        <w:t xml:space="preserve"> </w:t>
      </w:r>
      <w:proofErr w:type="spellStart"/>
      <w:r w:rsidRPr="006E3859">
        <w:rPr>
          <w:sz w:val="20"/>
          <w:szCs w:val="20"/>
        </w:rPr>
        <w:t>of</w:t>
      </w:r>
      <w:proofErr w:type="spellEnd"/>
      <w:r w:rsidRPr="006E3859">
        <w:rPr>
          <w:sz w:val="20"/>
          <w:szCs w:val="20"/>
        </w:rPr>
        <w:t xml:space="preserve"> </w:t>
      </w:r>
      <w:proofErr w:type="spellStart"/>
      <w:r w:rsidRPr="006E3859">
        <w:rPr>
          <w:sz w:val="20"/>
          <w:szCs w:val="20"/>
        </w:rPr>
        <w:t>the</w:t>
      </w:r>
      <w:proofErr w:type="spellEnd"/>
      <w:r w:rsidRPr="006E3859">
        <w:rPr>
          <w:sz w:val="20"/>
          <w:szCs w:val="20"/>
        </w:rPr>
        <w:t xml:space="preserve"> </w:t>
      </w:r>
      <w:proofErr w:type="spellStart"/>
      <w:r w:rsidRPr="006E3859">
        <w:rPr>
          <w:sz w:val="20"/>
          <w:szCs w:val="20"/>
        </w:rPr>
        <w:t>equilibrium</w:t>
      </w:r>
      <w:proofErr w:type="spellEnd"/>
      <w:r w:rsidRPr="006E3859">
        <w:rPr>
          <w:sz w:val="20"/>
          <w:szCs w:val="20"/>
        </w:rPr>
        <w:t xml:space="preserve"> </w:t>
      </w:r>
      <w:proofErr w:type="spellStart"/>
      <w:r w:rsidRPr="006E3859">
        <w:rPr>
          <w:sz w:val="20"/>
          <w:szCs w:val="20"/>
        </w:rPr>
        <w:t>moisture</w:t>
      </w:r>
      <w:proofErr w:type="spellEnd"/>
      <w:r w:rsidRPr="006E3859">
        <w:rPr>
          <w:sz w:val="20"/>
          <w:szCs w:val="20"/>
        </w:rPr>
        <w:t xml:space="preserve"> </w:t>
      </w:r>
      <w:proofErr w:type="spellStart"/>
      <w:r w:rsidRPr="006E3859">
        <w:rPr>
          <w:sz w:val="20"/>
          <w:szCs w:val="20"/>
        </w:rPr>
        <w:t>of</w:t>
      </w:r>
      <w:proofErr w:type="spellEnd"/>
      <w:r w:rsidRPr="006E3859">
        <w:rPr>
          <w:sz w:val="20"/>
          <w:szCs w:val="20"/>
        </w:rPr>
        <w:t xml:space="preserve"> </w:t>
      </w:r>
      <w:proofErr w:type="spellStart"/>
      <w:r w:rsidRPr="006E3859">
        <w:rPr>
          <w:sz w:val="20"/>
          <w:szCs w:val="20"/>
        </w:rPr>
        <w:t>wood</w:t>
      </w:r>
      <w:proofErr w:type="spellEnd"/>
      <w:r w:rsidRPr="006E3859">
        <w:rPr>
          <w:sz w:val="20"/>
          <w:szCs w:val="20"/>
        </w:rPr>
        <w:t xml:space="preserve"> </w:t>
      </w:r>
      <w:proofErr w:type="spellStart"/>
      <w:r w:rsidRPr="006E3859">
        <w:rPr>
          <w:sz w:val="20"/>
          <w:szCs w:val="20"/>
        </w:rPr>
        <w:t>Hymenolobium</w:t>
      </w:r>
      <w:proofErr w:type="spellEnd"/>
      <w:r w:rsidRPr="006E3859">
        <w:rPr>
          <w:sz w:val="20"/>
          <w:szCs w:val="20"/>
        </w:rPr>
        <w:t xml:space="preserve"> </w:t>
      </w:r>
      <w:proofErr w:type="spellStart"/>
      <w:r w:rsidRPr="006E3859">
        <w:rPr>
          <w:sz w:val="20"/>
          <w:szCs w:val="20"/>
        </w:rPr>
        <w:t>heterocarpum</w:t>
      </w:r>
      <w:proofErr w:type="spellEnd"/>
      <w:r w:rsidRPr="006E3859">
        <w:rPr>
          <w:sz w:val="20"/>
          <w:szCs w:val="20"/>
        </w:rPr>
        <w:t xml:space="preserve"> </w:t>
      </w:r>
      <w:proofErr w:type="spellStart"/>
      <w:r w:rsidRPr="006E3859">
        <w:rPr>
          <w:sz w:val="20"/>
          <w:szCs w:val="20"/>
        </w:rPr>
        <w:t>Ducke</w:t>
      </w:r>
      <w:proofErr w:type="spellEnd"/>
      <w:r w:rsidRPr="006E3859">
        <w:rPr>
          <w:sz w:val="20"/>
          <w:szCs w:val="20"/>
        </w:rPr>
        <w:t xml:space="preserve"> for </w:t>
      </w:r>
      <w:proofErr w:type="spellStart"/>
      <w:r w:rsidRPr="006E3859">
        <w:rPr>
          <w:sz w:val="20"/>
          <w:szCs w:val="20"/>
        </w:rPr>
        <w:t>the</w:t>
      </w:r>
      <w:proofErr w:type="spellEnd"/>
      <w:r w:rsidRPr="006E3859">
        <w:rPr>
          <w:sz w:val="20"/>
          <w:szCs w:val="20"/>
        </w:rPr>
        <w:t xml:space="preserve"> </w:t>
      </w:r>
      <w:proofErr w:type="spellStart"/>
      <w:r w:rsidRPr="006E3859">
        <w:rPr>
          <w:sz w:val="20"/>
          <w:szCs w:val="20"/>
        </w:rPr>
        <w:t>south</w:t>
      </w:r>
      <w:proofErr w:type="spellEnd"/>
      <w:r w:rsidRPr="006E3859">
        <w:rPr>
          <w:sz w:val="20"/>
          <w:szCs w:val="20"/>
        </w:rPr>
        <w:t xml:space="preserve"> </w:t>
      </w:r>
      <w:proofErr w:type="spellStart"/>
      <w:r w:rsidRPr="006E3859">
        <w:rPr>
          <w:sz w:val="20"/>
          <w:szCs w:val="20"/>
        </w:rPr>
        <w:t>of</w:t>
      </w:r>
      <w:proofErr w:type="spellEnd"/>
      <w:r w:rsidRPr="006E3859">
        <w:rPr>
          <w:sz w:val="20"/>
          <w:szCs w:val="20"/>
        </w:rPr>
        <w:t xml:space="preserve"> Tocantins. Caderno de Ciências Agrárias, v. 9, n. 3, p. 1-7, 2017.</w:t>
      </w:r>
    </w:p>
    <w:p w14:paraId="37F6573C" w14:textId="6C84AC31" w:rsidR="008F2E96" w:rsidRDefault="008F2E96" w:rsidP="006E3859">
      <w:pPr>
        <w:spacing w:after="120"/>
        <w:jc w:val="both"/>
        <w:rPr>
          <w:sz w:val="20"/>
          <w:szCs w:val="20"/>
        </w:rPr>
      </w:pPr>
      <w:r w:rsidRPr="006E3859">
        <w:rPr>
          <w:sz w:val="20"/>
          <w:szCs w:val="20"/>
        </w:rPr>
        <w:t xml:space="preserve">LIMA, Eric Augusto Costa et al. Determinação do teor de umidade e densidade básica para madeira de </w:t>
      </w:r>
      <w:proofErr w:type="spellStart"/>
      <w:r w:rsidRPr="006E3859">
        <w:rPr>
          <w:sz w:val="20"/>
          <w:szCs w:val="20"/>
        </w:rPr>
        <w:t>Cariniana</w:t>
      </w:r>
      <w:proofErr w:type="spellEnd"/>
      <w:r w:rsidRPr="006E3859">
        <w:rPr>
          <w:sz w:val="20"/>
          <w:szCs w:val="20"/>
        </w:rPr>
        <w:t xml:space="preserve"> </w:t>
      </w:r>
      <w:proofErr w:type="spellStart"/>
      <w:r w:rsidRPr="006E3859">
        <w:rPr>
          <w:sz w:val="20"/>
          <w:szCs w:val="20"/>
        </w:rPr>
        <w:t>micrantha</w:t>
      </w:r>
      <w:proofErr w:type="spellEnd"/>
      <w:r w:rsidRPr="006E3859">
        <w:rPr>
          <w:sz w:val="20"/>
          <w:szCs w:val="20"/>
        </w:rPr>
        <w:t xml:space="preserve"> </w:t>
      </w:r>
      <w:proofErr w:type="spellStart"/>
      <w:r w:rsidRPr="006E3859">
        <w:rPr>
          <w:sz w:val="20"/>
          <w:szCs w:val="20"/>
        </w:rPr>
        <w:t>Ducke</w:t>
      </w:r>
      <w:proofErr w:type="spellEnd"/>
      <w:r w:rsidRPr="006E3859">
        <w:rPr>
          <w:sz w:val="20"/>
          <w:szCs w:val="20"/>
        </w:rPr>
        <w:t xml:space="preserve"> baseado na norma da ABNT NBR 7190-3/2022. Conjecturas, v. 24, n. 1, p. 324-336, 2024.</w:t>
      </w:r>
    </w:p>
    <w:p w14:paraId="663312A7" w14:textId="082EE1A3" w:rsidR="00F477CB" w:rsidRDefault="00F477CB" w:rsidP="006E3859">
      <w:pPr>
        <w:spacing w:after="120"/>
        <w:jc w:val="both"/>
        <w:rPr>
          <w:sz w:val="20"/>
          <w:szCs w:val="20"/>
        </w:rPr>
      </w:pPr>
      <w:r w:rsidRPr="00F477CB">
        <w:rPr>
          <w:sz w:val="20"/>
          <w:szCs w:val="20"/>
        </w:rPr>
        <w:t>MORESCHI, João Carlos. Propriedades da madeira. Departamento de Engenharia e Tecnologia Florestal-UFPR. Paraná, v. 4, p. 01-208, 2016.</w:t>
      </w:r>
    </w:p>
    <w:p w14:paraId="7A7F10D7" w14:textId="69FBA672" w:rsidR="006E3859" w:rsidRDefault="00F477CB" w:rsidP="006E3859">
      <w:pPr>
        <w:spacing w:after="120"/>
        <w:jc w:val="both"/>
        <w:rPr>
          <w:sz w:val="20"/>
          <w:szCs w:val="20"/>
        </w:rPr>
      </w:pPr>
      <w:r w:rsidRPr="00F477CB">
        <w:rPr>
          <w:sz w:val="20"/>
          <w:szCs w:val="20"/>
        </w:rPr>
        <w:t xml:space="preserve">JANKOWSKY, Ivaldo Pontes; GALVÃO, </w:t>
      </w:r>
      <w:proofErr w:type="spellStart"/>
      <w:r w:rsidRPr="00F477CB">
        <w:rPr>
          <w:sz w:val="20"/>
          <w:szCs w:val="20"/>
        </w:rPr>
        <w:t>Antonio</w:t>
      </w:r>
      <w:proofErr w:type="spellEnd"/>
      <w:r w:rsidRPr="00F477CB">
        <w:rPr>
          <w:sz w:val="20"/>
          <w:szCs w:val="20"/>
        </w:rPr>
        <w:t xml:space="preserve"> Paulo Mendes. Influência do teor de extrativos na umidade de equilíbrio da madeira. </w:t>
      </w:r>
      <w:proofErr w:type="spellStart"/>
      <w:r w:rsidRPr="00F477CB">
        <w:rPr>
          <w:sz w:val="20"/>
          <w:szCs w:val="20"/>
        </w:rPr>
        <w:t>Scientia</w:t>
      </w:r>
      <w:proofErr w:type="spellEnd"/>
      <w:r w:rsidRPr="00F477CB">
        <w:rPr>
          <w:sz w:val="20"/>
          <w:szCs w:val="20"/>
        </w:rPr>
        <w:t xml:space="preserve"> </w:t>
      </w:r>
      <w:proofErr w:type="spellStart"/>
      <w:r w:rsidRPr="00F477CB">
        <w:rPr>
          <w:sz w:val="20"/>
          <w:szCs w:val="20"/>
        </w:rPr>
        <w:t>Forestalis</w:t>
      </w:r>
      <w:proofErr w:type="spellEnd"/>
      <w:r w:rsidRPr="00F477CB">
        <w:rPr>
          <w:sz w:val="20"/>
          <w:szCs w:val="20"/>
        </w:rPr>
        <w:t>, v. 18, p. 1-33, 1979.</w:t>
      </w:r>
    </w:p>
    <w:p w14:paraId="6332C20B" w14:textId="75EA0EF9" w:rsidR="006E3859" w:rsidRPr="000B011A" w:rsidRDefault="006E3859" w:rsidP="006E3859">
      <w:pPr>
        <w:spacing w:after="120"/>
        <w:jc w:val="both"/>
        <w:rPr>
          <w:sz w:val="20"/>
          <w:szCs w:val="20"/>
        </w:rPr>
      </w:pPr>
      <w:r w:rsidRPr="006E3859">
        <w:rPr>
          <w:sz w:val="20"/>
          <w:szCs w:val="20"/>
        </w:rPr>
        <w:t xml:space="preserve">SÁ, </w:t>
      </w:r>
      <w:proofErr w:type="spellStart"/>
      <w:r w:rsidRPr="006E3859">
        <w:rPr>
          <w:sz w:val="20"/>
          <w:szCs w:val="20"/>
        </w:rPr>
        <w:t>Criz</w:t>
      </w:r>
      <w:proofErr w:type="spellEnd"/>
      <w:r w:rsidRPr="006E3859">
        <w:rPr>
          <w:sz w:val="20"/>
          <w:szCs w:val="20"/>
        </w:rPr>
        <w:t xml:space="preserve"> Regina. Comportamento da umidade de equilíbrio da madeira de 45 espécies florestais nativas. Monografia-Universidade Federal de Sergipe, São Cristóvão, 201</w:t>
      </w:r>
      <w:r>
        <w:rPr>
          <w:sz w:val="20"/>
          <w:szCs w:val="20"/>
        </w:rPr>
        <w:t>5</w:t>
      </w:r>
      <w:r w:rsidRPr="006E3859">
        <w:rPr>
          <w:sz w:val="20"/>
          <w:szCs w:val="20"/>
        </w:rPr>
        <w:t>.</w:t>
      </w:r>
    </w:p>
    <w:p w14:paraId="5397C498" w14:textId="4856C87B" w:rsidR="000B011A" w:rsidRPr="000B011A" w:rsidRDefault="006E3859" w:rsidP="006E3859">
      <w:pPr>
        <w:spacing w:after="120"/>
        <w:jc w:val="both"/>
        <w:rPr>
          <w:sz w:val="20"/>
          <w:szCs w:val="20"/>
        </w:rPr>
      </w:pPr>
      <w:r w:rsidRPr="006E3859">
        <w:rPr>
          <w:sz w:val="20"/>
          <w:szCs w:val="20"/>
        </w:rPr>
        <w:t>SANTANA, Joyce Moraes. Estimativa da umidade de equilíbrio para alguns municípios do estado de Sergipe mediante equações. Monografia-Universidade Federal de Sergipe, São Cristóvão, 201</w:t>
      </w:r>
      <w:r>
        <w:rPr>
          <w:sz w:val="20"/>
          <w:szCs w:val="20"/>
        </w:rPr>
        <w:t>5</w:t>
      </w:r>
      <w:r w:rsidRPr="006E3859">
        <w:rPr>
          <w:sz w:val="20"/>
          <w:szCs w:val="20"/>
        </w:rPr>
        <w:t>.</w:t>
      </w:r>
    </w:p>
    <w:p w14:paraId="67C482B3" w14:textId="77777777" w:rsidR="006E3859" w:rsidRPr="00394021" w:rsidRDefault="006E3859" w:rsidP="006E3859">
      <w:pPr>
        <w:spacing w:after="120"/>
        <w:jc w:val="both"/>
        <w:rPr>
          <w:sz w:val="20"/>
          <w:szCs w:val="20"/>
          <w:lang w:val="en-US"/>
        </w:rPr>
      </w:pPr>
      <w:r w:rsidRPr="006E3859">
        <w:rPr>
          <w:sz w:val="20"/>
          <w:szCs w:val="20"/>
        </w:rPr>
        <w:t xml:space="preserve">SCOTT, Andrew </w:t>
      </w:r>
      <w:proofErr w:type="spellStart"/>
      <w:r w:rsidRPr="006E3859">
        <w:rPr>
          <w:sz w:val="20"/>
          <w:szCs w:val="20"/>
        </w:rPr>
        <w:t>Jhon</w:t>
      </w:r>
      <w:proofErr w:type="spellEnd"/>
      <w:r w:rsidRPr="006E3859">
        <w:rPr>
          <w:sz w:val="20"/>
          <w:szCs w:val="20"/>
        </w:rPr>
        <w:t xml:space="preserve">; KNOTT, Martin. </w:t>
      </w:r>
      <w:r w:rsidRPr="00394021">
        <w:rPr>
          <w:sz w:val="20"/>
          <w:szCs w:val="20"/>
          <w:lang w:val="en-US"/>
        </w:rPr>
        <w:t xml:space="preserve">A cluster analysis method for grouping </w:t>
      </w:r>
    </w:p>
    <w:p w14:paraId="75FB59AE" w14:textId="2A84A05D" w:rsidR="000B011A" w:rsidRDefault="006E3859" w:rsidP="00FE3101">
      <w:pPr>
        <w:spacing w:after="120"/>
        <w:jc w:val="both"/>
        <w:rPr>
          <w:sz w:val="20"/>
          <w:szCs w:val="20"/>
        </w:rPr>
      </w:pPr>
      <w:r w:rsidRPr="00394021">
        <w:rPr>
          <w:sz w:val="20"/>
          <w:szCs w:val="20"/>
          <w:lang w:val="en-US"/>
        </w:rPr>
        <w:t xml:space="preserve">means in the analysis of variance. </w:t>
      </w:r>
      <w:proofErr w:type="spellStart"/>
      <w:r w:rsidRPr="006E3859">
        <w:rPr>
          <w:sz w:val="20"/>
          <w:szCs w:val="20"/>
        </w:rPr>
        <w:t>Biometrics</w:t>
      </w:r>
      <w:proofErr w:type="spellEnd"/>
      <w:r w:rsidRPr="006E3859">
        <w:rPr>
          <w:sz w:val="20"/>
          <w:szCs w:val="20"/>
        </w:rPr>
        <w:t>, p. 507-512, 1974.</w:t>
      </w:r>
    </w:p>
    <w:sectPr w:rsidR="000B011A">
      <w:headerReference w:type="even" r:id="rId8"/>
      <w:headerReference w:type="default" r:id="rId9"/>
      <w:footerReference w:type="even" r:id="rId10"/>
      <w:footerReference w:type="default" r:id="rId11"/>
      <w:headerReference w:type="first" r:id="rId12"/>
      <w:footerReference w:type="first" r:id="rId13"/>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3C11" w14:textId="77777777" w:rsidR="005E247A" w:rsidRDefault="005E247A">
      <w:r>
        <w:separator/>
      </w:r>
    </w:p>
  </w:endnote>
  <w:endnote w:type="continuationSeparator" w:id="0">
    <w:p w14:paraId="6F8B0D4E" w14:textId="77777777" w:rsidR="005E247A" w:rsidRDefault="005E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E3A4" w14:textId="77777777" w:rsidR="00B1243D" w:rsidRDefault="00B1243D">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F0D0" w14:textId="77777777" w:rsidR="00B1243D" w:rsidRDefault="00B1243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BDDB" w14:textId="77777777" w:rsidR="00B1243D" w:rsidRDefault="00B1243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29AD" w14:textId="77777777" w:rsidR="005E247A" w:rsidRDefault="005E247A">
      <w:r>
        <w:separator/>
      </w:r>
    </w:p>
  </w:footnote>
  <w:footnote w:type="continuationSeparator" w:id="0">
    <w:p w14:paraId="440F4B61" w14:textId="77777777" w:rsidR="005E247A" w:rsidRDefault="005E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4D81" w14:textId="77777777" w:rsidR="00B1243D" w:rsidRDefault="00B1243D">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E9D6" w14:textId="77777777" w:rsidR="00B1243D" w:rsidRDefault="00B1243D">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43F6" w14:textId="77777777" w:rsidR="00B1243D" w:rsidRDefault="00C822B1">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29833D2F" wp14:editId="2ACF0B24">
          <wp:extent cx="5274310" cy="791210"/>
          <wp:effectExtent l="0" t="0" r="0" b="0"/>
          <wp:docPr id="2" name="image2.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42B4"/>
    <w:multiLevelType w:val="hybridMultilevel"/>
    <w:tmpl w:val="F86000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3192724"/>
    <w:multiLevelType w:val="hybridMultilevel"/>
    <w:tmpl w:val="9E9401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88C12C3"/>
    <w:multiLevelType w:val="hybridMultilevel"/>
    <w:tmpl w:val="F006DD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4ED37B5"/>
    <w:multiLevelType w:val="hybridMultilevel"/>
    <w:tmpl w:val="C088B8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5DA305E"/>
    <w:multiLevelType w:val="multilevel"/>
    <w:tmpl w:val="5F7ED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0A0202"/>
    <w:multiLevelType w:val="hybridMultilevel"/>
    <w:tmpl w:val="744CF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9D93CF6"/>
    <w:multiLevelType w:val="multilevel"/>
    <w:tmpl w:val="B562086C"/>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abstractNum w:abstractNumId="7" w15:restartNumberingAfterBreak="0">
    <w:nsid w:val="7BF06E80"/>
    <w:multiLevelType w:val="hybridMultilevel"/>
    <w:tmpl w:val="071049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3D"/>
    <w:rsid w:val="00023D65"/>
    <w:rsid w:val="00057FF5"/>
    <w:rsid w:val="000B011A"/>
    <w:rsid w:val="000D650E"/>
    <w:rsid w:val="001D7472"/>
    <w:rsid w:val="001F50BC"/>
    <w:rsid w:val="002218B2"/>
    <w:rsid w:val="00271AD4"/>
    <w:rsid w:val="00285FC9"/>
    <w:rsid w:val="002A5F8B"/>
    <w:rsid w:val="002D3CFC"/>
    <w:rsid w:val="00333DE4"/>
    <w:rsid w:val="0034534C"/>
    <w:rsid w:val="00392FCA"/>
    <w:rsid w:val="00394021"/>
    <w:rsid w:val="003E0046"/>
    <w:rsid w:val="00442853"/>
    <w:rsid w:val="004936B6"/>
    <w:rsid w:val="004B0E2E"/>
    <w:rsid w:val="00507FA3"/>
    <w:rsid w:val="005763CA"/>
    <w:rsid w:val="005E247A"/>
    <w:rsid w:val="0066009B"/>
    <w:rsid w:val="006645D2"/>
    <w:rsid w:val="00665BD8"/>
    <w:rsid w:val="006A6563"/>
    <w:rsid w:val="006B35A9"/>
    <w:rsid w:val="006E3859"/>
    <w:rsid w:val="007A188E"/>
    <w:rsid w:val="007B35AE"/>
    <w:rsid w:val="007E3E58"/>
    <w:rsid w:val="00830A1A"/>
    <w:rsid w:val="00843D16"/>
    <w:rsid w:val="00865588"/>
    <w:rsid w:val="00882452"/>
    <w:rsid w:val="00894A0A"/>
    <w:rsid w:val="008F2E96"/>
    <w:rsid w:val="009212A7"/>
    <w:rsid w:val="00923DF3"/>
    <w:rsid w:val="00961539"/>
    <w:rsid w:val="00972B9D"/>
    <w:rsid w:val="009E4787"/>
    <w:rsid w:val="00A4354D"/>
    <w:rsid w:val="00A90673"/>
    <w:rsid w:val="00AD2D01"/>
    <w:rsid w:val="00AE497D"/>
    <w:rsid w:val="00B1243D"/>
    <w:rsid w:val="00B80E33"/>
    <w:rsid w:val="00B84A5D"/>
    <w:rsid w:val="00B90EF0"/>
    <w:rsid w:val="00BB6271"/>
    <w:rsid w:val="00BD64D0"/>
    <w:rsid w:val="00C45989"/>
    <w:rsid w:val="00C822B1"/>
    <w:rsid w:val="00CB4048"/>
    <w:rsid w:val="00CD4CCF"/>
    <w:rsid w:val="00D31ECE"/>
    <w:rsid w:val="00D53979"/>
    <w:rsid w:val="00DA4F5E"/>
    <w:rsid w:val="00DF0B16"/>
    <w:rsid w:val="00E110AB"/>
    <w:rsid w:val="00E71296"/>
    <w:rsid w:val="00EE15CD"/>
    <w:rsid w:val="00F477CB"/>
    <w:rsid w:val="00F76A12"/>
    <w:rsid w:val="00FC5105"/>
    <w:rsid w:val="00FE31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EDA5"/>
  <w15:docId w15:val="{CDB51284-9CFE-440E-B845-CD11907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18"/>
      <w:ind w:left="10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830A1A"/>
    <w:rPr>
      <w:sz w:val="16"/>
      <w:szCs w:val="16"/>
    </w:rPr>
  </w:style>
  <w:style w:type="paragraph" w:styleId="Textodecomentrio">
    <w:name w:val="annotation text"/>
    <w:basedOn w:val="Normal"/>
    <w:link w:val="TextodecomentrioChar"/>
    <w:uiPriority w:val="99"/>
    <w:unhideWhenUsed/>
    <w:rsid w:val="00830A1A"/>
    <w:rPr>
      <w:sz w:val="20"/>
      <w:szCs w:val="20"/>
    </w:rPr>
  </w:style>
  <w:style w:type="character" w:customStyle="1" w:styleId="TextodecomentrioChar">
    <w:name w:val="Texto de comentário Char"/>
    <w:basedOn w:val="Fontepargpadro"/>
    <w:link w:val="Textodecomentrio"/>
    <w:uiPriority w:val="99"/>
    <w:rsid w:val="00830A1A"/>
    <w:rPr>
      <w:sz w:val="20"/>
      <w:szCs w:val="20"/>
    </w:rPr>
  </w:style>
  <w:style w:type="paragraph" w:styleId="Assuntodocomentrio">
    <w:name w:val="annotation subject"/>
    <w:basedOn w:val="Textodecomentrio"/>
    <w:next w:val="Textodecomentrio"/>
    <w:link w:val="AssuntodocomentrioChar"/>
    <w:uiPriority w:val="99"/>
    <w:semiHidden/>
    <w:unhideWhenUsed/>
    <w:rsid w:val="00830A1A"/>
    <w:rPr>
      <w:b/>
      <w:bCs/>
    </w:rPr>
  </w:style>
  <w:style w:type="character" w:customStyle="1" w:styleId="AssuntodocomentrioChar">
    <w:name w:val="Assunto do comentário Char"/>
    <w:basedOn w:val="TextodecomentrioChar"/>
    <w:link w:val="Assuntodocomentrio"/>
    <w:uiPriority w:val="99"/>
    <w:semiHidden/>
    <w:rsid w:val="00830A1A"/>
    <w:rPr>
      <w:b/>
      <w:bCs/>
      <w:sz w:val="20"/>
      <w:szCs w:val="20"/>
    </w:rPr>
  </w:style>
  <w:style w:type="paragraph" w:styleId="PargrafodaLista">
    <w:name w:val="List Paragraph"/>
    <w:basedOn w:val="Normal"/>
    <w:uiPriority w:val="34"/>
    <w:qFormat/>
    <w:rsid w:val="00830A1A"/>
    <w:pPr>
      <w:ind w:left="720"/>
      <w:contextualSpacing/>
    </w:pPr>
  </w:style>
  <w:style w:type="character" w:customStyle="1" w:styleId="normaltextrun">
    <w:name w:val="normaltextrun"/>
    <w:basedOn w:val="Fontepargpadro"/>
    <w:rsid w:val="009212A7"/>
  </w:style>
  <w:style w:type="character" w:customStyle="1" w:styleId="eop">
    <w:name w:val="eop"/>
    <w:basedOn w:val="Fontepargpadro"/>
    <w:rsid w:val="009212A7"/>
  </w:style>
  <w:style w:type="paragraph" w:customStyle="1" w:styleId="paragraph">
    <w:name w:val="paragraph"/>
    <w:basedOn w:val="Normal"/>
    <w:rsid w:val="009212A7"/>
    <w:pPr>
      <w:widowControl/>
      <w:spacing w:before="100" w:beforeAutospacing="1" w:after="100" w:afterAutospacing="1"/>
    </w:pPr>
    <w:rPr>
      <w:sz w:val="24"/>
      <w:szCs w:val="24"/>
    </w:rPr>
  </w:style>
  <w:style w:type="paragraph" w:styleId="Reviso">
    <w:name w:val="Revision"/>
    <w:hidden/>
    <w:uiPriority w:val="99"/>
    <w:semiHidden/>
    <w:rsid w:val="00CB404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4369">
      <w:bodyDiv w:val="1"/>
      <w:marLeft w:val="0"/>
      <w:marRight w:val="0"/>
      <w:marTop w:val="0"/>
      <w:marBottom w:val="0"/>
      <w:divBdr>
        <w:top w:val="none" w:sz="0" w:space="0" w:color="auto"/>
        <w:left w:val="none" w:sz="0" w:space="0" w:color="auto"/>
        <w:bottom w:val="none" w:sz="0" w:space="0" w:color="auto"/>
        <w:right w:val="none" w:sz="0" w:space="0" w:color="auto"/>
      </w:divBdr>
    </w:div>
    <w:div w:id="1994023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2390</Words>
  <Characters>12909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Márcio Ricardo</dc:creator>
  <cp:lastModifiedBy>Lucas</cp:lastModifiedBy>
  <cp:revision>5</cp:revision>
  <cp:lastPrinted>2025-05-31T01:06:00Z</cp:lastPrinted>
  <dcterms:created xsi:type="dcterms:W3CDTF">2025-05-30T22:27:00Z</dcterms:created>
  <dcterms:modified xsi:type="dcterms:W3CDTF">2025-05-31T01:29:00Z</dcterms:modified>
</cp:coreProperties>
</file>