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272A1" w14:textId="6741C418" w:rsidR="001C5BCC" w:rsidRPr="005F70B0" w:rsidRDefault="005259CE" w:rsidP="009C5FF8">
      <w:pPr>
        <w:pStyle w:val="Corpodetexto"/>
        <w:rPr>
          <w:sz w:val="24"/>
          <w:szCs w:val="24"/>
        </w:rPr>
      </w:pPr>
      <w:r w:rsidRPr="005F70B0">
        <w:rPr>
          <w:noProof/>
          <w:sz w:val="24"/>
          <w:szCs w:val="24"/>
          <w:lang w:val="pt-BR" w:eastAsia="pt-BR"/>
        </w:rPr>
        <w:drawing>
          <wp:anchor distT="0" distB="0" distL="0" distR="0" simplePos="0" relativeHeight="251658240" behindDoc="0" locked="0" layoutInCell="1" allowOverlap="1" wp14:anchorId="654466DD" wp14:editId="0721AFF5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553325" cy="1057275"/>
            <wp:effectExtent l="0" t="0" r="9525" b="952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BC457" w14:textId="7D8429FF" w:rsidR="00E3782C" w:rsidRPr="00AD56E9" w:rsidRDefault="00300A5F" w:rsidP="00E3782C">
      <w:pPr>
        <w:pStyle w:val="Ttulo"/>
      </w:pPr>
      <w:r w:rsidRPr="00AD56E9">
        <w:t xml:space="preserve">EXTRAÇÃO ASSISTIDA POR ULTRASSOM E CARACTERIZAÇÃO </w:t>
      </w:r>
      <w:r w:rsidR="009C5FF8" w:rsidRPr="00AD56E9">
        <w:t>FITOQUÍMICA DE FOLHAS E CASCAS DE CAULE DE PEQUI (</w:t>
      </w:r>
      <w:r w:rsidR="009C5FF8" w:rsidRPr="00AD56E9">
        <w:rPr>
          <w:i/>
          <w:iCs/>
        </w:rPr>
        <w:t>Caryocar brasiliense</w:t>
      </w:r>
      <w:r w:rsidR="009C5FF8" w:rsidRPr="00AD56E9">
        <w:t>)</w:t>
      </w:r>
    </w:p>
    <w:p w14:paraId="58281A71" w14:textId="4F1F028F" w:rsidR="00E3782C" w:rsidRPr="00AD56E9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  <w:vertAlign w:val="superscript"/>
        </w:rPr>
      </w:pPr>
      <w:bookmarkStart w:id="0" w:name="1Primeiro_Autor_com_nome_completo,_2Segu"/>
      <w:bookmarkEnd w:id="0"/>
      <w:r w:rsidRPr="00AD56E9">
        <w:rPr>
          <w:sz w:val="24"/>
          <w:szCs w:val="24"/>
          <w:vertAlign w:val="superscript"/>
        </w:rPr>
        <w:t>1</w:t>
      </w:r>
      <w:r w:rsidR="009C5FF8" w:rsidRPr="00AD56E9">
        <w:rPr>
          <w:sz w:val="24"/>
          <w:szCs w:val="24"/>
        </w:rPr>
        <w:t>Ércia Alfredo Manhiça</w:t>
      </w:r>
      <w:r w:rsidRPr="00AD56E9">
        <w:rPr>
          <w:sz w:val="24"/>
          <w:szCs w:val="24"/>
        </w:rPr>
        <w:t>,</w:t>
      </w:r>
      <w:r w:rsidRPr="00AD56E9">
        <w:rPr>
          <w:spacing w:val="-2"/>
          <w:sz w:val="24"/>
          <w:szCs w:val="24"/>
        </w:rPr>
        <w:t xml:space="preserve"> </w:t>
      </w:r>
      <w:r w:rsidRPr="00AD56E9">
        <w:rPr>
          <w:sz w:val="24"/>
          <w:szCs w:val="24"/>
          <w:vertAlign w:val="superscript"/>
        </w:rPr>
        <w:t>2</w:t>
      </w:r>
      <w:r w:rsidR="00300A5F" w:rsidRPr="00AD56E9">
        <w:rPr>
          <w:sz w:val="24"/>
          <w:szCs w:val="24"/>
          <w:vertAlign w:val="superscript"/>
        </w:rPr>
        <w:t xml:space="preserve"> </w:t>
      </w:r>
      <w:r w:rsidR="00300A5F" w:rsidRPr="00AD56E9">
        <w:rPr>
          <w:sz w:val="24"/>
          <w:szCs w:val="24"/>
        </w:rPr>
        <w:t>Taís Arthur Corrêa</w:t>
      </w:r>
      <w:r w:rsidRPr="00AD56E9">
        <w:rPr>
          <w:sz w:val="24"/>
          <w:szCs w:val="24"/>
        </w:rPr>
        <w:t>,</w:t>
      </w:r>
      <w:r w:rsidRPr="00AD56E9">
        <w:rPr>
          <w:spacing w:val="-3"/>
          <w:sz w:val="24"/>
          <w:szCs w:val="24"/>
        </w:rPr>
        <w:t xml:space="preserve"> </w:t>
      </w:r>
      <w:r w:rsidR="00300A5F" w:rsidRPr="00AD56E9">
        <w:rPr>
          <w:spacing w:val="-3"/>
          <w:sz w:val="24"/>
          <w:szCs w:val="24"/>
          <w:vertAlign w:val="superscript"/>
        </w:rPr>
        <w:t xml:space="preserve">3 </w:t>
      </w:r>
      <w:r w:rsidR="00300A5F" w:rsidRPr="00AD56E9">
        <w:rPr>
          <w:spacing w:val="-3"/>
          <w:sz w:val="24"/>
          <w:szCs w:val="24"/>
        </w:rPr>
        <w:t xml:space="preserve">Victor Bibiano Casé, </w:t>
      </w:r>
      <w:r w:rsidR="00821953" w:rsidRPr="00AD56E9">
        <w:rPr>
          <w:sz w:val="24"/>
          <w:szCs w:val="24"/>
          <w:vertAlign w:val="superscript"/>
        </w:rPr>
        <w:t xml:space="preserve">4 </w:t>
      </w:r>
      <w:r w:rsidR="00821953" w:rsidRPr="00AD56E9">
        <w:rPr>
          <w:sz w:val="24"/>
          <w:szCs w:val="24"/>
        </w:rPr>
        <w:t xml:space="preserve">Daniela </w:t>
      </w:r>
      <w:r w:rsidR="00582BB8" w:rsidRPr="00AD56E9">
        <w:rPr>
          <w:sz w:val="24"/>
          <w:szCs w:val="24"/>
        </w:rPr>
        <w:t xml:space="preserve">Granella </w:t>
      </w:r>
      <w:r w:rsidR="003B1A9D" w:rsidRPr="00AD56E9">
        <w:rPr>
          <w:sz w:val="24"/>
          <w:szCs w:val="24"/>
        </w:rPr>
        <w:t xml:space="preserve">Gomes </w:t>
      </w:r>
      <w:r w:rsidR="00821953" w:rsidRPr="00AD56E9">
        <w:rPr>
          <w:sz w:val="24"/>
          <w:szCs w:val="24"/>
        </w:rPr>
        <w:t xml:space="preserve">Guidoti, </w:t>
      </w:r>
      <w:r w:rsidR="00821953" w:rsidRPr="00AD56E9">
        <w:rPr>
          <w:sz w:val="24"/>
          <w:szCs w:val="24"/>
          <w:vertAlign w:val="superscript"/>
        </w:rPr>
        <w:t>5</w:t>
      </w:r>
      <w:r w:rsidR="00821953" w:rsidRPr="00AD56E9">
        <w:rPr>
          <w:sz w:val="24"/>
          <w:szCs w:val="24"/>
        </w:rPr>
        <w:t>Gustavo Henrique Gravatim Costa,</w:t>
      </w:r>
      <w:r w:rsidR="00582BB8" w:rsidRPr="00AD56E9">
        <w:rPr>
          <w:sz w:val="24"/>
          <w:szCs w:val="24"/>
          <w:vertAlign w:val="superscript"/>
        </w:rPr>
        <w:t>6</w:t>
      </w:r>
      <w:r w:rsidR="00300A5F" w:rsidRPr="00AD56E9">
        <w:rPr>
          <w:sz w:val="24"/>
          <w:szCs w:val="24"/>
          <w:vertAlign w:val="superscript"/>
        </w:rPr>
        <w:t xml:space="preserve"> </w:t>
      </w:r>
      <w:r w:rsidR="00300A5F" w:rsidRPr="00AD56E9">
        <w:rPr>
          <w:spacing w:val="-3"/>
          <w:sz w:val="24"/>
          <w:szCs w:val="24"/>
        </w:rPr>
        <w:t>David Teixeira Guidoti</w:t>
      </w:r>
    </w:p>
    <w:p w14:paraId="7C8487AB" w14:textId="73B200E3" w:rsidR="00582BB8" w:rsidRPr="00AD56E9" w:rsidRDefault="00E3782C" w:rsidP="00E3782C">
      <w:pPr>
        <w:spacing w:line="228" w:lineRule="exact"/>
        <w:ind w:left="77" w:right="209"/>
        <w:jc w:val="center"/>
        <w:rPr>
          <w:i/>
          <w:spacing w:val="-3"/>
          <w:sz w:val="24"/>
          <w:szCs w:val="24"/>
        </w:rPr>
      </w:pPr>
      <w:r w:rsidRPr="00AD56E9">
        <w:rPr>
          <w:i/>
          <w:sz w:val="24"/>
          <w:szCs w:val="24"/>
          <w:vertAlign w:val="superscript"/>
        </w:rPr>
        <w:t>1</w:t>
      </w:r>
      <w:r w:rsidR="009A5415" w:rsidRPr="00AD56E9">
        <w:rPr>
          <w:i/>
          <w:sz w:val="24"/>
          <w:szCs w:val="24"/>
        </w:rPr>
        <w:t>Universidade do Estado de Minas Gerais</w:t>
      </w:r>
      <w:r w:rsidRPr="00AD56E9">
        <w:rPr>
          <w:i/>
          <w:sz w:val="24"/>
          <w:szCs w:val="24"/>
        </w:rPr>
        <w:t>, e-mail:</w:t>
      </w:r>
      <w:r w:rsidRPr="00AD56E9">
        <w:rPr>
          <w:i/>
          <w:spacing w:val="-4"/>
          <w:sz w:val="24"/>
          <w:szCs w:val="24"/>
        </w:rPr>
        <w:t xml:space="preserve"> </w:t>
      </w:r>
      <w:r w:rsidR="009A5415" w:rsidRPr="00AD56E9">
        <w:rPr>
          <w:i/>
          <w:sz w:val="24"/>
          <w:szCs w:val="24"/>
        </w:rPr>
        <w:t>erciaamanhica@gmail.com</w:t>
      </w:r>
      <w:r w:rsidRPr="00AD56E9">
        <w:rPr>
          <w:i/>
          <w:sz w:val="24"/>
          <w:szCs w:val="24"/>
        </w:rPr>
        <w:t>;</w:t>
      </w:r>
      <w:r w:rsidRPr="00AD56E9">
        <w:rPr>
          <w:i/>
          <w:spacing w:val="-3"/>
          <w:sz w:val="24"/>
          <w:szCs w:val="24"/>
        </w:rPr>
        <w:t xml:space="preserve"> </w:t>
      </w:r>
      <w:r w:rsidRPr="00AD56E9">
        <w:rPr>
          <w:i/>
          <w:sz w:val="24"/>
          <w:szCs w:val="24"/>
          <w:vertAlign w:val="superscript"/>
        </w:rPr>
        <w:t>2</w:t>
      </w:r>
      <w:r w:rsidR="009A5415" w:rsidRPr="00AD56E9">
        <w:rPr>
          <w:i/>
          <w:sz w:val="24"/>
          <w:szCs w:val="24"/>
        </w:rPr>
        <w:t>Universidade do Estado de Minas Gerais</w:t>
      </w:r>
      <w:r w:rsidRPr="00AD56E9">
        <w:rPr>
          <w:i/>
          <w:sz w:val="24"/>
          <w:szCs w:val="24"/>
        </w:rPr>
        <w:t>,</w:t>
      </w:r>
      <w:r w:rsidRPr="00AD56E9">
        <w:rPr>
          <w:i/>
          <w:spacing w:val="-1"/>
          <w:sz w:val="24"/>
          <w:szCs w:val="24"/>
        </w:rPr>
        <w:t xml:space="preserve"> </w:t>
      </w:r>
      <w:r w:rsidRPr="00AD56E9">
        <w:rPr>
          <w:i/>
          <w:sz w:val="24"/>
          <w:szCs w:val="24"/>
        </w:rPr>
        <w:t>e-mail:</w:t>
      </w:r>
      <w:r w:rsidR="00300A5F" w:rsidRPr="00AD56E9">
        <w:rPr>
          <w:i/>
          <w:spacing w:val="-2"/>
          <w:sz w:val="24"/>
          <w:szCs w:val="24"/>
        </w:rPr>
        <w:t xml:space="preserve"> tais.correa@uemg.br</w:t>
      </w:r>
      <w:r w:rsidRPr="00AD56E9">
        <w:rPr>
          <w:i/>
          <w:sz w:val="24"/>
          <w:szCs w:val="24"/>
        </w:rPr>
        <w:t>;</w:t>
      </w:r>
      <w:r w:rsidR="00582BB8" w:rsidRPr="00AD56E9">
        <w:rPr>
          <w:i/>
          <w:sz w:val="24"/>
          <w:szCs w:val="24"/>
          <w:vertAlign w:val="superscript"/>
        </w:rPr>
        <w:t xml:space="preserve"> </w:t>
      </w:r>
    </w:p>
    <w:p w14:paraId="4C0D27B2" w14:textId="0ED8F59C" w:rsidR="00300A5F" w:rsidRPr="00AD56E9" w:rsidRDefault="00E3782C" w:rsidP="00582BB8">
      <w:pPr>
        <w:spacing w:line="228" w:lineRule="exact"/>
        <w:ind w:left="77" w:right="209"/>
        <w:jc w:val="center"/>
        <w:rPr>
          <w:i/>
          <w:sz w:val="24"/>
          <w:szCs w:val="24"/>
        </w:rPr>
      </w:pPr>
      <w:r w:rsidRPr="00AD56E9">
        <w:rPr>
          <w:i/>
          <w:sz w:val="24"/>
          <w:szCs w:val="24"/>
          <w:vertAlign w:val="superscript"/>
        </w:rPr>
        <w:t>3</w:t>
      </w:r>
      <w:r w:rsidR="009A5415" w:rsidRPr="00AD56E9">
        <w:rPr>
          <w:i/>
          <w:sz w:val="24"/>
          <w:szCs w:val="24"/>
        </w:rPr>
        <w:t>Universidade do Estado de Minas Gerai</w:t>
      </w:r>
      <w:r w:rsidR="00582BB8" w:rsidRPr="00AD56E9">
        <w:rPr>
          <w:i/>
          <w:sz w:val="24"/>
          <w:szCs w:val="24"/>
        </w:rPr>
        <w:t>s, e-mail:</w:t>
      </w:r>
      <w:r w:rsidR="00300A5F" w:rsidRPr="00AD56E9">
        <w:rPr>
          <w:i/>
          <w:sz w:val="24"/>
          <w:szCs w:val="24"/>
        </w:rPr>
        <w:t xml:space="preserve"> bibianovictor177@gmail.com;</w:t>
      </w:r>
    </w:p>
    <w:p w14:paraId="0BAD06F0" w14:textId="77777777" w:rsidR="002A1A37" w:rsidRPr="00AD56E9" w:rsidRDefault="00582BB8" w:rsidP="00582BB8">
      <w:pPr>
        <w:spacing w:line="228" w:lineRule="exact"/>
        <w:ind w:left="77" w:right="209"/>
        <w:jc w:val="center"/>
        <w:rPr>
          <w:i/>
          <w:spacing w:val="-3"/>
          <w:sz w:val="24"/>
          <w:szCs w:val="24"/>
        </w:rPr>
      </w:pPr>
      <w:r w:rsidRPr="00AD56E9">
        <w:rPr>
          <w:i/>
          <w:sz w:val="24"/>
          <w:szCs w:val="24"/>
          <w:vertAlign w:val="superscript"/>
        </w:rPr>
        <w:t xml:space="preserve"> 4</w:t>
      </w:r>
      <w:r w:rsidRPr="00AD56E9">
        <w:rPr>
          <w:i/>
          <w:sz w:val="24"/>
          <w:szCs w:val="24"/>
        </w:rPr>
        <w:t xml:space="preserve">Universidade do Estado de Minas Gerais,e-mail: </w:t>
      </w:r>
      <w:hyperlink r:id="rId9" w:history="1">
        <w:r w:rsidRPr="00AD56E9">
          <w:rPr>
            <w:rStyle w:val="Hyperlink"/>
            <w:i/>
            <w:color w:val="auto"/>
            <w:sz w:val="24"/>
            <w:szCs w:val="24"/>
            <w:u w:val="none"/>
          </w:rPr>
          <w:t>guidoti.daniela@gmail.com</w:t>
        </w:r>
      </w:hyperlink>
      <w:r w:rsidRPr="00AD56E9">
        <w:rPr>
          <w:i/>
          <w:sz w:val="24"/>
          <w:szCs w:val="24"/>
        </w:rPr>
        <w:t>;</w:t>
      </w:r>
      <w:r w:rsidRPr="00AD56E9">
        <w:rPr>
          <w:i/>
          <w:sz w:val="24"/>
          <w:szCs w:val="24"/>
          <w:vertAlign w:val="superscript"/>
        </w:rPr>
        <w:t xml:space="preserve"> </w:t>
      </w:r>
      <w:r w:rsidR="002A1A37" w:rsidRPr="00AD56E9">
        <w:rPr>
          <w:i/>
          <w:sz w:val="24"/>
          <w:szCs w:val="24"/>
          <w:vertAlign w:val="superscript"/>
        </w:rPr>
        <w:t>5</w:t>
      </w:r>
      <w:r w:rsidRPr="00AD56E9">
        <w:rPr>
          <w:i/>
          <w:sz w:val="24"/>
          <w:szCs w:val="24"/>
        </w:rPr>
        <w:t>Universidade do Estado de Minas Gerais,</w:t>
      </w:r>
      <w:r w:rsidRPr="00AD56E9">
        <w:rPr>
          <w:i/>
          <w:spacing w:val="-1"/>
          <w:sz w:val="24"/>
          <w:szCs w:val="24"/>
        </w:rPr>
        <w:t xml:space="preserve"> </w:t>
      </w:r>
      <w:r w:rsidRPr="00AD56E9">
        <w:rPr>
          <w:i/>
          <w:sz w:val="24"/>
          <w:szCs w:val="24"/>
        </w:rPr>
        <w:t>e-mail:</w:t>
      </w:r>
      <w:r w:rsidRPr="00AD56E9">
        <w:rPr>
          <w:i/>
          <w:spacing w:val="-3"/>
          <w:sz w:val="24"/>
          <w:szCs w:val="24"/>
        </w:rPr>
        <w:t xml:space="preserve">  </w:t>
      </w:r>
      <w:hyperlink r:id="rId10" w:history="1">
        <w:r w:rsidRPr="00AD56E9">
          <w:rPr>
            <w:rStyle w:val="Hyperlink"/>
            <w:i/>
            <w:color w:val="auto"/>
            <w:spacing w:val="-3"/>
            <w:sz w:val="24"/>
            <w:szCs w:val="24"/>
            <w:u w:val="none"/>
          </w:rPr>
          <w:t>gustavo.costa@uemg.br</w:t>
        </w:r>
      </w:hyperlink>
      <w:r w:rsidRPr="00AD56E9">
        <w:rPr>
          <w:i/>
          <w:spacing w:val="-3"/>
          <w:sz w:val="24"/>
          <w:szCs w:val="24"/>
        </w:rPr>
        <w:t>;</w:t>
      </w:r>
    </w:p>
    <w:p w14:paraId="158B3CEA" w14:textId="07EFCF73" w:rsidR="00E3782C" w:rsidRPr="00AD56E9" w:rsidRDefault="00582BB8" w:rsidP="00582BB8">
      <w:pPr>
        <w:spacing w:line="228" w:lineRule="exact"/>
        <w:ind w:left="77" w:right="209"/>
        <w:jc w:val="center"/>
        <w:rPr>
          <w:i/>
          <w:sz w:val="24"/>
          <w:szCs w:val="24"/>
        </w:rPr>
      </w:pPr>
      <w:r w:rsidRPr="00AD56E9">
        <w:rPr>
          <w:i/>
          <w:spacing w:val="-3"/>
          <w:sz w:val="24"/>
          <w:szCs w:val="24"/>
        </w:rPr>
        <w:t xml:space="preserve"> </w:t>
      </w:r>
      <w:r w:rsidRPr="00AD56E9">
        <w:rPr>
          <w:i/>
          <w:sz w:val="24"/>
          <w:szCs w:val="24"/>
          <w:vertAlign w:val="superscript"/>
        </w:rPr>
        <w:t>6</w:t>
      </w:r>
      <w:r w:rsidRPr="00AD56E9">
        <w:rPr>
          <w:i/>
          <w:sz w:val="24"/>
          <w:szCs w:val="24"/>
        </w:rPr>
        <w:t>Universidade do Estado de Minas Gerais,</w:t>
      </w:r>
      <w:r w:rsidRPr="00AD56E9">
        <w:rPr>
          <w:i/>
          <w:spacing w:val="-1"/>
          <w:sz w:val="24"/>
          <w:szCs w:val="24"/>
        </w:rPr>
        <w:t xml:space="preserve"> </w:t>
      </w:r>
      <w:r w:rsidRPr="00AD56E9">
        <w:rPr>
          <w:i/>
          <w:sz w:val="24"/>
          <w:szCs w:val="24"/>
        </w:rPr>
        <w:t>e-mail:</w:t>
      </w:r>
      <w:r w:rsidR="00300A5F" w:rsidRPr="00AD56E9">
        <w:rPr>
          <w:i/>
          <w:sz w:val="24"/>
          <w:szCs w:val="24"/>
        </w:rPr>
        <w:t>david.guidoti@uemg.br</w:t>
      </w:r>
    </w:p>
    <w:p w14:paraId="19ACAB03" w14:textId="77777777" w:rsidR="00E3782C" w:rsidRPr="00AD56E9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453402F3" w:rsidR="00E3782C" w:rsidRPr="00AD56E9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AD56E9">
        <w:rPr>
          <w:b/>
          <w:bCs/>
          <w:i/>
          <w:spacing w:val="-2"/>
          <w:sz w:val="24"/>
          <w:szCs w:val="24"/>
        </w:rPr>
        <w:t xml:space="preserve">Grupo </w:t>
      </w:r>
      <w:r w:rsidR="00A63F7E" w:rsidRPr="00AD56E9">
        <w:rPr>
          <w:b/>
          <w:bCs/>
          <w:i/>
          <w:spacing w:val="-2"/>
          <w:sz w:val="24"/>
          <w:szCs w:val="24"/>
        </w:rPr>
        <w:t>4: Gestão Ambiental e Politicas ambientais</w:t>
      </w:r>
    </w:p>
    <w:p w14:paraId="125F6DD1" w14:textId="465E92CC" w:rsidR="009C4B75" w:rsidRPr="00AD56E9" w:rsidRDefault="00A63F7E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AD56E9">
        <w:rPr>
          <w:b/>
          <w:bCs/>
          <w:i/>
          <w:spacing w:val="-2"/>
          <w:sz w:val="24"/>
          <w:szCs w:val="24"/>
        </w:rPr>
        <w:t>Inovação Tecnológica para sustentabilidade</w:t>
      </w:r>
    </w:p>
    <w:p w14:paraId="35327E91" w14:textId="77777777" w:rsidR="00697E4F" w:rsidRPr="00AD56E9" w:rsidRDefault="00697E4F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</w:p>
    <w:p w14:paraId="04BA8700" w14:textId="77777777" w:rsidR="00C35AB8" w:rsidRPr="00AD56E9" w:rsidRDefault="00C35AB8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17099C21" w:rsidR="00E3782C" w:rsidRPr="00AD56E9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AD56E9">
        <w:rPr>
          <w:b/>
          <w:bCs/>
          <w:iCs/>
          <w:sz w:val="28"/>
          <w:szCs w:val="28"/>
        </w:rPr>
        <w:t>Resumo</w:t>
      </w:r>
    </w:p>
    <w:p w14:paraId="110E72CB" w14:textId="77777777" w:rsidR="00DA56CD" w:rsidRPr="00AD56E9" w:rsidRDefault="00DA56CD" w:rsidP="00DA56CD">
      <w:pPr>
        <w:jc w:val="both"/>
        <w:rPr>
          <w:sz w:val="24"/>
          <w:szCs w:val="24"/>
          <w:lang w:eastAsia="pt-BR"/>
        </w:rPr>
      </w:pPr>
      <w:r w:rsidRPr="00AD56E9">
        <w:rPr>
          <w:rStyle w:val="nfase"/>
          <w:i w:val="0"/>
          <w:iCs w:val="0"/>
          <w:sz w:val="24"/>
          <w:szCs w:val="24"/>
        </w:rPr>
        <w:t>O</w:t>
      </w:r>
      <w:r w:rsidRPr="00AD56E9">
        <w:rPr>
          <w:rStyle w:val="nfase"/>
          <w:sz w:val="24"/>
          <w:szCs w:val="24"/>
        </w:rPr>
        <w:t xml:space="preserve"> Caryocar brasiliense</w:t>
      </w:r>
      <w:r w:rsidRPr="00AD56E9">
        <w:rPr>
          <w:sz w:val="24"/>
          <w:szCs w:val="24"/>
        </w:rPr>
        <w:t xml:space="preserve"> Cambess. (pequi) é uma espécie nativa do Cerrado brasileiro de reconhecida importância ecológica, econômica e biotecnológica. Entretanto, folhas e cascas do caule ainda permanecem pouco exploradas fitoquimicamente. Este estudo teve como objetivo avaliar o potencial fitoquímico de extratos etanólicos dessas matrizes, obtidos por extração assistida por ultrassom, utilizando triagem por via úmida e espectroscopia no infravermelho com transformada de Fourier (FTIR). Os ensaios qualitativos indicaram flavonoides apenas no extrato foliar, enquanto taninos e terpenos foram observados em ambas as matrizes. Alcaloides, saponinas e antraquinonas não foram identificados nas condições empregadas. A análise por FTIR corroborou a triagem, evidenciando bandas compatíveis com grupos hidroxila, ligações C–H alifáticas, carbonilas, estruturas aromáticas e ligações C–O, associadas a compostos fenólicos, taninos, terpenoides e constituintes da parede celular. Os resultados demonstram perfis fitoquímicos complementares, marcados pela predominância de metabólitos fenólicos e terpênicos. A extração por ultrassom mostrou-se adequada para obter classes de metabólitos de interesse, e a associação com o FTIR permitiu uma caracterização preliminar consistente. Assim, a integração dessas abordagens reforça o potencial de folhas e cascas como fontes de compostos bioativos, contribuindo para o aproveitamento científico e sustentável de partes subutilizadas do pequi em futuras aplicações biotecnológicas.</w:t>
      </w:r>
    </w:p>
    <w:p w14:paraId="0C8116BC" w14:textId="6371F505" w:rsidR="009C5FF8" w:rsidRPr="00AD56E9" w:rsidRDefault="009C5FF8" w:rsidP="009C5FF8"/>
    <w:p w14:paraId="128F6AA4" w14:textId="17303172" w:rsidR="00F601BB" w:rsidRPr="00AD56E9" w:rsidRDefault="00E3782C" w:rsidP="009C4B75">
      <w:pPr>
        <w:jc w:val="both"/>
        <w:rPr>
          <w:sz w:val="24"/>
          <w:szCs w:val="24"/>
        </w:rPr>
      </w:pPr>
      <w:r w:rsidRPr="00AD56E9">
        <w:rPr>
          <w:b/>
          <w:sz w:val="24"/>
          <w:szCs w:val="24"/>
        </w:rPr>
        <w:t>Palavras-chave:</w:t>
      </w:r>
      <w:r w:rsidR="004315BA" w:rsidRPr="00AD56E9">
        <w:rPr>
          <w:sz w:val="24"/>
          <w:szCs w:val="24"/>
        </w:rPr>
        <w:t xml:space="preserve"> compostos fenólicos; espectroscopia; infravermelho</w:t>
      </w:r>
      <w:r w:rsidR="00F601BB" w:rsidRPr="00AD56E9">
        <w:rPr>
          <w:sz w:val="24"/>
          <w:szCs w:val="24"/>
        </w:rPr>
        <w:t xml:space="preserve">; </w:t>
      </w:r>
      <w:r w:rsidR="003A4F40" w:rsidRPr="00AD56E9">
        <w:rPr>
          <w:sz w:val="24"/>
          <w:szCs w:val="24"/>
        </w:rPr>
        <w:t>m</w:t>
      </w:r>
      <w:r w:rsidR="00F601BB" w:rsidRPr="00AD56E9">
        <w:rPr>
          <w:sz w:val="24"/>
          <w:szCs w:val="24"/>
        </w:rPr>
        <w:t xml:space="preserve">etabólitos secundários; </w:t>
      </w:r>
      <w:r w:rsidR="003A4F40" w:rsidRPr="00AD56E9">
        <w:rPr>
          <w:sz w:val="24"/>
          <w:szCs w:val="24"/>
        </w:rPr>
        <w:t>p</w:t>
      </w:r>
      <w:r w:rsidR="00F601BB" w:rsidRPr="00AD56E9">
        <w:rPr>
          <w:sz w:val="24"/>
          <w:szCs w:val="24"/>
        </w:rPr>
        <w:t>equi</w:t>
      </w:r>
      <w:r w:rsidR="00860794" w:rsidRPr="00AD56E9">
        <w:rPr>
          <w:sz w:val="24"/>
          <w:szCs w:val="24"/>
        </w:rPr>
        <w:t>.</w:t>
      </w:r>
    </w:p>
    <w:p w14:paraId="0F7CD38A" w14:textId="25E9A472" w:rsidR="009C4B75" w:rsidRPr="00AD56E9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29DF548A" w:rsidR="00E3782C" w:rsidRPr="00AD56E9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AD56E9">
        <w:rPr>
          <w:b/>
          <w:bCs/>
          <w:spacing w:val="-2"/>
          <w:sz w:val="28"/>
          <w:szCs w:val="28"/>
        </w:rPr>
        <w:t>Introdução</w:t>
      </w:r>
    </w:p>
    <w:p w14:paraId="6A9B17F1" w14:textId="0FBB66ED" w:rsidR="00E4725D" w:rsidRPr="00E62292" w:rsidRDefault="00E4725D" w:rsidP="00E4725D">
      <w:pPr>
        <w:spacing w:line="360" w:lineRule="auto"/>
        <w:ind w:firstLine="709"/>
        <w:jc w:val="both"/>
        <w:rPr>
          <w:sz w:val="24"/>
          <w:szCs w:val="24"/>
          <w:lang w:eastAsia="pt-BR"/>
        </w:rPr>
      </w:pPr>
      <w:r w:rsidRPr="00E62292">
        <w:rPr>
          <w:sz w:val="24"/>
          <w:szCs w:val="24"/>
          <w:lang w:eastAsia="pt-BR"/>
        </w:rPr>
        <w:t xml:space="preserve">O Brasil abriga uma das maiores diversidades vegetais do planeta, destacando-se o Cerrado como a savana tropical mais diversa do mundo e importante reservatório de espécies com potencial químico, ecológico e biotecnológico ainda pouco explorado (Strassburg </w:t>
      </w:r>
      <w:r w:rsidRPr="00E62292">
        <w:rPr>
          <w:i/>
          <w:iCs/>
          <w:sz w:val="24"/>
          <w:szCs w:val="24"/>
          <w:lang w:eastAsia="pt-BR"/>
        </w:rPr>
        <w:t>et al</w:t>
      </w:r>
      <w:r w:rsidRPr="00E62292">
        <w:rPr>
          <w:sz w:val="24"/>
          <w:szCs w:val="24"/>
          <w:lang w:eastAsia="pt-BR"/>
        </w:rPr>
        <w:t xml:space="preserve">., 2017; De Oliveira; Simon, 2022). Nesse contexto, a prospecção de espécies nativas é estratégica para a identificação de metabólitos secundários bioativos, </w:t>
      </w:r>
      <w:r w:rsidR="00697E4F" w:rsidRPr="00E62292">
        <w:rPr>
          <w:sz w:val="24"/>
          <w:szCs w:val="24"/>
          <w:lang w:eastAsia="pt-BR"/>
        </w:rPr>
        <w:t xml:space="preserve">a </w:t>
      </w:r>
      <w:r w:rsidRPr="00E62292">
        <w:rPr>
          <w:sz w:val="24"/>
          <w:szCs w:val="24"/>
          <w:lang w:eastAsia="pt-BR"/>
        </w:rPr>
        <w:t xml:space="preserve">valorização </w:t>
      </w:r>
      <w:r w:rsidRPr="00E62292">
        <w:rPr>
          <w:sz w:val="24"/>
          <w:szCs w:val="24"/>
          <w:lang w:eastAsia="pt-BR"/>
        </w:rPr>
        <w:lastRenderedPageBreak/>
        <w:t xml:space="preserve">sustentável da biodiversidade e o fortalecimento da bioeconomia regional (Caldeira </w:t>
      </w:r>
      <w:r w:rsidRPr="00E62292">
        <w:rPr>
          <w:i/>
          <w:iCs/>
          <w:sz w:val="24"/>
          <w:szCs w:val="24"/>
          <w:lang w:eastAsia="pt-BR"/>
        </w:rPr>
        <w:t>et al.,</w:t>
      </w:r>
      <w:r w:rsidRPr="00E62292">
        <w:rPr>
          <w:sz w:val="24"/>
          <w:szCs w:val="24"/>
          <w:lang w:eastAsia="pt-BR"/>
        </w:rPr>
        <w:t xml:space="preserve"> 2021).</w:t>
      </w:r>
    </w:p>
    <w:p w14:paraId="5AF255E9" w14:textId="71DD4E99" w:rsidR="00E4725D" w:rsidRPr="00E62292" w:rsidRDefault="00E4725D" w:rsidP="00E4725D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E62292">
        <w:t>Entre as espécies nativas, destaca-se o pequi (</w:t>
      </w:r>
      <w:proofErr w:type="spellStart"/>
      <w:r w:rsidRPr="00E62292">
        <w:rPr>
          <w:rStyle w:val="nfase"/>
        </w:rPr>
        <w:t>Caryocar</w:t>
      </w:r>
      <w:proofErr w:type="spellEnd"/>
      <w:r w:rsidRPr="00E62292">
        <w:rPr>
          <w:rStyle w:val="nfase"/>
        </w:rPr>
        <w:t xml:space="preserve"> brasiliense</w:t>
      </w:r>
      <w:r w:rsidRPr="00E62292">
        <w:t xml:space="preserve"> </w:t>
      </w:r>
      <w:proofErr w:type="spellStart"/>
      <w:r w:rsidRPr="00E62292">
        <w:t>Cambess</w:t>
      </w:r>
      <w:proofErr w:type="spellEnd"/>
      <w:r w:rsidRPr="00E62292">
        <w:t xml:space="preserve">.), amplamente reconhecido por sua importância alimentar, econômica, cultural e medicinal (Melo </w:t>
      </w:r>
      <w:r w:rsidRPr="00E62292">
        <w:rPr>
          <w:i/>
          <w:iCs/>
        </w:rPr>
        <w:t>et al.,</w:t>
      </w:r>
      <w:r w:rsidRPr="00E62292">
        <w:t xml:space="preserve"> 2025). Embora os frutos e derivados sejam os mais estudados, folhas e cascas do caule também apresentam potencial </w:t>
      </w:r>
      <w:proofErr w:type="spellStart"/>
      <w:r w:rsidRPr="00E62292">
        <w:t>fitoquímico</w:t>
      </w:r>
      <w:proofErr w:type="spellEnd"/>
      <w:r w:rsidRPr="00E62292">
        <w:t xml:space="preserve">, pois participam dos mecanismos de defesa vegetal frente às condições ambientais do Cerrado, como elevada radiação, déficit hídrico, </w:t>
      </w:r>
      <w:proofErr w:type="spellStart"/>
      <w:r w:rsidRPr="00E62292">
        <w:t>herbivoria</w:t>
      </w:r>
      <w:proofErr w:type="spellEnd"/>
      <w:r w:rsidRPr="00E62292">
        <w:t xml:space="preserve"> e ataque de microrganismos (Teixeira </w:t>
      </w:r>
      <w:r w:rsidRPr="00E62292">
        <w:rPr>
          <w:i/>
          <w:iCs/>
        </w:rPr>
        <w:t>et al.,</w:t>
      </w:r>
      <w:r w:rsidRPr="00E62292">
        <w:t xml:space="preserve"> 2022).</w:t>
      </w:r>
    </w:p>
    <w:p w14:paraId="1DD6B1ED" w14:textId="1C2AF18F" w:rsidR="00E4725D" w:rsidRPr="00E62292" w:rsidRDefault="00E4725D" w:rsidP="00E4725D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E62292">
        <w:t xml:space="preserve">O uso tradicional de diferentes partes de </w:t>
      </w:r>
      <w:r w:rsidRPr="00E62292">
        <w:rPr>
          <w:rStyle w:val="nfase"/>
        </w:rPr>
        <w:t>C. brasiliense</w:t>
      </w:r>
      <w:r w:rsidRPr="00E62292">
        <w:t xml:space="preserve"> reforça seu potencial biológico. Relatos </w:t>
      </w:r>
      <w:proofErr w:type="spellStart"/>
      <w:r w:rsidRPr="00E62292">
        <w:t>etnobotânicos</w:t>
      </w:r>
      <w:proofErr w:type="spellEnd"/>
      <w:r w:rsidRPr="00E62292">
        <w:t xml:space="preserve"> descrevem a utilização de folhas, cascas, polpa e óleo no tratamento de processos inflamatórios, afecções respiratórias, dores e distúrbios. Estudos recentes apontam que essas matrizes contêm compostos fenólicos, flavonoides, taninos, carotenoides e </w:t>
      </w:r>
      <w:proofErr w:type="spellStart"/>
      <w:r w:rsidRPr="00E62292">
        <w:t>terpenoides</w:t>
      </w:r>
      <w:proofErr w:type="spellEnd"/>
      <w:r w:rsidRPr="00E62292">
        <w:t>, associados às atividades antioxidante, antimicrobiana, anti-inflamatória, antiparasitária e antidiabética (Melo, 2025).</w:t>
      </w:r>
    </w:p>
    <w:p w14:paraId="50748240" w14:textId="77777777" w:rsidR="00E4725D" w:rsidRPr="00E62292" w:rsidRDefault="00E4725D" w:rsidP="00E4725D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E62292">
        <w:t xml:space="preserve"> Contudo, a maior parte das pesquisas concentra-se nos frutos, permanecendo menos exploradas as folhas, que acumulam metabólitos voltados à </w:t>
      </w:r>
      <w:proofErr w:type="spellStart"/>
      <w:r w:rsidRPr="00E62292">
        <w:t>fotoproteção</w:t>
      </w:r>
      <w:proofErr w:type="spellEnd"/>
      <w:r w:rsidRPr="00E62292">
        <w:t xml:space="preserve">, e as cascas do caule, que concentram substâncias de defesa estrutural contra patógenos (Teixeira </w:t>
      </w:r>
      <w:r w:rsidRPr="00E62292">
        <w:rPr>
          <w:i/>
          <w:iCs/>
        </w:rPr>
        <w:t>et al.,</w:t>
      </w:r>
      <w:r w:rsidRPr="00E62292">
        <w:t xml:space="preserve"> 2022; Melo </w:t>
      </w:r>
      <w:r w:rsidRPr="00E62292">
        <w:rPr>
          <w:i/>
          <w:iCs/>
        </w:rPr>
        <w:t>et al</w:t>
      </w:r>
      <w:r w:rsidRPr="00E62292">
        <w:t>., 2024). Assim, a avaliação comparativa dessas estruturas amplia o conhecimento sobre a distribuição metabólica na espécie e sinaliza novas aplicações biotecnológicas.</w:t>
      </w:r>
    </w:p>
    <w:p w14:paraId="20B5B116" w14:textId="760AA916" w:rsidR="00E4725D" w:rsidRPr="00E62292" w:rsidRDefault="00E4725D" w:rsidP="00E4725D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E62292">
        <w:t>A obtenção desses compostos bioativos depende diretamente do método extrativo (</w:t>
      </w:r>
      <w:proofErr w:type="spellStart"/>
      <w:r w:rsidRPr="00E62292">
        <w:t>Chemat</w:t>
      </w:r>
      <w:proofErr w:type="spellEnd"/>
      <w:r w:rsidRPr="00E62292">
        <w:t xml:space="preserve"> </w:t>
      </w:r>
      <w:r w:rsidRPr="00E62292">
        <w:rPr>
          <w:i/>
          <w:iCs/>
        </w:rPr>
        <w:t>et al.,</w:t>
      </w:r>
      <w:r w:rsidRPr="00E62292">
        <w:t xml:space="preserve"> 2017). A extração assistida por ultrassom destaca-se como uma alternativa </w:t>
      </w:r>
      <w:proofErr w:type="spellStart"/>
      <w:r w:rsidRPr="00E62292">
        <w:t>ecoeficiente</w:t>
      </w:r>
      <w:proofErr w:type="spellEnd"/>
      <w:r w:rsidRPr="00E62292">
        <w:t xml:space="preserve"> aos métodos convencionais por aumentar o rendimento de compostos bioativos, reduzindo o tempo de processamento, o consumo de solventes e a demanda energética, em conformidade com os princípios da química verde (</w:t>
      </w:r>
      <w:proofErr w:type="spellStart"/>
      <w:r w:rsidRPr="00E62292">
        <w:t>Chemat</w:t>
      </w:r>
      <w:proofErr w:type="spellEnd"/>
      <w:r w:rsidRPr="00E62292">
        <w:t xml:space="preserve"> </w:t>
      </w:r>
      <w:r w:rsidRPr="00E62292">
        <w:rPr>
          <w:i/>
          <w:iCs/>
        </w:rPr>
        <w:t>et al.,</w:t>
      </w:r>
      <w:r w:rsidRPr="00E62292">
        <w:t xml:space="preserve"> 2017).</w:t>
      </w:r>
    </w:p>
    <w:p w14:paraId="32F1F430" w14:textId="380AA0B4" w:rsidR="00E4725D" w:rsidRPr="00E62292" w:rsidRDefault="00E4725D" w:rsidP="0074796B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E62292">
        <w:t xml:space="preserve">Para a caracterização preliminar dos extratos, a combinação entre triagem </w:t>
      </w:r>
      <w:proofErr w:type="spellStart"/>
      <w:r w:rsidRPr="00E62292">
        <w:t>fitoquímica</w:t>
      </w:r>
      <w:proofErr w:type="spellEnd"/>
      <w:r w:rsidRPr="00E62292">
        <w:t xml:space="preserve"> por via úmida e espectroscopia no infravermelho com transformada de Fourier (FTIR) constitui uma abordagem complementar. Enquanto os testes </w:t>
      </w:r>
      <w:proofErr w:type="spellStart"/>
      <w:r w:rsidRPr="00E62292">
        <w:t>fitoquímicos</w:t>
      </w:r>
      <w:proofErr w:type="spellEnd"/>
      <w:r w:rsidRPr="00E62292">
        <w:t xml:space="preserve"> permitem identificar qualitativamente classes de metabólitos secundários, como alcaloides, flavonoides, taninos, saponinas, antraquinonas, esteroides e </w:t>
      </w:r>
      <w:proofErr w:type="spellStart"/>
      <w:r w:rsidRPr="00E62292">
        <w:t>triterpenoides</w:t>
      </w:r>
      <w:proofErr w:type="spellEnd"/>
      <w:r w:rsidRPr="00E62292">
        <w:t xml:space="preserve">, o FTIR confere robustez ao mapear grupos funcionais e fornecer uma impressão digital química dos constituintes (Simões </w:t>
      </w:r>
      <w:r w:rsidRPr="00E62292">
        <w:rPr>
          <w:i/>
          <w:iCs/>
        </w:rPr>
        <w:t>et al</w:t>
      </w:r>
      <w:r w:rsidRPr="00E62292">
        <w:t xml:space="preserve">., 2017; </w:t>
      </w:r>
      <w:proofErr w:type="spellStart"/>
      <w:r w:rsidRPr="00E62292">
        <w:t>Cebi</w:t>
      </w:r>
      <w:proofErr w:type="spellEnd"/>
      <w:r w:rsidRPr="00E62292">
        <w:t xml:space="preserve"> </w:t>
      </w:r>
      <w:r w:rsidRPr="00E62292">
        <w:rPr>
          <w:i/>
          <w:iCs/>
        </w:rPr>
        <w:t>et al</w:t>
      </w:r>
      <w:r w:rsidRPr="00E62292">
        <w:t>., 2023).</w:t>
      </w:r>
      <w:r w:rsidR="0074796B" w:rsidRPr="00E62292">
        <w:t xml:space="preserve"> </w:t>
      </w:r>
      <w:r w:rsidRPr="00E62292">
        <w:t xml:space="preserve">Diante desse contexto, este estudo teve como objetivo avaliar o potencial </w:t>
      </w:r>
      <w:proofErr w:type="spellStart"/>
      <w:r w:rsidRPr="00E62292">
        <w:t>fitoquímico</w:t>
      </w:r>
      <w:proofErr w:type="spellEnd"/>
      <w:r w:rsidRPr="00E62292">
        <w:t xml:space="preserve"> de extratos </w:t>
      </w:r>
      <w:proofErr w:type="spellStart"/>
      <w:r w:rsidRPr="00E62292">
        <w:t>etanólicos</w:t>
      </w:r>
      <w:proofErr w:type="spellEnd"/>
      <w:r w:rsidRPr="00E62292">
        <w:t xml:space="preserve"> de folhas e cascas do caule de </w:t>
      </w:r>
      <w:proofErr w:type="spellStart"/>
      <w:r w:rsidRPr="00E62292">
        <w:rPr>
          <w:rStyle w:val="nfase"/>
        </w:rPr>
        <w:t>Caryocar</w:t>
      </w:r>
      <w:proofErr w:type="spellEnd"/>
      <w:r w:rsidRPr="00E62292">
        <w:rPr>
          <w:rStyle w:val="nfase"/>
        </w:rPr>
        <w:t xml:space="preserve"> </w:t>
      </w:r>
      <w:r w:rsidR="0074796B" w:rsidRPr="00E62292">
        <w:rPr>
          <w:rStyle w:val="nfase"/>
        </w:rPr>
        <w:t>b</w:t>
      </w:r>
      <w:r w:rsidRPr="00E62292">
        <w:rPr>
          <w:rStyle w:val="nfase"/>
        </w:rPr>
        <w:t>rasiliense</w:t>
      </w:r>
      <w:r w:rsidRPr="00E62292">
        <w:t xml:space="preserve">, obtidos por extração assistida por ultrassom, combinando triagem </w:t>
      </w:r>
      <w:proofErr w:type="spellStart"/>
      <w:r w:rsidRPr="00E62292">
        <w:t>fitoquímica</w:t>
      </w:r>
      <w:proofErr w:type="spellEnd"/>
      <w:r w:rsidRPr="00E62292">
        <w:t xml:space="preserve"> e </w:t>
      </w:r>
      <w:r w:rsidRPr="00E62292">
        <w:lastRenderedPageBreak/>
        <w:t>FTIR para comparar os perfis químicos das matrizes e subsidiar o aproveitamento sustentável de partes ainda pouco exploradas da espécie.</w:t>
      </w:r>
    </w:p>
    <w:p w14:paraId="0AC3F10F" w14:textId="77777777" w:rsidR="0074796B" w:rsidRPr="00AD56E9" w:rsidRDefault="0074796B" w:rsidP="0074796B">
      <w:pPr>
        <w:pStyle w:val="isselectedend"/>
        <w:spacing w:before="0" w:beforeAutospacing="0" w:after="0" w:afterAutospacing="0" w:line="360" w:lineRule="auto"/>
        <w:ind w:firstLine="709"/>
        <w:jc w:val="both"/>
      </w:pPr>
    </w:p>
    <w:p w14:paraId="208760B7" w14:textId="0A51B7E8" w:rsidR="00E3782C" w:rsidRPr="00AD56E9" w:rsidRDefault="00E3782C" w:rsidP="0074796B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AD56E9">
        <w:rPr>
          <w:b/>
          <w:bCs/>
          <w:sz w:val="28"/>
          <w:szCs w:val="28"/>
        </w:rPr>
        <w:t>Metodologia</w:t>
      </w:r>
    </w:p>
    <w:p w14:paraId="26650131" w14:textId="5FF5AA63" w:rsidR="00E4725D" w:rsidRPr="00E62292" w:rsidRDefault="00E4725D" w:rsidP="00E4725D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E62292">
        <w:rPr>
          <w:sz w:val="24"/>
          <w:szCs w:val="24"/>
        </w:rPr>
        <w:t xml:space="preserve">As folhas e cascas de </w:t>
      </w:r>
      <w:r w:rsidRPr="00E62292">
        <w:rPr>
          <w:i/>
          <w:iCs/>
          <w:sz w:val="24"/>
          <w:szCs w:val="24"/>
        </w:rPr>
        <w:t>Caryocar brasiliense</w:t>
      </w:r>
      <w:r w:rsidRPr="00E62292">
        <w:rPr>
          <w:sz w:val="24"/>
          <w:szCs w:val="24"/>
        </w:rPr>
        <w:t xml:space="preserve"> foram coletadas pela manhã, em novembro de 2025, na Fazenda Rocinha (Comunidade Ponte Preta, Rodovia LMG 733, km 20), sob coordenadas 19°54’35” S e 48°50’0” W. O material vegetal foi higienizado por meio de lavagem e desinfecção com água corrente, solução de hipoclorito de sódio (NaClO) a 5% e água destilada. Na sequência, as amostras foram secas em estufa com circulação de ar a 45 °C até massa constante, trituradas em moinho de facas (SOLAB, modelo SL-31) para a obtenção de pó fino e armazenadas ao abrigo da luz. Para o processo de extração etanólica, alíquotas de 50 g da matriz seca foram submetidas à extração assistida por ultrassom, em duplicata, utilizando um volume total de 900 mL de etanol P.A., fracionado em três etapas sucessivas de 300 mL a 36 °C. Os dois primeiros ciclos de </w:t>
      </w:r>
      <w:r w:rsidR="00697E4F" w:rsidRPr="00E62292">
        <w:rPr>
          <w:sz w:val="24"/>
          <w:szCs w:val="24"/>
        </w:rPr>
        <w:t xml:space="preserve">extração </w:t>
      </w:r>
      <w:r w:rsidRPr="00E62292">
        <w:rPr>
          <w:sz w:val="24"/>
          <w:szCs w:val="24"/>
        </w:rPr>
        <w:t>foram conduzidos por 1 h cada e o último ciclo por 2 h, realizando-se a filtração e a renovação do solvente ao término de cada etapa. Os extratos líquidos resultantes foram reunidos, submetidos à eliminação do solvente por rotaevaporação sob pressão reduzida a 50 °C e, posteriormente, liofilizados para a obtenção dos extratos secos das folhas e das cascas do caule. Os extratos secos foram pesados para a determinação do rendimento percentual da extração, calculado pela razão direta entre a massa final do extrato obtido e a massa inicial do material vegetal desidratado multiplicada por cem, sendo as frações finais armazenadas ao abrigo da luz sob refrigeração a 5 °C.</w:t>
      </w:r>
    </w:p>
    <w:p w14:paraId="02DE03EC" w14:textId="726E1AD1" w:rsidR="00E4725D" w:rsidRPr="00E62292" w:rsidRDefault="00E4725D" w:rsidP="00E4725D">
      <w:pPr>
        <w:pStyle w:val="NormalWeb"/>
        <w:spacing w:before="1" w:beforeAutospacing="0" w:after="0" w:afterAutospacing="0" w:line="360" w:lineRule="auto"/>
        <w:ind w:firstLine="720"/>
        <w:jc w:val="both"/>
      </w:pPr>
      <w:r w:rsidRPr="00E62292">
        <w:t xml:space="preserve">A triagem </w:t>
      </w:r>
      <w:proofErr w:type="spellStart"/>
      <w:r w:rsidRPr="00E62292">
        <w:t>fitoquímica</w:t>
      </w:r>
      <w:proofErr w:type="spellEnd"/>
      <w:r w:rsidRPr="00E62292">
        <w:t xml:space="preserve"> qualitativa foi realizada por ensaios colorimétricos e de precipitação (Matos, 2009; Simões </w:t>
      </w:r>
      <w:r w:rsidRPr="00E62292">
        <w:rPr>
          <w:i/>
          <w:iCs/>
        </w:rPr>
        <w:t>et al.,</w:t>
      </w:r>
      <w:r w:rsidRPr="00E62292">
        <w:t xml:space="preserve"> 2017), para identificação de alcaloides, saponinas, flavonoides, antraquinonas, taninos, </w:t>
      </w:r>
      <w:proofErr w:type="spellStart"/>
      <w:r w:rsidRPr="00E62292">
        <w:t>triterpenoides</w:t>
      </w:r>
      <w:proofErr w:type="spellEnd"/>
      <w:r w:rsidRPr="00E62292">
        <w:t xml:space="preserve"> e esteroides. A presença dos metabólitos foi determinada por alterações visuais características, como fluorescência, formação de espuma ou precipitado.</w:t>
      </w:r>
    </w:p>
    <w:p w14:paraId="0507B12D" w14:textId="77777777" w:rsidR="00AD56E9" w:rsidRPr="00E62292" w:rsidRDefault="00AD56E9" w:rsidP="00E4725D">
      <w:pPr>
        <w:pStyle w:val="NormalWeb"/>
        <w:spacing w:before="1" w:beforeAutospacing="0" w:after="0" w:afterAutospacing="0" w:line="360" w:lineRule="auto"/>
        <w:ind w:firstLine="720"/>
        <w:jc w:val="both"/>
      </w:pPr>
    </w:p>
    <w:p w14:paraId="71573541" w14:textId="237E426C" w:rsidR="00E3782C" w:rsidRPr="00E62292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E62292">
        <w:rPr>
          <w:b/>
          <w:bCs/>
          <w:sz w:val="28"/>
          <w:szCs w:val="28"/>
        </w:rPr>
        <w:t>Resultados e Discussão</w:t>
      </w:r>
    </w:p>
    <w:p w14:paraId="694D2017" w14:textId="77777777" w:rsidR="007B7FF5" w:rsidRPr="00E62292" w:rsidRDefault="007B7FF5" w:rsidP="007B7FF5">
      <w:pPr>
        <w:pStyle w:val="NormalWeb"/>
        <w:spacing w:before="1" w:beforeAutospacing="0" w:after="0" w:afterAutospacing="0" w:line="360" w:lineRule="auto"/>
        <w:ind w:firstLine="720"/>
        <w:jc w:val="both"/>
      </w:pPr>
      <w:r w:rsidRPr="00E62292">
        <w:t xml:space="preserve">A triagem </w:t>
      </w:r>
      <w:proofErr w:type="spellStart"/>
      <w:r w:rsidRPr="00E62292">
        <w:t>fitoquímica</w:t>
      </w:r>
      <w:proofErr w:type="spellEnd"/>
      <w:r w:rsidRPr="00E62292">
        <w:t xml:space="preserve"> dos extratos </w:t>
      </w:r>
      <w:proofErr w:type="spellStart"/>
      <w:r w:rsidRPr="00E62292">
        <w:t>etanólicos</w:t>
      </w:r>
      <w:proofErr w:type="spellEnd"/>
      <w:r w:rsidRPr="00E62292">
        <w:t xml:space="preserve"> de folhas e cascas do caule de </w:t>
      </w:r>
      <w:proofErr w:type="spellStart"/>
      <w:r w:rsidRPr="00E62292">
        <w:rPr>
          <w:i/>
          <w:iCs/>
        </w:rPr>
        <w:t>Caryocar</w:t>
      </w:r>
      <w:proofErr w:type="spellEnd"/>
      <w:r w:rsidRPr="00E62292">
        <w:rPr>
          <w:i/>
          <w:iCs/>
        </w:rPr>
        <w:t xml:space="preserve"> brasiliense</w:t>
      </w:r>
      <w:r w:rsidRPr="00E62292">
        <w:t xml:space="preserve"> indicou um perfil químico marcado pela predominância de compostos fenólicos e </w:t>
      </w:r>
      <w:proofErr w:type="spellStart"/>
      <w:r w:rsidRPr="00E62292">
        <w:t>terpênicos</w:t>
      </w:r>
      <w:proofErr w:type="spellEnd"/>
      <w:r w:rsidRPr="00E62292">
        <w:t xml:space="preserve">, com distribuição parcialmente distinta entre os órgãos vegetais estudados. Foram observados taninos e terpenos em ambas matrizes, enquanto os flavonoides foram encontrados apenas no extrato foliar. Alcaloides, saponinas e antraquinonas não foram </w:t>
      </w:r>
      <w:r w:rsidRPr="00E62292">
        <w:lastRenderedPageBreak/>
        <w:t>detectados nas condições experimentais empregadas, o que pode estar associado à seletividade do etanol P.A. e aos limites de detecção dos ensaios colorimétricos (</w:t>
      </w:r>
      <w:proofErr w:type="spellStart"/>
      <w:r w:rsidRPr="00E62292">
        <w:t>Harborne</w:t>
      </w:r>
      <w:proofErr w:type="spellEnd"/>
      <w:r w:rsidRPr="00E62292">
        <w:t>, 1998; Matos, 2009). O rendimento do final dos compostos se encontra no quadro 2.</w:t>
      </w:r>
    </w:p>
    <w:p w14:paraId="4ED4F6AF" w14:textId="77777777" w:rsidR="007B7FF5" w:rsidRPr="00E62292" w:rsidRDefault="007B7FF5" w:rsidP="007B7FF5">
      <w:pPr>
        <w:pStyle w:val="Legenda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r w:rsidRPr="00E62292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Figura 2: Triagem </w:t>
      </w:r>
      <w:proofErr w:type="spellStart"/>
      <w:r w:rsidRPr="00E62292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fitoquímica</w:t>
      </w:r>
      <w:proofErr w:type="spellEnd"/>
      <w:r w:rsidRPr="00E62292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 dos extratos </w:t>
      </w:r>
      <w:proofErr w:type="spellStart"/>
      <w:r w:rsidRPr="00E62292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etanólicos</w:t>
      </w:r>
      <w:proofErr w:type="spellEnd"/>
      <w:r w:rsidRPr="00E62292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 de folhas e cascas do caule de </w:t>
      </w:r>
      <w:proofErr w:type="spellStart"/>
      <w:r w:rsidRPr="00E62292">
        <w:rPr>
          <w:rStyle w:val="nfase"/>
          <w:rFonts w:ascii="Times New Roman" w:hAnsi="Times New Roman" w:cs="Times New Roman"/>
          <w:b/>
          <w:bCs/>
          <w:color w:val="auto"/>
          <w:sz w:val="20"/>
          <w:szCs w:val="20"/>
        </w:rPr>
        <w:t>Caryocar</w:t>
      </w:r>
      <w:proofErr w:type="spellEnd"/>
      <w:r w:rsidRPr="00E62292">
        <w:rPr>
          <w:rStyle w:val="nfase"/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brasiliense</w:t>
      </w:r>
      <w:r w:rsidRPr="00E62292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: A) Extrato </w:t>
      </w:r>
      <w:proofErr w:type="spellStart"/>
      <w:r w:rsidRPr="00E62292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etanólico</w:t>
      </w:r>
      <w:proofErr w:type="spellEnd"/>
      <w:r w:rsidRPr="00E62292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; B) Teste para alcaloides; C) Teste para saponinas; D) Teste de Antraquinonas; E) Teste para taninos; F) Teste para Esteroides/</w:t>
      </w:r>
      <w:proofErr w:type="spellStart"/>
      <w:r w:rsidRPr="00E62292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tripernoides</w:t>
      </w:r>
      <w:proofErr w:type="spellEnd"/>
      <w:r w:rsidRPr="00E62292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; G) Teste para flavonoides.</w:t>
      </w:r>
    </w:p>
    <w:p w14:paraId="5B0879BB" w14:textId="77777777" w:rsidR="007B7FF5" w:rsidRPr="00E62292" w:rsidRDefault="007B7FF5" w:rsidP="007B7FF5">
      <w:pPr>
        <w:widowControl/>
        <w:autoSpaceDE/>
        <w:autoSpaceDN/>
        <w:spacing w:before="100" w:beforeAutospacing="1" w:after="100" w:afterAutospacing="1"/>
        <w:jc w:val="center"/>
        <w:rPr>
          <w:sz w:val="24"/>
          <w:szCs w:val="24"/>
          <w:lang w:val="pt-BR" w:eastAsia="pt-BR"/>
        </w:rPr>
      </w:pPr>
      <w:r w:rsidRPr="00E62292">
        <w:rPr>
          <w:noProof/>
          <w:sz w:val="24"/>
          <w:szCs w:val="24"/>
          <w:lang w:val="pt-BR" w:eastAsia="pt-BR"/>
        </w:rPr>
        <w:drawing>
          <wp:inline distT="0" distB="0" distL="0" distR="0" wp14:anchorId="5EEA6014" wp14:editId="17C414DF">
            <wp:extent cx="4398645" cy="1487606"/>
            <wp:effectExtent l="0" t="0" r="1905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794" cy="150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2D2D2" w14:textId="77777777" w:rsidR="007B7FF5" w:rsidRPr="00E62292" w:rsidRDefault="007B7FF5" w:rsidP="007B7FF5">
      <w:pPr>
        <w:rPr>
          <w:sz w:val="20"/>
          <w:szCs w:val="20"/>
          <w:lang w:val="pt-BR"/>
        </w:rPr>
      </w:pPr>
      <w:r w:rsidRPr="00E62292">
        <w:rPr>
          <w:sz w:val="20"/>
          <w:szCs w:val="20"/>
          <w:lang w:val="pt-BR"/>
        </w:rPr>
        <w:t>Fonte: autores, 2026</w:t>
      </w:r>
    </w:p>
    <w:p w14:paraId="0BCEC4F8" w14:textId="77777777" w:rsidR="007B7FF5" w:rsidRPr="00E62292" w:rsidRDefault="007B7FF5" w:rsidP="007B7FF5">
      <w:pPr>
        <w:jc w:val="center"/>
        <w:rPr>
          <w:b/>
          <w:bCs/>
          <w:sz w:val="20"/>
          <w:szCs w:val="20"/>
          <w:lang w:val="pt-BR"/>
        </w:rPr>
      </w:pPr>
      <w:r w:rsidRPr="00E62292">
        <w:rPr>
          <w:b/>
          <w:bCs/>
          <w:sz w:val="20"/>
          <w:szCs w:val="20"/>
        </w:rPr>
        <w:t>Quadro 2. Resultados de massa e rendimento final dos extratos obtidos</w:t>
      </w: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3071"/>
        <w:gridCol w:w="3072"/>
        <w:gridCol w:w="3072"/>
      </w:tblGrid>
      <w:tr w:rsidR="00E62292" w:rsidRPr="00E62292" w14:paraId="2DDD8CBE" w14:textId="77777777" w:rsidTr="00FC6BA1">
        <w:tc>
          <w:tcPr>
            <w:tcW w:w="3071" w:type="dxa"/>
            <w:shd w:val="clear" w:color="auto" w:fill="EEECE1" w:themeFill="background2"/>
          </w:tcPr>
          <w:p w14:paraId="1667092E" w14:textId="77777777" w:rsidR="007B7FF5" w:rsidRPr="00E62292" w:rsidRDefault="007B7FF5" w:rsidP="00FC6BA1">
            <w:pPr>
              <w:jc w:val="center"/>
              <w:rPr>
                <w:b/>
                <w:bCs/>
                <w:sz w:val="24"/>
                <w:szCs w:val="24"/>
                <w:lang w:val="pt-BR"/>
              </w:rPr>
            </w:pPr>
            <w:r w:rsidRPr="00E62292">
              <w:rPr>
                <w:b/>
                <w:bCs/>
                <w:sz w:val="24"/>
                <w:szCs w:val="24"/>
              </w:rPr>
              <w:t>Extrato etanólico</w:t>
            </w:r>
          </w:p>
        </w:tc>
        <w:tc>
          <w:tcPr>
            <w:tcW w:w="3072" w:type="dxa"/>
            <w:shd w:val="clear" w:color="auto" w:fill="EEECE1" w:themeFill="background2"/>
          </w:tcPr>
          <w:p w14:paraId="09D7EE33" w14:textId="77777777" w:rsidR="007B7FF5" w:rsidRPr="00E62292" w:rsidRDefault="007B7FF5" w:rsidP="00FC6BA1">
            <w:pPr>
              <w:jc w:val="center"/>
              <w:rPr>
                <w:b/>
                <w:bCs/>
                <w:sz w:val="24"/>
                <w:szCs w:val="24"/>
                <w:lang w:val="pt-BR"/>
              </w:rPr>
            </w:pPr>
            <w:r w:rsidRPr="00E62292">
              <w:rPr>
                <w:b/>
                <w:bCs/>
                <w:sz w:val="24"/>
                <w:szCs w:val="24"/>
              </w:rPr>
              <w:t>Massa de extrato seco (g)</w:t>
            </w:r>
          </w:p>
        </w:tc>
        <w:tc>
          <w:tcPr>
            <w:tcW w:w="3072" w:type="dxa"/>
            <w:shd w:val="clear" w:color="auto" w:fill="EEECE1" w:themeFill="background2"/>
          </w:tcPr>
          <w:p w14:paraId="3BD9CEC1" w14:textId="77777777" w:rsidR="007B7FF5" w:rsidRPr="00E62292" w:rsidRDefault="007B7FF5" w:rsidP="00FC6BA1">
            <w:pPr>
              <w:jc w:val="center"/>
              <w:rPr>
                <w:b/>
                <w:bCs/>
                <w:sz w:val="24"/>
                <w:szCs w:val="24"/>
                <w:lang w:val="pt-BR"/>
              </w:rPr>
            </w:pPr>
            <w:r w:rsidRPr="00E62292">
              <w:rPr>
                <w:b/>
                <w:bCs/>
                <w:sz w:val="24"/>
                <w:szCs w:val="24"/>
              </w:rPr>
              <w:t>Rendimento (%)</w:t>
            </w:r>
          </w:p>
        </w:tc>
      </w:tr>
      <w:tr w:rsidR="00E62292" w:rsidRPr="00E62292" w14:paraId="52F504FE" w14:textId="77777777" w:rsidTr="00FC6BA1">
        <w:tc>
          <w:tcPr>
            <w:tcW w:w="3071" w:type="dxa"/>
          </w:tcPr>
          <w:p w14:paraId="276D2B91" w14:textId="77777777" w:rsidR="007B7FF5" w:rsidRPr="00E62292" w:rsidRDefault="007B7FF5" w:rsidP="00FC6BA1">
            <w:pPr>
              <w:jc w:val="center"/>
              <w:rPr>
                <w:sz w:val="24"/>
                <w:szCs w:val="24"/>
                <w:lang w:val="pt-BR"/>
              </w:rPr>
            </w:pPr>
            <w:r w:rsidRPr="00E62292">
              <w:rPr>
                <w:sz w:val="24"/>
                <w:szCs w:val="24"/>
                <w:lang w:val="pt-BR"/>
              </w:rPr>
              <w:t>Folhas</w:t>
            </w:r>
          </w:p>
        </w:tc>
        <w:tc>
          <w:tcPr>
            <w:tcW w:w="3072" w:type="dxa"/>
            <w:vAlign w:val="bottom"/>
          </w:tcPr>
          <w:p w14:paraId="222D2BA6" w14:textId="77777777" w:rsidR="007B7FF5" w:rsidRPr="00E62292" w:rsidRDefault="007B7FF5" w:rsidP="00FC6BA1">
            <w:pPr>
              <w:jc w:val="center"/>
              <w:rPr>
                <w:sz w:val="24"/>
                <w:szCs w:val="24"/>
                <w:lang w:val="pt-BR"/>
              </w:rPr>
            </w:pPr>
            <w:r w:rsidRPr="00E62292">
              <w:rPr>
                <w:sz w:val="24"/>
                <w:szCs w:val="24"/>
              </w:rPr>
              <w:t>100,27</w:t>
            </w:r>
          </w:p>
        </w:tc>
        <w:tc>
          <w:tcPr>
            <w:tcW w:w="3072" w:type="dxa"/>
            <w:vAlign w:val="bottom"/>
          </w:tcPr>
          <w:p w14:paraId="39F04E34" w14:textId="77777777" w:rsidR="007B7FF5" w:rsidRPr="00E62292" w:rsidRDefault="007B7FF5" w:rsidP="00FC6BA1">
            <w:pPr>
              <w:jc w:val="center"/>
              <w:rPr>
                <w:sz w:val="24"/>
                <w:szCs w:val="24"/>
                <w:lang w:val="pt-BR"/>
              </w:rPr>
            </w:pPr>
            <w:r w:rsidRPr="00E62292">
              <w:rPr>
                <w:sz w:val="24"/>
                <w:szCs w:val="24"/>
              </w:rPr>
              <w:t>41,04</w:t>
            </w:r>
          </w:p>
        </w:tc>
      </w:tr>
      <w:tr w:rsidR="00E62292" w:rsidRPr="00E62292" w14:paraId="34297FEB" w14:textId="77777777" w:rsidTr="00FC6BA1">
        <w:tc>
          <w:tcPr>
            <w:tcW w:w="3071" w:type="dxa"/>
          </w:tcPr>
          <w:p w14:paraId="1CCD77E4" w14:textId="77777777" w:rsidR="007B7FF5" w:rsidRPr="00E62292" w:rsidRDefault="007B7FF5" w:rsidP="00FC6BA1">
            <w:pPr>
              <w:jc w:val="center"/>
              <w:rPr>
                <w:sz w:val="24"/>
                <w:szCs w:val="24"/>
                <w:lang w:val="pt-BR"/>
              </w:rPr>
            </w:pPr>
            <w:r w:rsidRPr="00E62292">
              <w:rPr>
                <w:sz w:val="24"/>
                <w:szCs w:val="24"/>
                <w:lang w:val="pt-BR"/>
              </w:rPr>
              <w:t>Cascas</w:t>
            </w:r>
          </w:p>
        </w:tc>
        <w:tc>
          <w:tcPr>
            <w:tcW w:w="3072" w:type="dxa"/>
            <w:vAlign w:val="bottom"/>
          </w:tcPr>
          <w:p w14:paraId="117D23B9" w14:textId="77777777" w:rsidR="007B7FF5" w:rsidRPr="00E62292" w:rsidRDefault="007B7FF5" w:rsidP="00FC6BA1">
            <w:pPr>
              <w:jc w:val="center"/>
              <w:rPr>
                <w:sz w:val="24"/>
                <w:szCs w:val="24"/>
                <w:lang w:val="pt-BR"/>
              </w:rPr>
            </w:pPr>
            <w:r w:rsidRPr="00E62292">
              <w:rPr>
                <w:sz w:val="24"/>
                <w:szCs w:val="24"/>
              </w:rPr>
              <w:t>100,17</w:t>
            </w:r>
          </w:p>
        </w:tc>
        <w:tc>
          <w:tcPr>
            <w:tcW w:w="3072" w:type="dxa"/>
            <w:vAlign w:val="bottom"/>
          </w:tcPr>
          <w:p w14:paraId="08D02509" w14:textId="77777777" w:rsidR="007B7FF5" w:rsidRPr="00E62292" w:rsidRDefault="007B7FF5" w:rsidP="00FC6BA1">
            <w:pPr>
              <w:jc w:val="center"/>
              <w:rPr>
                <w:sz w:val="24"/>
                <w:szCs w:val="24"/>
                <w:lang w:val="pt-BR"/>
              </w:rPr>
            </w:pPr>
            <w:r w:rsidRPr="00E62292">
              <w:rPr>
                <w:sz w:val="24"/>
                <w:szCs w:val="24"/>
              </w:rPr>
              <w:t>9,11</w:t>
            </w:r>
          </w:p>
        </w:tc>
      </w:tr>
    </w:tbl>
    <w:p w14:paraId="371D364F" w14:textId="77777777" w:rsidR="007B7FF5" w:rsidRPr="00E62292" w:rsidRDefault="007B7FF5" w:rsidP="007B7FF5">
      <w:pPr>
        <w:rPr>
          <w:sz w:val="20"/>
          <w:szCs w:val="20"/>
          <w:lang w:val="pt-BR"/>
        </w:rPr>
      </w:pPr>
      <w:r w:rsidRPr="00E62292">
        <w:rPr>
          <w:sz w:val="20"/>
          <w:szCs w:val="20"/>
          <w:lang w:val="pt-BR"/>
        </w:rPr>
        <w:t>Fonte: autores, 2026</w:t>
      </w:r>
    </w:p>
    <w:p w14:paraId="27643669" w14:textId="44E95494" w:rsidR="007B7FF5" w:rsidRPr="00E62292" w:rsidRDefault="007B7FF5" w:rsidP="0074796B">
      <w:pPr>
        <w:pStyle w:val="NormalWeb"/>
        <w:spacing w:before="0" w:beforeAutospacing="0" w:after="0" w:afterAutospacing="0" w:line="360" w:lineRule="auto"/>
        <w:ind w:firstLine="720"/>
        <w:jc w:val="both"/>
      </w:pPr>
      <w:r w:rsidRPr="00E62292">
        <w:t xml:space="preserve">A presença de flavonoides somente nas folhas é coerente com o papel desses metabólitos em tecidos </w:t>
      </w:r>
      <w:proofErr w:type="spellStart"/>
      <w:r w:rsidRPr="00E62292">
        <w:t>fotossinteticamente</w:t>
      </w:r>
      <w:proofErr w:type="spellEnd"/>
      <w:r w:rsidRPr="00E62292">
        <w:t xml:space="preserve"> ativos, nos quais atuam na proteção contra radiação ultravioleta, espécies reativas de oxigênio, </w:t>
      </w:r>
      <w:proofErr w:type="spellStart"/>
      <w:r w:rsidRPr="00E62292">
        <w:t>herbivoria</w:t>
      </w:r>
      <w:proofErr w:type="spellEnd"/>
      <w:r w:rsidRPr="00E62292">
        <w:t xml:space="preserve"> e estresses ambientais (</w:t>
      </w:r>
      <w:proofErr w:type="spellStart"/>
      <w:proofErr w:type="gramStart"/>
      <w:r w:rsidRPr="00E62292">
        <w:t>Harborne;Williams</w:t>
      </w:r>
      <w:proofErr w:type="spellEnd"/>
      <w:proofErr w:type="gramEnd"/>
      <w:r w:rsidRPr="00E62292">
        <w:t xml:space="preserve">, 2000). Esse resultado também está em concordância com estudos de Teixeira </w:t>
      </w:r>
      <w:r w:rsidRPr="00E62292">
        <w:rPr>
          <w:i/>
          <w:iCs/>
        </w:rPr>
        <w:t>et al.</w:t>
      </w:r>
      <w:r w:rsidRPr="00E62292">
        <w:t xml:space="preserve"> (2022), que descrevem diferentes classes de flavonoides em folhas de </w:t>
      </w:r>
      <w:r w:rsidRPr="00E62292">
        <w:rPr>
          <w:rStyle w:val="nfase"/>
        </w:rPr>
        <w:t>C. brasiliense</w:t>
      </w:r>
      <w:r w:rsidRPr="00E62292">
        <w:t>. A ausência de resposta positiva para flavonoides na casca não exclui a presença de compostos fenólicos nesse tecido, mas sugere que sua fração fenólica seja composta majoritariamente por outras classes, especialmente taninos e constituintes fenólicos estruturais.</w:t>
      </w:r>
      <w:r w:rsidR="0074796B" w:rsidRPr="00E62292">
        <w:t xml:space="preserve"> </w:t>
      </w:r>
      <w:r w:rsidRPr="00E62292">
        <w:t xml:space="preserve">A detecção de taninos </w:t>
      </w:r>
      <w:r w:rsidR="0074796B" w:rsidRPr="00E62292">
        <w:t xml:space="preserve">nas </w:t>
      </w:r>
      <w:r w:rsidRPr="00E62292">
        <w:t xml:space="preserve">estruturas reforça a ampla distribuição dessa classe na espécie e sustenta o potencial biotecnológico dos produtos obtidos. Nas folhas, esses compostos podem contribuir para mecanismos de defesa química e proteção antioxidante; nas cascas, sua ocorrência é estratégica por constituírem uma barreira física e química contra microrganismos, herbívoros e impactos ambientais (Melo </w:t>
      </w:r>
      <w:r w:rsidRPr="00E62292">
        <w:rPr>
          <w:i/>
          <w:iCs/>
        </w:rPr>
        <w:t>et al</w:t>
      </w:r>
      <w:r w:rsidRPr="00E62292">
        <w:t>., 2025). Essa</w:t>
      </w:r>
      <w:r w:rsidR="00697E4F" w:rsidRPr="00E62292">
        <w:t xml:space="preserve"> ampla</w:t>
      </w:r>
      <w:r w:rsidRPr="00E62292">
        <w:t xml:space="preserve"> ocorrência em diferentes órgãos do pequi está de acordo com estudos </w:t>
      </w:r>
      <w:proofErr w:type="spellStart"/>
      <w:r w:rsidRPr="00E62292">
        <w:t>fitoquímicos</w:t>
      </w:r>
      <w:proofErr w:type="spellEnd"/>
      <w:r w:rsidRPr="00E62292">
        <w:t xml:space="preserve"> prévios (Teixeira </w:t>
      </w:r>
      <w:r w:rsidRPr="00E62292">
        <w:rPr>
          <w:i/>
          <w:iCs/>
        </w:rPr>
        <w:t>et al</w:t>
      </w:r>
      <w:r w:rsidRPr="00E62292">
        <w:t xml:space="preserve">., 2021; Silva </w:t>
      </w:r>
      <w:r w:rsidRPr="00E62292">
        <w:rPr>
          <w:i/>
          <w:iCs/>
        </w:rPr>
        <w:t>et al.,</w:t>
      </w:r>
      <w:r w:rsidRPr="00E62292">
        <w:t xml:space="preserve"> 2025). A identificação de terpenos em ambas matrizes amplia a relevância </w:t>
      </w:r>
      <w:proofErr w:type="spellStart"/>
      <w:r w:rsidRPr="00E62292">
        <w:t>fitoquímica</w:t>
      </w:r>
      <w:proofErr w:type="spellEnd"/>
      <w:r w:rsidRPr="00E62292">
        <w:t xml:space="preserve"> dos extratos. Esses metabólitos são frequentemente associados a funções de defesa vegetal, sinalização ecológica e proteção contra estresses bióticos e </w:t>
      </w:r>
      <w:r w:rsidRPr="00E62292">
        <w:lastRenderedPageBreak/>
        <w:t xml:space="preserve">abióticos, em conformidade com o reportado por Teixeira </w:t>
      </w:r>
      <w:r w:rsidRPr="00E62292">
        <w:rPr>
          <w:i/>
          <w:iCs/>
        </w:rPr>
        <w:t>et al.</w:t>
      </w:r>
      <w:r w:rsidRPr="00E62292">
        <w:t xml:space="preserve"> (2021) para folhas e por </w:t>
      </w:r>
      <w:proofErr w:type="spellStart"/>
      <w:r w:rsidRPr="00E62292">
        <w:t>Magid</w:t>
      </w:r>
      <w:proofErr w:type="spellEnd"/>
      <w:r w:rsidRPr="00E62292">
        <w:t xml:space="preserve"> </w:t>
      </w:r>
      <w:r w:rsidRPr="00E62292">
        <w:rPr>
          <w:i/>
          <w:iCs/>
        </w:rPr>
        <w:t>et al.</w:t>
      </w:r>
      <w:r w:rsidRPr="00E62292">
        <w:t xml:space="preserve"> (2006) para espécies do gênero </w:t>
      </w:r>
      <w:proofErr w:type="spellStart"/>
      <w:r w:rsidRPr="00E62292">
        <w:rPr>
          <w:rStyle w:val="nfase"/>
        </w:rPr>
        <w:t>Caryocar</w:t>
      </w:r>
      <w:proofErr w:type="spellEnd"/>
      <w:r w:rsidRPr="00E62292">
        <w:rPr>
          <w:rStyle w:val="nfase"/>
          <w:i w:val="0"/>
          <w:iCs w:val="0"/>
        </w:rPr>
        <w:t>.</w:t>
      </w:r>
    </w:p>
    <w:p w14:paraId="4A8816FC" w14:textId="33143967" w:rsidR="007B7FF5" w:rsidRPr="00E62292" w:rsidRDefault="007B7FF5" w:rsidP="007B7FF5">
      <w:pPr>
        <w:pStyle w:val="NormalWeb"/>
        <w:spacing w:before="0" w:beforeAutospacing="0" w:after="0" w:afterAutospacing="0" w:line="360" w:lineRule="auto"/>
        <w:ind w:firstLine="720"/>
        <w:jc w:val="both"/>
      </w:pPr>
      <w:r w:rsidRPr="00E62292">
        <w:t xml:space="preserve">A análise por FTIR (Figura 3) confirmou, de forma complementar, a predominância de grupos funcionais compatíveis com compostos fenólicos e </w:t>
      </w:r>
      <w:proofErr w:type="spellStart"/>
      <w:r w:rsidRPr="00E62292">
        <w:t>terpênicos</w:t>
      </w:r>
      <w:proofErr w:type="spellEnd"/>
      <w:r w:rsidRPr="00E62292">
        <w:t xml:space="preserve">. A banda larga entre 3500 e 3200 cm⁻¹, atribuída ao estiramento O–H, sustenta a presença de compostos hidroxilados, como fenóis, taninos e álcoois, sendo mais expressiva na casca do caule, o que sugere maior contribuição de compostos fenólicos estruturais nesse tecido. As bandas próximas de 2921 e 2841 cm⁻¹, associadas ao estiramento C–H alifático, corroboram a presença de constituintes lipofílicos, incluindo terpenos e esteróis. Já as absorções entre 1750–1650 cm⁻¹ e 1600–1450 cm⁻¹ indicam, respectivamente, grupos carbonila e estruturas aromáticas, compatíveis com ácidos fenólicos, ésteres, flavonoides, taninos e derivados aromáticos de parede celular (Pavia </w:t>
      </w:r>
      <w:r w:rsidRPr="00E62292">
        <w:rPr>
          <w:i/>
          <w:iCs/>
        </w:rPr>
        <w:t>et al</w:t>
      </w:r>
      <w:r w:rsidRPr="00E62292">
        <w:t xml:space="preserve">., 2010; </w:t>
      </w:r>
      <w:proofErr w:type="spellStart"/>
      <w:r w:rsidRPr="00E62292">
        <w:t>Silverstein</w:t>
      </w:r>
      <w:proofErr w:type="spellEnd"/>
      <w:r w:rsidRPr="00E62292">
        <w:t xml:space="preserve"> </w:t>
      </w:r>
      <w:r w:rsidRPr="00E62292">
        <w:rPr>
          <w:i/>
          <w:iCs/>
        </w:rPr>
        <w:t>et al.,</w:t>
      </w:r>
      <w:r w:rsidRPr="00E62292">
        <w:t xml:space="preserve"> 2014</w:t>
      </w:r>
      <w:r w:rsidR="0074796B" w:rsidRPr="00E62292">
        <w:t>)</w:t>
      </w:r>
    </w:p>
    <w:p w14:paraId="61E6AE44" w14:textId="77777777" w:rsidR="007B7FF5" w:rsidRPr="00E62292" w:rsidRDefault="007B7FF5" w:rsidP="007B7FF5">
      <w:pPr>
        <w:pStyle w:val="Legenda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r w:rsidRPr="00E62292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Figura 3: Espectros no infravermelho por transformada de Fourier (FTIR) da casca (vermelho) e das folhas (verde) de </w:t>
      </w:r>
      <w:proofErr w:type="spellStart"/>
      <w:r w:rsidRPr="00E62292">
        <w:rPr>
          <w:rFonts w:ascii="Times New Roman" w:hAnsi="Times New Roman" w:cs="Times New Roman"/>
          <w:b/>
          <w:bCs/>
          <w:color w:val="auto"/>
          <w:sz w:val="20"/>
          <w:szCs w:val="20"/>
        </w:rPr>
        <w:t>Caryocar</w:t>
      </w:r>
      <w:proofErr w:type="spellEnd"/>
      <w:r w:rsidRPr="00E62292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brasiliense</w:t>
      </w:r>
      <w:r w:rsidRPr="00E62292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.</w:t>
      </w:r>
    </w:p>
    <w:p w14:paraId="69B8560B" w14:textId="0989659E" w:rsidR="007B7FF5" w:rsidRPr="00E62292" w:rsidRDefault="00697E4F" w:rsidP="007B7FF5">
      <w:pPr>
        <w:jc w:val="center"/>
        <w:rPr>
          <w:lang w:val="pt-BR"/>
        </w:rPr>
      </w:pPr>
      <w:r w:rsidRPr="00E62292">
        <w:rPr>
          <w:noProof/>
          <w:lang w:val="pt-BR"/>
        </w:rPr>
        <w:drawing>
          <wp:inline distT="0" distB="0" distL="0" distR="0" wp14:anchorId="770C0655" wp14:editId="2A89EF75">
            <wp:extent cx="5036441" cy="24288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4372" cy="24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9E10D" w14:textId="77777777" w:rsidR="007B7FF5" w:rsidRPr="00E62292" w:rsidRDefault="007B7FF5" w:rsidP="007B7FF5">
      <w:pPr>
        <w:rPr>
          <w:sz w:val="20"/>
          <w:szCs w:val="20"/>
          <w:lang w:val="pt-BR"/>
        </w:rPr>
      </w:pPr>
      <w:r w:rsidRPr="00E62292">
        <w:rPr>
          <w:sz w:val="20"/>
          <w:szCs w:val="20"/>
          <w:lang w:val="pt-BR"/>
        </w:rPr>
        <w:t>Fonte: autores, 2026</w:t>
      </w:r>
    </w:p>
    <w:p w14:paraId="5ECB8FA1" w14:textId="77777777" w:rsidR="007B7FF5" w:rsidRPr="00E62292" w:rsidRDefault="007B7FF5" w:rsidP="007B7FF5">
      <w:pPr>
        <w:rPr>
          <w:sz w:val="20"/>
          <w:szCs w:val="20"/>
          <w:lang w:val="pt-BR"/>
        </w:rPr>
      </w:pPr>
    </w:p>
    <w:p w14:paraId="1C25DF7A" w14:textId="05F87A0E" w:rsidR="00243512" w:rsidRPr="00E62292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E62292">
        <w:rPr>
          <w:b/>
          <w:bCs/>
          <w:sz w:val="28"/>
          <w:szCs w:val="28"/>
        </w:rPr>
        <w:t xml:space="preserve">Conclusão </w:t>
      </w:r>
    </w:p>
    <w:p w14:paraId="12993860" w14:textId="77777777" w:rsidR="00BF064F" w:rsidRPr="00E62292" w:rsidRDefault="00BF064F" w:rsidP="00BF064F">
      <w:pPr>
        <w:spacing w:before="1" w:line="360" w:lineRule="auto"/>
        <w:ind w:firstLine="709"/>
        <w:jc w:val="both"/>
        <w:rPr>
          <w:sz w:val="24"/>
          <w:szCs w:val="24"/>
        </w:rPr>
      </w:pPr>
      <w:r w:rsidRPr="00E62292">
        <w:rPr>
          <w:sz w:val="24"/>
          <w:szCs w:val="24"/>
        </w:rPr>
        <w:t xml:space="preserve">A caracterização fitoquímica dos extratos etanólicos de folhas e cascas do caule de </w:t>
      </w:r>
      <w:r w:rsidRPr="00E62292">
        <w:rPr>
          <w:rStyle w:val="nfase"/>
          <w:sz w:val="24"/>
          <w:szCs w:val="24"/>
        </w:rPr>
        <w:t xml:space="preserve">Caryocar brasiliense </w:t>
      </w:r>
      <w:r w:rsidRPr="00E62292">
        <w:rPr>
          <w:sz w:val="24"/>
          <w:szCs w:val="24"/>
        </w:rPr>
        <w:t>evidenciou diferenças na distribuição dos metabólitos secundários entre os órgãos vegetais avaliados, com predominância de compostos fenólicos e terpênicos. A integração entre os testes fitoquímicos clássicos e a espectroscopia no infravermelho mostrou-se eficiente para a caracterização química preliminar dos extratos, confirmando o potencial bioativo da espécie. Dessa forma, os resultados obtidos reforçam a importância fitoquímica e biotecnológica do pequi como fonte de compostos de interesse farmacológico e contribuem para futuras investigações sobre seus constituintes bioativos e possíveis aplicações.</w:t>
      </w:r>
    </w:p>
    <w:p w14:paraId="104856B0" w14:textId="42324952" w:rsidR="00B72654" w:rsidRPr="00E62292" w:rsidRDefault="00B72654" w:rsidP="00B72654">
      <w:pPr>
        <w:spacing w:before="1"/>
        <w:ind w:firstLine="709"/>
        <w:jc w:val="both"/>
        <w:rPr>
          <w:sz w:val="24"/>
          <w:szCs w:val="24"/>
        </w:rPr>
      </w:pPr>
    </w:p>
    <w:p w14:paraId="6356D866" w14:textId="18F88D4B" w:rsidR="00B72654" w:rsidRPr="00E62292" w:rsidRDefault="00624629" w:rsidP="00B72654">
      <w:pPr>
        <w:pStyle w:val="Corpodetexto"/>
        <w:jc w:val="both"/>
        <w:rPr>
          <w:b/>
          <w:bCs/>
          <w:sz w:val="28"/>
          <w:szCs w:val="28"/>
        </w:rPr>
      </w:pPr>
      <w:r w:rsidRPr="00E62292">
        <w:rPr>
          <w:b/>
          <w:bCs/>
          <w:sz w:val="28"/>
          <w:szCs w:val="28"/>
        </w:rPr>
        <w:t>Agradecimentos</w:t>
      </w:r>
    </w:p>
    <w:p w14:paraId="12513B68" w14:textId="77777777" w:rsidR="00B223B2" w:rsidRPr="00E62292" w:rsidRDefault="00B223B2" w:rsidP="00B72654">
      <w:pPr>
        <w:pStyle w:val="Corpodetexto"/>
        <w:jc w:val="both"/>
        <w:rPr>
          <w:b/>
          <w:bCs/>
          <w:sz w:val="28"/>
          <w:szCs w:val="28"/>
        </w:rPr>
      </w:pPr>
    </w:p>
    <w:p w14:paraId="149E5BD2" w14:textId="77777777" w:rsidR="00BF064F" w:rsidRPr="00E62292" w:rsidRDefault="00624629" w:rsidP="00BF064F">
      <w:pPr>
        <w:pStyle w:val="Corpodetexto"/>
        <w:spacing w:line="360" w:lineRule="auto"/>
        <w:jc w:val="both"/>
        <w:rPr>
          <w:sz w:val="24"/>
          <w:szCs w:val="24"/>
        </w:rPr>
      </w:pPr>
      <w:r w:rsidRPr="00E62292">
        <w:rPr>
          <w:sz w:val="24"/>
          <w:szCs w:val="24"/>
        </w:rPr>
        <w:tab/>
      </w:r>
      <w:r w:rsidR="00BF064F" w:rsidRPr="00E62292">
        <w:rPr>
          <w:sz w:val="24"/>
          <w:szCs w:val="24"/>
        </w:rPr>
        <w:t>Á Fundação de Amparo à Pesquisa do Estado de Minas Gerais (FAPEMIG), ao Programa de Apoio à Pós-Graduação (PROAP), da Coordenação de Aperfeiçoamento de Pessoal de Nível Superior (CAPES), e ao Programa de Pós-Graduação em Ciências Ambientais da UEMG – Unidade Frutal (PPGCIAMB).</w:t>
      </w:r>
    </w:p>
    <w:p w14:paraId="46C53EB6" w14:textId="345BE118" w:rsidR="00624629" w:rsidRPr="00E62292" w:rsidRDefault="00624629" w:rsidP="00624629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E62292">
        <w:rPr>
          <w:b/>
          <w:bCs/>
          <w:sz w:val="28"/>
          <w:szCs w:val="28"/>
        </w:rPr>
        <w:t>Referências</w:t>
      </w:r>
    </w:p>
    <w:p w14:paraId="7BDC52C5" w14:textId="12708915" w:rsidR="00E4725D" w:rsidRPr="00E62292" w:rsidRDefault="00E4725D" w:rsidP="007B7FF5">
      <w:pPr>
        <w:pStyle w:val="NormalWeb"/>
        <w:spacing w:before="0" w:beforeAutospacing="0" w:after="0" w:afterAutospacing="0"/>
      </w:pPr>
      <w:r w:rsidRPr="00E62292">
        <w:t xml:space="preserve">CEBI, N.; SÜZER, H.; TÜRKMEN, M.; SEZER, H.; YILDIRIM, D.; DOGAN, M.; DEMIR, P. </w:t>
      </w:r>
      <w:proofErr w:type="spellStart"/>
      <w:r w:rsidRPr="00E62292">
        <w:t>Application</w:t>
      </w:r>
      <w:proofErr w:type="spellEnd"/>
      <w:r w:rsidRPr="00E62292">
        <w:t xml:space="preserve"> </w:t>
      </w:r>
      <w:proofErr w:type="spellStart"/>
      <w:r w:rsidRPr="00E62292">
        <w:t>of</w:t>
      </w:r>
      <w:proofErr w:type="spellEnd"/>
      <w:r w:rsidRPr="00E62292">
        <w:t xml:space="preserve"> Fourier </w:t>
      </w:r>
      <w:proofErr w:type="spellStart"/>
      <w:r w:rsidRPr="00E62292">
        <w:t>transform</w:t>
      </w:r>
      <w:proofErr w:type="spellEnd"/>
      <w:r w:rsidRPr="00E62292">
        <w:t xml:space="preserve"> </w:t>
      </w:r>
      <w:proofErr w:type="spellStart"/>
      <w:r w:rsidRPr="00E62292">
        <w:t>infrared</w:t>
      </w:r>
      <w:proofErr w:type="spellEnd"/>
      <w:r w:rsidRPr="00E62292">
        <w:t xml:space="preserve"> </w:t>
      </w:r>
      <w:proofErr w:type="spellStart"/>
      <w:r w:rsidRPr="00E62292">
        <w:t>spectroscopy</w:t>
      </w:r>
      <w:proofErr w:type="spellEnd"/>
      <w:r w:rsidRPr="00E62292">
        <w:t xml:space="preserve"> (FTIR) in food </w:t>
      </w:r>
      <w:proofErr w:type="spellStart"/>
      <w:r w:rsidRPr="00E62292">
        <w:t>and</w:t>
      </w:r>
      <w:proofErr w:type="spellEnd"/>
      <w:r w:rsidRPr="00E62292">
        <w:t xml:space="preserve"> </w:t>
      </w:r>
      <w:proofErr w:type="spellStart"/>
      <w:r w:rsidRPr="00E62292">
        <w:t>plant</w:t>
      </w:r>
      <w:proofErr w:type="spellEnd"/>
      <w:r w:rsidRPr="00E62292">
        <w:t xml:space="preserve"> </w:t>
      </w:r>
      <w:proofErr w:type="spellStart"/>
      <w:r w:rsidRPr="00E62292">
        <w:t>analysis</w:t>
      </w:r>
      <w:proofErr w:type="spellEnd"/>
      <w:r w:rsidRPr="00E62292">
        <w:t xml:space="preserve">: </w:t>
      </w:r>
      <w:proofErr w:type="spellStart"/>
      <w:r w:rsidRPr="00E62292">
        <w:t>recent</w:t>
      </w:r>
      <w:proofErr w:type="spellEnd"/>
      <w:r w:rsidRPr="00E62292">
        <w:t xml:space="preserve"> </w:t>
      </w:r>
      <w:proofErr w:type="spellStart"/>
      <w:r w:rsidRPr="00E62292">
        <w:t>advances</w:t>
      </w:r>
      <w:proofErr w:type="spellEnd"/>
      <w:r w:rsidRPr="00E62292">
        <w:t xml:space="preserve"> </w:t>
      </w:r>
      <w:proofErr w:type="spellStart"/>
      <w:r w:rsidRPr="00E62292">
        <w:t>and</w:t>
      </w:r>
      <w:proofErr w:type="spellEnd"/>
      <w:r w:rsidRPr="00E62292">
        <w:t xml:space="preserve"> perspectives. </w:t>
      </w:r>
      <w:proofErr w:type="spellStart"/>
      <w:r w:rsidRPr="00E62292">
        <w:rPr>
          <w:rStyle w:val="nfase"/>
          <w:b/>
          <w:bCs/>
          <w:i w:val="0"/>
          <w:iCs w:val="0"/>
        </w:rPr>
        <w:t>Trends</w:t>
      </w:r>
      <w:proofErr w:type="spellEnd"/>
      <w:r w:rsidRPr="00E62292">
        <w:rPr>
          <w:rStyle w:val="nfase"/>
          <w:b/>
          <w:bCs/>
          <w:i w:val="0"/>
          <w:iCs w:val="0"/>
        </w:rPr>
        <w:t xml:space="preserve"> in Food Science &amp; Technology</w:t>
      </w:r>
      <w:r w:rsidRPr="00E62292">
        <w:t xml:space="preserve">, v. 131, p. 1–15, 2023. Disponível em: </w:t>
      </w:r>
      <w:hyperlink r:id="rId13" w:history="1">
        <w:r w:rsidRPr="00E62292">
          <w:rPr>
            <w:rStyle w:val="Hyperlink"/>
            <w:color w:val="auto"/>
            <w:u w:val="none"/>
          </w:rPr>
          <w:t>https://doi.org/10.1016/j.tifs.2022.12.010</w:t>
        </w:r>
      </w:hyperlink>
      <w:r w:rsidRPr="00E62292">
        <w:t>. Acesso: 02 mai. 2026</w:t>
      </w:r>
    </w:p>
    <w:p w14:paraId="024795B7" w14:textId="77777777" w:rsidR="00145622" w:rsidRPr="00E62292" w:rsidRDefault="00145622" w:rsidP="007B7FF5">
      <w:pPr>
        <w:pStyle w:val="NormalWeb"/>
        <w:spacing w:before="0" w:beforeAutospacing="0" w:after="0" w:afterAutospacing="0"/>
      </w:pPr>
    </w:p>
    <w:p w14:paraId="60E0DEBA" w14:textId="0F4751F8" w:rsidR="00E4725D" w:rsidRPr="00E62292" w:rsidRDefault="00E4725D" w:rsidP="007B7FF5">
      <w:pPr>
        <w:pStyle w:val="NormalWeb"/>
        <w:spacing w:before="0" w:beforeAutospacing="0" w:after="0" w:afterAutospacing="0"/>
      </w:pPr>
      <w:r w:rsidRPr="00E62292">
        <w:t xml:space="preserve">CHEMAT, F.; ROMBAUT, N.; SICAIRE, A.-G.; MEULLEMIERSTRE, A.; FABIANO-TIXIER, A.-S.; ABERT-VIAN, M. </w:t>
      </w:r>
      <w:proofErr w:type="spellStart"/>
      <w:r w:rsidRPr="00E62292">
        <w:t>Ultrasound</w:t>
      </w:r>
      <w:proofErr w:type="spellEnd"/>
      <w:r w:rsidRPr="00E62292">
        <w:t xml:space="preserve"> </w:t>
      </w:r>
      <w:proofErr w:type="spellStart"/>
      <w:r w:rsidRPr="00E62292">
        <w:t>assisted</w:t>
      </w:r>
      <w:proofErr w:type="spellEnd"/>
      <w:r w:rsidRPr="00E62292">
        <w:t xml:space="preserve"> </w:t>
      </w:r>
      <w:proofErr w:type="spellStart"/>
      <w:r w:rsidRPr="00E62292">
        <w:t>extraction</w:t>
      </w:r>
      <w:proofErr w:type="spellEnd"/>
      <w:r w:rsidRPr="00E62292">
        <w:t xml:space="preserve"> </w:t>
      </w:r>
      <w:proofErr w:type="spellStart"/>
      <w:r w:rsidRPr="00E62292">
        <w:t>of</w:t>
      </w:r>
      <w:proofErr w:type="spellEnd"/>
      <w:r w:rsidRPr="00E62292">
        <w:t xml:space="preserve"> food </w:t>
      </w:r>
      <w:proofErr w:type="spellStart"/>
      <w:r w:rsidRPr="00E62292">
        <w:t>and</w:t>
      </w:r>
      <w:proofErr w:type="spellEnd"/>
      <w:r w:rsidRPr="00E62292">
        <w:t xml:space="preserve"> natural </w:t>
      </w:r>
      <w:proofErr w:type="spellStart"/>
      <w:r w:rsidRPr="00E62292">
        <w:t>products</w:t>
      </w:r>
      <w:proofErr w:type="spellEnd"/>
      <w:r w:rsidRPr="00E62292">
        <w:t xml:space="preserve">: </w:t>
      </w:r>
      <w:proofErr w:type="spellStart"/>
      <w:r w:rsidRPr="00E62292">
        <w:t>mechanisms</w:t>
      </w:r>
      <w:proofErr w:type="spellEnd"/>
      <w:r w:rsidRPr="00E62292">
        <w:t xml:space="preserve">, </w:t>
      </w:r>
      <w:proofErr w:type="spellStart"/>
      <w:r w:rsidRPr="00E62292">
        <w:t>techniques</w:t>
      </w:r>
      <w:proofErr w:type="spellEnd"/>
      <w:r w:rsidRPr="00E62292">
        <w:t xml:space="preserve">, </w:t>
      </w:r>
      <w:proofErr w:type="spellStart"/>
      <w:r w:rsidRPr="00E62292">
        <w:t>combinations</w:t>
      </w:r>
      <w:proofErr w:type="spellEnd"/>
      <w:r w:rsidRPr="00E62292">
        <w:t xml:space="preserve">, </w:t>
      </w:r>
      <w:proofErr w:type="spellStart"/>
      <w:r w:rsidRPr="00E62292">
        <w:t>protocols</w:t>
      </w:r>
      <w:proofErr w:type="spellEnd"/>
      <w:r w:rsidRPr="00E62292">
        <w:t xml:space="preserve"> </w:t>
      </w:r>
      <w:proofErr w:type="spellStart"/>
      <w:r w:rsidRPr="00E62292">
        <w:t>and</w:t>
      </w:r>
      <w:proofErr w:type="spellEnd"/>
      <w:r w:rsidRPr="00E62292">
        <w:t xml:space="preserve"> </w:t>
      </w:r>
      <w:proofErr w:type="spellStart"/>
      <w:r w:rsidRPr="00E62292">
        <w:t>applications</w:t>
      </w:r>
      <w:proofErr w:type="spellEnd"/>
      <w:r w:rsidRPr="00E62292">
        <w:t xml:space="preserve">: a review. </w:t>
      </w:r>
      <w:proofErr w:type="spellStart"/>
      <w:r w:rsidRPr="00E62292">
        <w:rPr>
          <w:rStyle w:val="nfase"/>
          <w:b/>
          <w:bCs/>
          <w:i w:val="0"/>
          <w:iCs w:val="0"/>
        </w:rPr>
        <w:t>Ultrasonics</w:t>
      </w:r>
      <w:proofErr w:type="spellEnd"/>
      <w:r w:rsidRPr="00E62292">
        <w:rPr>
          <w:rStyle w:val="nfase"/>
          <w:b/>
          <w:bCs/>
          <w:i w:val="0"/>
          <w:iCs w:val="0"/>
        </w:rPr>
        <w:t xml:space="preserve"> </w:t>
      </w:r>
      <w:proofErr w:type="spellStart"/>
      <w:r w:rsidRPr="00E62292">
        <w:rPr>
          <w:rStyle w:val="nfase"/>
          <w:b/>
          <w:bCs/>
          <w:i w:val="0"/>
          <w:iCs w:val="0"/>
        </w:rPr>
        <w:t>Sonochemistry</w:t>
      </w:r>
      <w:proofErr w:type="spellEnd"/>
      <w:r w:rsidRPr="00E62292">
        <w:t xml:space="preserve">, [S. l.], v. 34, p. 540–560, 2017. DOI: 10.1016/j.ultsonch.2016.06.035. Disponível em: </w:t>
      </w:r>
      <w:hyperlink r:id="rId14" w:tgtFrame="_new" w:history="1">
        <w:r w:rsidRPr="00E62292">
          <w:rPr>
            <w:rStyle w:val="Hyperlink"/>
            <w:color w:val="auto"/>
            <w:u w:val="none"/>
          </w:rPr>
          <w:t>https://doi.org/10.1016/j.ultsonch.2016.06.035</w:t>
        </w:r>
      </w:hyperlink>
      <w:r w:rsidRPr="00E62292">
        <w:t xml:space="preserve">. Acesso: 02 </w:t>
      </w:r>
      <w:proofErr w:type="gramStart"/>
      <w:r w:rsidRPr="00E62292">
        <w:t>Mai.</w:t>
      </w:r>
      <w:proofErr w:type="gramEnd"/>
      <w:r w:rsidRPr="00E62292">
        <w:t xml:space="preserve"> 2025</w:t>
      </w:r>
    </w:p>
    <w:p w14:paraId="0F8DBD0F" w14:textId="74D2DF0F" w:rsidR="00E4725D" w:rsidRPr="00E62292" w:rsidRDefault="00E4725D" w:rsidP="007B7FF5">
      <w:pPr>
        <w:rPr>
          <w:sz w:val="24"/>
          <w:szCs w:val="24"/>
        </w:rPr>
      </w:pPr>
      <w:r w:rsidRPr="00E62292">
        <w:rPr>
          <w:sz w:val="24"/>
          <w:szCs w:val="24"/>
        </w:rPr>
        <w:t xml:space="preserve">DE OLIVEIRA, P. E.; SIMON, M. F. (ed.). </w:t>
      </w:r>
      <w:r w:rsidRPr="00E62292">
        <w:rPr>
          <w:rStyle w:val="nfase"/>
          <w:sz w:val="24"/>
          <w:szCs w:val="24"/>
        </w:rPr>
        <w:t>Vegetation, flora and biodiversity of the Cerrado biome</w:t>
      </w:r>
      <w:r w:rsidRPr="00E62292">
        <w:rPr>
          <w:sz w:val="24"/>
          <w:szCs w:val="24"/>
        </w:rPr>
        <w:t xml:space="preserve">. Cham: </w:t>
      </w:r>
      <w:r w:rsidRPr="00E62292">
        <w:rPr>
          <w:b/>
          <w:bCs/>
          <w:sz w:val="24"/>
          <w:szCs w:val="24"/>
        </w:rPr>
        <w:t>Springer Nature</w:t>
      </w:r>
      <w:r w:rsidRPr="00E62292">
        <w:rPr>
          <w:sz w:val="24"/>
          <w:szCs w:val="24"/>
        </w:rPr>
        <w:t>, 2022. Disponível em: DOI: 10.1007/978-3-031-07059-7. Acesso: 13 maio. 2026</w:t>
      </w:r>
    </w:p>
    <w:p w14:paraId="4B9AB04E" w14:textId="7CADED71" w:rsidR="00E4725D" w:rsidRPr="00E62292" w:rsidRDefault="00E4725D" w:rsidP="007B7FF5">
      <w:pPr>
        <w:rPr>
          <w:sz w:val="24"/>
          <w:szCs w:val="24"/>
        </w:rPr>
      </w:pPr>
      <w:r w:rsidRPr="00E62292">
        <w:rPr>
          <w:sz w:val="24"/>
          <w:szCs w:val="24"/>
        </w:rPr>
        <w:t xml:space="preserve">HARBORNE, J. B.; WILLIAMS, C. A. </w:t>
      </w:r>
      <w:r w:rsidRPr="00E62292">
        <w:rPr>
          <w:i/>
          <w:iCs/>
          <w:sz w:val="24"/>
          <w:szCs w:val="24"/>
        </w:rPr>
        <w:t>Advances in flavonoid research since 1992</w:t>
      </w:r>
      <w:r w:rsidRPr="00E62292">
        <w:rPr>
          <w:sz w:val="24"/>
          <w:szCs w:val="24"/>
        </w:rPr>
        <w:t xml:space="preserve">. </w:t>
      </w:r>
      <w:r w:rsidRPr="00E62292">
        <w:rPr>
          <w:b/>
          <w:bCs/>
          <w:sz w:val="24"/>
          <w:szCs w:val="24"/>
        </w:rPr>
        <w:t>Phytochemistry</w:t>
      </w:r>
      <w:r w:rsidRPr="00E62292">
        <w:rPr>
          <w:sz w:val="24"/>
          <w:szCs w:val="24"/>
        </w:rPr>
        <w:t>, Oxford, v. 55, n. 6, p. 481–504, 2000.</w:t>
      </w:r>
    </w:p>
    <w:p w14:paraId="7ABD71F7" w14:textId="77777777" w:rsidR="00E4725D" w:rsidRPr="00E62292" w:rsidRDefault="00E4725D" w:rsidP="007B7FF5">
      <w:pPr>
        <w:pStyle w:val="NormalWeb"/>
        <w:spacing w:before="0" w:beforeAutospacing="0" w:after="0" w:afterAutospacing="0"/>
      </w:pPr>
      <w:r w:rsidRPr="00E62292">
        <w:t xml:space="preserve">MATOS, F. J. A. </w:t>
      </w:r>
      <w:r w:rsidRPr="00E62292">
        <w:rPr>
          <w:rStyle w:val="nfase"/>
          <w:b/>
          <w:bCs/>
          <w:i w:val="0"/>
          <w:iCs w:val="0"/>
        </w:rPr>
        <w:t xml:space="preserve">Introdução à </w:t>
      </w:r>
      <w:proofErr w:type="spellStart"/>
      <w:r w:rsidRPr="00E62292">
        <w:rPr>
          <w:rStyle w:val="nfase"/>
          <w:b/>
          <w:bCs/>
          <w:i w:val="0"/>
          <w:iCs w:val="0"/>
        </w:rPr>
        <w:t>fitoquímica</w:t>
      </w:r>
      <w:proofErr w:type="spellEnd"/>
      <w:r w:rsidRPr="00E62292">
        <w:rPr>
          <w:rStyle w:val="nfase"/>
          <w:b/>
          <w:bCs/>
          <w:i w:val="0"/>
          <w:iCs w:val="0"/>
        </w:rPr>
        <w:t xml:space="preserve"> experimental</w:t>
      </w:r>
      <w:r w:rsidRPr="00E62292">
        <w:t>. 3. ed. Fortaleza: UFC, 2009.</w:t>
      </w:r>
    </w:p>
    <w:p w14:paraId="38F2D55B" w14:textId="75733499" w:rsidR="00E4725D" w:rsidRPr="00E62292" w:rsidRDefault="00E4725D" w:rsidP="007B7FF5">
      <w:pPr>
        <w:rPr>
          <w:sz w:val="24"/>
          <w:szCs w:val="24"/>
          <w:lang w:val="en-US"/>
        </w:rPr>
      </w:pPr>
      <w:r w:rsidRPr="00E62292">
        <w:rPr>
          <w:sz w:val="24"/>
          <w:szCs w:val="24"/>
        </w:rPr>
        <w:t xml:space="preserve">PAVIA, D. L.; LAMPMAN, G. M.; KRIZ, G. S.; VYVYAN, J. R. </w:t>
      </w:r>
      <w:r w:rsidRPr="00E62292">
        <w:rPr>
          <w:rStyle w:val="nfase"/>
          <w:b/>
          <w:bCs/>
          <w:i w:val="0"/>
          <w:iCs w:val="0"/>
          <w:sz w:val="24"/>
          <w:szCs w:val="24"/>
        </w:rPr>
        <w:t>Introdução à espectroscopia</w:t>
      </w:r>
      <w:r w:rsidRPr="00E62292">
        <w:rPr>
          <w:sz w:val="24"/>
          <w:szCs w:val="24"/>
        </w:rPr>
        <w:t xml:space="preserve">. </w:t>
      </w:r>
      <w:r w:rsidRPr="00E62292">
        <w:rPr>
          <w:sz w:val="24"/>
          <w:szCs w:val="24"/>
          <w:lang w:val="en-US"/>
        </w:rPr>
        <w:t>4. ed. São Paulo: Cengage Learning, 2010.</w:t>
      </w:r>
    </w:p>
    <w:p w14:paraId="3E707B62" w14:textId="77777777" w:rsidR="00AA037E" w:rsidRPr="00E62292" w:rsidRDefault="00AA037E" w:rsidP="00AA037E">
      <w:pPr>
        <w:pStyle w:val="NormalWeb"/>
        <w:spacing w:before="0" w:beforeAutospacing="0" w:after="0" w:afterAutospacing="0"/>
      </w:pPr>
      <w:r w:rsidRPr="00E62292">
        <w:t xml:space="preserve">SIMÕES, C. M. O.; SCHENKEL, E. P.; GOSMANN, G.; MELLO, J. C. P.; MENTZ, L. A.; PETROVICK, P. R. </w:t>
      </w:r>
      <w:r w:rsidRPr="00E62292">
        <w:rPr>
          <w:rStyle w:val="nfase"/>
          <w:i w:val="0"/>
          <w:iCs w:val="0"/>
        </w:rPr>
        <w:t>Farmacognosia: do produto natural ao medicamento</w:t>
      </w:r>
      <w:r w:rsidRPr="00E62292">
        <w:t>. 6. ed. Porto Alegre: Editora da UFRGS, 2017</w:t>
      </w:r>
    </w:p>
    <w:p w14:paraId="7C3A313E" w14:textId="77777777" w:rsidR="00AA037E" w:rsidRPr="00E62292" w:rsidRDefault="00AA037E" w:rsidP="00AA037E">
      <w:pPr>
        <w:pStyle w:val="NormalWeb"/>
        <w:spacing w:before="0" w:beforeAutospacing="0" w:after="0" w:afterAutospacing="0"/>
      </w:pPr>
    </w:p>
    <w:p w14:paraId="477C6145" w14:textId="4E42BCE5" w:rsidR="00E4725D" w:rsidRPr="00E62292" w:rsidRDefault="00E4725D" w:rsidP="007B7FF5">
      <w:pPr>
        <w:pStyle w:val="NormalWeb"/>
        <w:spacing w:before="0" w:beforeAutospacing="0" w:after="0" w:afterAutospacing="0"/>
      </w:pPr>
      <w:r w:rsidRPr="00E62292">
        <w:t>SILVERSTEIN, R. M.; WEBSTER, F. X.; KIEMLE, D. J.; BRYCE, D. L</w:t>
      </w:r>
      <w:r w:rsidRPr="00E62292">
        <w:rPr>
          <w:b/>
          <w:bCs/>
        </w:rPr>
        <w:t xml:space="preserve">. </w:t>
      </w:r>
      <w:proofErr w:type="spellStart"/>
      <w:r w:rsidRPr="00E62292">
        <w:rPr>
          <w:b/>
          <w:bCs/>
        </w:rPr>
        <w:t>Spectrometric</w:t>
      </w:r>
      <w:proofErr w:type="spellEnd"/>
      <w:r w:rsidRPr="00E62292">
        <w:rPr>
          <w:b/>
          <w:bCs/>
        </w:rPr>
        <w:t xml:space="preserve"> </w:t>
      </w:r>
      <w:proofErr w:type="spellStart"/>
      <w:r w:rsidRPr="00E62292">
        <w:rPr>
          <w:b/>
          <w:bCs/>
        </w:rPr>
        <w:t>identification</w:t>
      </w:r>
      <w:proofErr w:type="spellEnd"/>
      <w:r w:rsidRPr="00E62292">
        <w:rPr>
          <w:b/>
          <w:bCs/>
        </w:rPr>
        <w:t xml:space="preserve"> </w:t>
      </w:r>
      <w:proofErr w:type="spellStart"/>
      <w:r w:rsidRPr="00E62292">
        <w:rPr>
          <w:b/>
          <w:bCs/>
        </w:rPr>
        <w:t>of</w:t>
      </w:r>
      <w:proofErr w:type="spellEnd"/>
      <w:r w:rsidRPr="00E62292">
        <w:rPr>
          <w:b/>
          <w:bCs/>
        </w:rPr>
        <w:t xml:space="preserve"> </w:t>
      </w:r>
      <w:proofErr w:type="spellStart"/>
      <w:r w:rsidRPr="00E62292">
        <w:rPr>
          <w:b/>
          <w:bCs/>
        </w:rPr>
        <w:t>organic</w:t>
      </w:r>
      <w:proofErr w:type="spellEnd"/>
      <w:r w:rsidRPr="00E62292">
        <w:rPr>
          <w:b/>
          <w:bCs/>
        </w:rPr>
        <w:t xml:space="preserve"> </w:t>
      </w:r>
      <w:proofErr w:type="spellStart"/>
      <w:r w:rsidRPr="00E62292">
        <w:rPr>
          <w:b/>
          <w:bCs/>
        </w:rPr>
        <w:t>compounds</w:t>
      </w:r>
      <w:proofErr w:type="spellEnd"/>
      <w:r w:rsidRPr="00E62292">
        <w:rPr>
          <w:b/>
          <w:bCs/>
        </w:rPr>
        <w:t>.</w:t>
      </w:r>
      <w:r w:rsidRPr="00E62292">
        <w:t xml:space="preserve"> 8. ed. </w:t>
      </w:r>
      <w:proofErr w:type="spellStart"/>
      <w:r w:rsidRPr="00E62292">
        <w:t>Hoboken</w:t>
      </w:r>
      <w:proofErr w:type="spellEnd"/>
      <w:r w:rsidRPr="00E62292">
        <w:t xml:space="preserve">: </w:t>
      </w:r>
      <w:proofErr w:type="spellStart"/>
      <w:r w:rsidRPr="00E62292">
        <w:t>Wiley</w:t>
      </w:r>
      <w:proofErr w:type="spellEnd"/>
      <w:r w:rsidRPr="00E62292">
        <w:t>, 2014.</w:t>
      </w:r>
    </w:p>
    <w:p w14:paraId="4721CB0D" w14:textId="5B38750B" w:rsidR="00E4725D" w:rsidRPr="00E62292" w:rsidRDefault="00E4725D" w:rsidP="007B7FF5">
      <w:pPr>
        <w:rPr>
          <w:sz w:val="24"/>
          <w:szCs w:val="24"/>
        </w:rPr>
      </w:pPr>
      <w:r w:rsidRPr="00E62292">
        <w:rPr>
          <w:sz w:val="24"/>
          <w:szCs w:val="24"/>
        </w:rPr>
        <w:t xml:space="preserve">STRASSBURG, B. B. N.; BROOKS, T. M.; FELTRAN-BARBIERI, R.; IRIBASHE, J.; AHMAD, I.; CONNOR, S.; JONES, J. P. G.; ALCAMO, J.; BRASIL, L. S.; BALMFORD, A. Moment of truth for the Cerrado hotspot. </w:t>
      </w:r>
      <w:r w:rsidRPr="00E62292">
        <w:rPr>
          <w:rStyle w:val="nfase"/>
          <w:b/>
          <w:bCs/>
          <w:i w:val="0"/>
          <w:iCs w:val="0"/>
          <w:sz w:val="24"/>
          <w:szCs w:val="24"/>
        </w:rPr>
        <w:t>Nature Ecology &amp; Evolution</w:t>
      </w:r>
      <w:r w:rsidRPr="00E62292">
        <w:rPr>
          <w:sz w:val="24"/>
          <w:szCs w:val="24"/>
        </w:rPr>
        <w:t xml:space="preserve">, v. 1, n. 1, p. 1–3, 2017. DOI: </w:t>
      </w:r>
      <w:hyperlink r:id="rId15" w:history="1">
        <w:r w:rsidRPr="00E62292">
          <w:rPr>
            <w:rStyle w:val="Hyperlink"/>
            <w:color w:val="auto"/>
            <w:sz w:val="24"/>
            <w:szCs w:val="24"/>
            <w:u w:val="none"/>
          </w:rPr>
          <w:t>https://doi.org/10.1038/s41559-017-0099</w:t>
        </w:r>
      </w:hyperlink>
      <w:r w:rsidRPr="00E62292">
        <w:rPr>
          <w:sz w:val="24"/>
          <w:szCs w:val="24"/>
        </w:rPr>
        <w:t>. Acesso em: 06 maio 2026.</w:t>
      </w:r>
    </w:p>
    <w:p w14:paraId="1FEF143E" w14:textId="77777777" w:rsidR="00145622" w:rsidRPr="00E62292" w:rsidRDefault="00145622" w:rsidP="007B7FF5">
      <w:pPr>
        <w:rPr>
          <w:sz w:val="24"/>
          <w:szCs w:val="24"/>
        </w:rPr>
      </w:pPr>
    </w:p>
    <w:p w14:paraId="76778CE8" w14:textId="1D2194BD" w:rsidR="00E4725D" w:rsidRPr="00E62292" w:rsidRDefault="00E4725D" w:rsidP="007B7FF5">
      <w:pPr>
        <w:rPr>
          <w:sz w:val="24"/>
          <w:szCs w:val="24"/>
        </w:rPr>
      </w:pPr>
      <w:r w:rsidRPr="00E62292">
        <w:rPr>
          <w:sz w:val="24"/>
          <w:szCs w:val="24"/>
        </w:rPr>
        <w:t xml:space="preserve">TEIXEIRA, E. C.; CARVALHO JÚNIOR, A. R.; CARVALHO, M. G. </w:t>
      </w:r>
      <w:r w:rsidRPr="00E62292">
        <w:rPr>
          <w:rStyle w:val="nfase"/>
          <w:i w:val="0"/>
          <w:iCs w:val="0"/>
          <w:sz w:val="24"/>
          <w:szCs w:val="24"/>
        </w:rPr>
        <w:t>Caracterização rápida de metabólitos secundários no extrato de folhas de Caryocar brasiliense e atividade antirradicalar</w:t>
      </w:r>
      <w:r w:rsidRPr="00E62292">
        <w:rPr>
          <w:sz w:val="24"/>
          <w:szCs w:val="24"/>
        </w:rPr>
        <w:t xml:space="preserve">. Emirates </w:t>
      </w:r>
      <w:r w:rsidRPr="00E62292">
        <w:rPr>
          <w:b/>
          <w:bCs/>
          <w:sz w:val="24"/>
          <w:szCs w:val="24"/>
        </w:rPr>
        <w:t>Journal of Food and Agriculture</w:t>
      </w:r>
      <w:r w:rsidRPr="00E62292">
        <w:rPr>
          <w:sz w:val="24"/>
          <w:szCs w:val="24"/>
        </w:rPr>
        <w:t>, Abu Dhabi, v. 34, n. 6, 2022. Disponível em: DOI: 10.9755/ejfa.2022.v34.i6.2874. Acesso em: 02 maio 2026.</w:t>
      </w:r>
    </w:p>
    <w:p w14:paraId="2C53E5A3" w14:textId="12993FA2" w:rsidR="003C5647" w:rsidRPr="00E62292" w:rsidRDefault="003C5647" w:rsidP="007B7FF5">
      <w:pPr>
        <w:rPr>
          <w:sz w:val="24"/>
          <w:szCs w:val="24"/>
        </w:rPr>
      </w:pPr>
      <w:bookmarkStart w:id="1" w:name="_Hlk233744740"/>
      <w:r w:rsidRPr="00E62292">
        <w:rPr>
          <w:sz w:val="24"/>
          <w:szCs w:val="24"/>
        </w:rPr>
        <w:t xml:space="preserve">TEIXEIRA, E.; FERREIRA, R. Seasonal variation of phenols and flavonoids in non-galled and galled leaves of </w:t>
      </w:r>
      <w:r w:rsidRPr="00E62292">
        <w:rPr>
          <w:rStyle w:val="nfase"/>
          <w:i w:val="0"/>
          <w:iCs w:val="0"/>
          <w:sz w:val="24"/>
          <w:szCs w:val="24"/>
        </w:rPr>
        <w:t>Caryocar brasiliense</w:t>
      </w:r>
      <w:r w:rsidRPr="00E62292">
        <w:rPr>
          <w:sz w:val="24"/>
          <w:szCs w:val="24"/>
        </w:rPr>
        <w:t xml:space="preserve"> (Caryocaraceae). </w:t>
      </w:r>
      <w:r w:rsidRPr="00E62292">
        <w:rPr>
          <w:rStyle w:val="nfase"/>
          <w:b/>
          <w:bCs/>
          <w:i w:val="0"/>
          <w:iCs w:val="0"/>
          <w:sz w:val="24"/>
          <w:szCs w:val="24"/>
        </w:rPr>
        <w:t>Periódico Tchê Química</w:t>
      </w:r>
      <w:r w:rsidRPr="00E62292">
        <w:rPr>
          <w:sz w:val="24"/>
          <w:szCs w:val="24"/>
        </w:rPr>
        <w:t>, v. 18, p. 38–46, 2021. DOI: 10.52571/PTQ.v18.n38.2021.04_TEIXEIRA_pgs_38_46.pdf. Disponível em: https://doi.org/10.52571/PTQ.v18.n38.2021.04_TEIXEIRA_pgs_38_46.pdf 2026</w:t>
      </w:r>
      <w:bookmarkEnd w:id="1"/>
    </w:p>
    <w:sectPr w:rsidR="003C5647" w:rsidRPr="00E62292" w:rsidSect="008913F4">
      <w:headerReference w:type="default" r:id="rId16"/>
      <w:footerReference w:type="default" r:id="rId17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37120" w14:textId="77777777" w:rsidR="00EA25BE" w:rsidRDefault="00EA25BE">
      <w:r>
        <w:separator/>
      </w:r>
    </w:p>
  </w:endnote>
  <w:endnote w:type="continuationSeparator" w:id="0">
    <w:p w14:paraId="3120FCFD" w14:textId="77777777" w:rsidR="00EA25BE" w:rsidRDefault="00EA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CC61F" w14:textId="77777777" w:rsidR="00EA25BE" w:rsidRDefault="00EA25BE">
      <w:r>
        <w:separator/>
      </w:r>
    </w:p>
  </w:footnote>
  <w:footnote w:type="continuationSeparator" w:id="0">
    <w:p w14:paraId="597EA1F7" w14:textId="77777777" w:rsidR="00EA25BE" w:rsidRDefault="00EA2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8240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7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5BCC"/>
    <w:rsid w:val="000449F4"/>
    <w:rsid w:val="00077DD0"/>
    <w:rsid w:val="000815CB"/>
    <w:rsid w:val="00082185"/>
    <w:rsid w:val="000F4FBB"/>
    <w:rsid w:val="00117E28"/>
    <w:rsid w:val="00145622"/>
    <w:rsid w:val="00171369"/>
    <w:rsid w:val="001A04E9"/>
    <w:rsid w:val="001C5BCC"/>
    <w:rsid w:val="002203CA"/>
    <w:rsid w:val="00243512"/>
    <w:rsid w:val="002A1A37"/>
    <w:rsid w:val="002E4A66"/>
    <w:rsid w:val="00300A5F"/>
    <w:rsid w:val="0030140E"/>
    <w:rsid w:val="0036697E"/>
    <w:rsid w:val="003A4F40"/>
    <w:rsid w:val="003B1A9D"/>
    <w:rsid w:val="003C5647"/>
    <w:rsid w:val="003E1CF6"/>
    <w:rsid w:val="004027AF"/>
    <w:rsid w:val="004039C5"/>
    <w:rsid w:val="004315BA"/>
    <w:rsid w:val="004A3C83"/>
    <w:rsid w:val="005259CE"/>
    <w:rsid w:val="00537A61"/>
    <w:rsid w:val="00561B53"/>
    <w:rsid w:val="005669B9"/>
    <w:rsid w:val="00582BB8"/>
    <w:rsid w:val="0059300D"/>
    <w:rsid w:val="005A4FB5"/>
    <w:rsid w:val="005F70B0"/>
    <w:rsid w:val="00607B6D"/>
    <w:rsid w:val="00624629"/>
    <w:rsid w:val="00651A2E"/>
    <w:rsid w:val="0068422A"/>
    <w:rsid w:val="00694319"/>
    <w:rsid w:val="00697E4F"/>
    <w:rsid w:val="006D14E9"/>
    <w:rsid w:val="006F67B6"/>
    <w:rsid w:val="00703BFF"/>
    <w:rsid w:val="00720A50"/>
    <w:rsid w:val="00723114"/>
    <w:rsid w:val="0074796B"/>
    <w:rsid w:val="0075316F"/>
    <w:rsid w:val="007561D8"/>
    <w:rsid w:val="007A1159"/>
    <w:rsid w:val="007B7FF5"/>
    <w:rsid w:val="00821953"/>
    <w:rsid w:val="00834142"/>
    <w:rsid w:val="00860794"/>
    <w:rsid w:val="00866E2F"/>
    <w:rsid w:val="00875334"/>
    <w:rsid w:val="008858BD"/>
    <w:rsid w:val="008913F4"/>
    <w:rsid w:val="008A031E"/>
    <w:rsid w:val="008E4658"/>
    <w:rsid w:val="009946BA"/>
    <w:rsid w:val="009A5415"/>
    <w:rsid w:val="009C4B75"/>
    <w:rsid w:val="009C5FF8"/>
    <w:rsid w:val="009E5F15"/>
    <w:rsid w:val="00A17CF1"/>
    <w:rsid w:val="00A33E6F"/>
    <w:rsid w:val="00A423C9"/>
    <w:rsid w:val="00A63F7E"/>
    <w:rsid w:val="00AA037E"/>
    <w:rsid w:val="00AC0633"/>
    <w:rsid w:val="00AD22F1"/>
    <w:rsid w:val="00AD56E9"/>
    <w:rsid w:val="00AF5124"/>
    <w:rsid w:val="00B15B13"/>
    <w:rsid w:val="00B223B2"/>
    <w:rsid w:val="00B31C94"/>
    <w:rsid w:val="00B41DED"/>
    <w:rsid w:val="00B72654"/>
    <w:rsid w:val="00B849E8"/>
    <w:rsid w:val="00BF064F"/>
    <w:rsid w:val="00BF626A"/>
    <w:rsid w:val="00C02F15"/>
    <w:rsid w:val="00C25B04"/>
    <w:rsid w:val="00C35AB8"/>
    <w:rsid w:val="00C50B7F"/>
    <w:rsid w:val="00C538C1"/>
    <w:rsid w:val="00C60F3C"/>
    <w:rsid w:val="00C85375"/>
    <w:rsid w:val="00CB7608"/>
    <w:rsid w:val="00D02391"/>
    <w:rsid w:val="00D2627B"/>
    <w:rsid w:val="00D94FD7"/>
    <w:rsid w:val="00DA56CD"/>
    <w:rsid w:val="00DD23D6"/>
    <w:rsid w:val="00E3782C"/>
    <w:rsid w:val="00E4725D"/>
    <w:rsid w:val="00E56BA4"/>
    <w:rsid w:val="00E62292"/>
    <w:rsid w:val="00EA25BE"/>
    <w:rsid w:val="00EA6991"/>
    <w:rsid w:val="00ED5101"/>
    <w:rsid w:val="00F01B4C"/>
    <w:rsid w:val="00F07C6C"/>
    <w:rsid w:val="00F601BB"/>
    <w:rsid w:val="00F624A1"/>
    <w:rsid w:val="00F771F9"/>
    <w:rsid w:val="00FB2897"/>
    <w:rsid w:val="00FE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56B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nfase">
    <w:name w:val="Emphasis"/>
    <w:basedOn w:val="Fontepargpadro"/>
    <w:uiPriority w:val="20"/>
    <w:qFormat/>
    <w:rsid w:val="00F601BB"/>
    <w:rPr>
      <w:i/>
      <w:iCs/>
    </w:rPr>
  </w:style>
  <w:style w:type="character" w:customStyle="1" w:styleId="a-size-large">
    <w:name w:val="a-size-large"/>
    <w:basedOn w:val="Fontepargpadro"/>
    <w:rsid w:val="00860794"/>
  </w:style>
  <w:style w:type="paragraph" w:styleId="NormalWeb">
    <w:name w:val="Normal (Web)"/>
    <w:basedOn w:val="Normal"/>
    <w:uiPriority w:val="99"/>
    <w:unhideWhenUsed/>
    <w:rsid w:val="009E5F1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Legenda">
    <w:name w:val="caption"/>
    <w:basedOn w:val="Normal"/>
    <w:next w:val="Normal"/>
    <w:uiPriority w:val="35"/>
    <w:unhideWhenUsed/>
    <w:qFormat/>
    <w:rsid w:val="009E5F15"/>
    <w:pPr>
      <w:widowControl/>
      <w:autoSpaceDE/>
      <w:autoSpaceDN/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val="pt-BR"/>
    </w:rPr>
  </w:style>
  <w:style w:type="character" w:customStyle="1" w:styleId="whitespace-normal">
    <w:name w:val="whitespace-normal"/>
    <w:basedOn w:val="Fontepargpadro"/>
    <w:rsid w:val="006D14E9"/>
  </w:style>
  <w:style w:type="character" w:styleId="Hyperlink">
    <w:name w:val="Hyperlink"/>
    <w:basedOn w:val="Fontepargpadro"/>
    <w:uiPriority w:val="99"/>
    <w:unhideWhenUsed/>
    <w:rsid w:val="00582BB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2BB8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B72654"/>
    <w:rPr>
      <w:b/>
      <w:bCs/>
    </w:rPr>
  </w:style>
  <w:style w:type="table" w:styleId="Tabelacomgrade">
    <w:name w:val="Table Grid"/>
    <w:basedOn w:val="Tabelanormal"/>
    <w:uiPriority w:val="59"/>
    <w:rsid w:val="00082185"/>
    <w:pPr>
      <w:widowControl/>
      <w:autoSpaceDE/>
      <w:autoSpaceDN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semiHidden/>
    <w:rsid w:val="00E56BA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styleId="TextodoEspaoReservado">
    <w:name w:val="Placeholder Text"/>
    <w:basedOn w:val="Fontepargpadro"/>
    <w:uiPriority w:val="99"/>
    <w:semiHidden/>
    <w:rsid w:val="00651A2E"/>
    <w:rPr>
      <w:color w:val="808080"/>
    </w:rPr>
  </w:style>
  <w:style w:type="paragraph" w:customStyle="1" w:styleId="isselectedend">
    <w:name w:val="isselectedend"/>
    <w:basedOn w:val="Normal"/>
    <w:rsid w:val="00E4725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i.org/10.1016/j.tifs.2022.12.01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doi.org/10.1038/s41559-017-0099" TargetMode="External"/><Relationship Id="rId10" Type="http://schemas.openxmlformats.org/officeDocument/2006/relationships/hyperlink" Target="mailto:gustavo.costa@uemg.b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guidoti.daniela@gmail.com" TargetMode="External"/><Relationship Id="rId14" Type="http://schemas.openxmlformats.org/officeDocument/2006/relationships/hyperlink" Target="https://doi.org/10.1016/j.ultsonch.2016.06.03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E098F2E2-2269-4544-B957-116028AAB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6</Pages>
  <Words>2424</Words>
  <Characters>13092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Ércia Alfredo Manhiça</cp:lastModifiedBy>
  <cp:revision>43</cp:revision>
  <cp:lastPrinted>2026-05-20T03:36:00Z</cp:lastPrinted>
  <dcterms:created xsi:type="dcterms:W3CDTF">2026-01-27T16:39:00Z</dcterms:created>
  <dcterms:modified xsi:type="dcterms:W3CDTF">2026-07-01T00:21:00Z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