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Bufalin-Induced Epithelial-Mesenchymal Transition in High Passage (P&gt;80) LLC-PK1 Cells In Vitro.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Barros GMO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Bagri KM, Mermelstein CS, Quintas LEM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UFRJ Rio de Janeiro, Institute of Biomedical Sciences, Brazil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gmob7502@gmail.com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Renal aging is associated with reduced renal filtration rates and promotes epithelial-mesenchymal transition (EMT), resulting in renal fibrosis. Bufalin, an endogenous cardiotonic steroid that binds to Na/K-ATPase, induces changes consistent with EMT in LLC-PK1 cells. Interestingly, this phenomenon occurs more significantly in cells with higher passages (P&gt;80), suggesting increased cellular sensitivity to bufalin due to in vitro aging. Our objective was to evaluate the molecular and morphological features of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transition which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these cells were submitted. In vitro aged LLC-PK1 cells were investigated using immunofluorescence of cellular adhesion molecules and EMT markers after 48 h incubation with 20 nM bufalin. Statistical significance was determined by Student’s t-test (p&lt;0.05), and the data are expressed as means ± SEM. The results revealed significant changes in bufalin-treated cells. Specifically, we observed a reduction in the intensity of pan-cadherin. Although there were no significant differences in β-catenin and α-tubulin, there was a marked decrease in E-cadherin staining. When analyzing the proteins occludin, claudin-1, and ZO-2, bufalin treatment reduced the intensity of fluorescence, but there was no difference in ZO-1 labeling. Additionally, the transcription factor ZEB1, which is involved in EMT, showed a reduction in fluorescence intensity. Our results suggest that LLC-PK1 cells with passages greater than 80 are more sensitive 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bufalin-induced some EMT-like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These findings provide a solid foundation for understanding the effects of aging and sensitivity for endogenous cardiotonic steroids, as well as the association with the pathophysiology of renal injury.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Keywords: Na/K-ATPase, Bufalin, Epithelial mesenchymal transition, Renal disease</w:t>
      </w:r>
    </w:p>
    <w:p w:rsidR="00000000" w:rsidDel="00000000" w:rsidP="00000000" w:rsidRDefault="00000000" w:rsidRPr="00000000" w14:paraId="00000007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Financial support: PIBIC/UFRJ, CAPES, FAPERJ and CNPq.</w:t>
      </w:r>
    </w:p>
    <w:p w:rsidR="00000000" w:rsidDel="00000000" w:rsidP="00000000" w:rsidRDefault="00000000" w:rsidRPr="00000000" w14:paraId="00000008">
      <w:pPr>
        <w:spacing w:after="20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701" w:right="1701" w:header="566" w:footer="22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Spart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-1142998</wp:posOffset>
          </wp:positionH>
          <wp:positionV relativeFrom="paragraph">
            <wp:posOffset>114300</wp:posOffset>
          </wp:positionV>
          <wp:extent cx="7629525" cy="1663533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0828" l="0" r="0" t="18031"/>
                  <a:stretch>
                    <a:fillRect/>
                  </a:stretch>
                </pic:blipFill>
                <pic:spPr>
                  <a:xfrm>
                    <a:off x="0" y="0"/>
                    <a:ext cx="7629525" cy="166353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Spartan" w:cs="Spartan" w:eastAsia="Spartan" w:hAnsi="Spartan"/>
        <w:b w:val="1"/>
        <w:sz w:val="28"/>
        <w:szCs w:val="28"/>
      </w:rPr>
    </w:pPr>
    <w:r w:rsidDel="00000000" w:rsidR="00000000" w:rsidRPr="00000000">
      <w:rPr>
        <w:rFonts w:ascii="Spartan" w:cs="Spartan" w:eastAsia="Spartan" w:hAnsi="Spartan"/>
        <w:b w:val="1"/>
        <w:sz w:val="28"/>
        <w:szCs w:val="28"/>
      </w:rPr>
      <w:drawing>
        <wp:inline distB="114300" distT="114300" distL="114300" distR="114300">
          <wp:extent cx="5400675" cy="9029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0506" l="0" r="0" t="32273"/>
                  <a:stretch>
                    <a:fillRect/>
                  </a:stretch>
                </pic:blipFill>
                <pic:spPr>
                  <a:xfrm>
                    <a:off x="0" y="0"/>
                    <a:ext cx="5400675" cy="90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mob7502@gmail.com" TargetMode="Externa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FtKhhaKlyAqlYxXASL22WNCiBw==">CgMxLjA4AHIhMWdIbUYtSVlXR2hyLW1jQ1FqLUYwTVN3dDB2VEN1YTVs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2024-07-09T14:03:00Z</dcterms:created>
  <dc:creator>Gabriela Morais</dc:creator>
</cp:coreProperties>
</file>