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150" w:line="240" w:lineRule="auto"/>
        <w:ind w:left="-284" w:right="-28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ABORDAGEM RADIOGRÁFICA DE REMODELAMENTO DE RINOTECA EM </w:t>
      </w:r>
      <w:r w:rsidDel="00000000" w:rsidR="00000000" w:rsidRPr="00000000">
        <w:rPr>
          <w:rFonts w:ascii="Times New Roman" w:cs="Times New Roman" w:eastAsia="Times New Roman" w:hAnsi="Times New Roman"/>
          <w:b w:val="1"/>
          <w:i w:val="1"/>
          <w:sz w:val="24"/>
          <w:szCs w:val="24"/>
          <w:rtl w:val="0"/>
        </w:rPr>
        <w:t xml:space="preserve">Pteroglossus aracari </w:t>
      </w:r>
      <w:r w:rsidDel="00000000" w:rsidR="00000000" w:rsidRPr="00000000">
        <w:rPr>
          <w:rFonts w:ascii="Times New Roman" w:cs="Times New Roman" w:eastAsia="Times New Roman" w:hAnsi="Times New Roman"/>
          <w:b w:val="1"/>
          <w:sz w:val="24"/>
          <w:szCs w:val="24"/>
          <w:rtl w:val="0"/>
        </w:rPr>
        <w:t xml:space="preserve">(Linnaeus, 1758) - RELATO DE CASO</w:t>
      </w:r>
    </w:p>
    <w:p w:rsidR="00000000" w:rsidDel="00000000" w:rsidP="00000000" w:rsidRDefault="00000000" w:rsidRPr="00000000" w14:paraId="00000002">
      <w:pPr>
        <w:shd w:fill="ffffff" w:val="clear"/>
        <w:spacing w:after="150" w:line="240" w:lineRule="auto"/>
        <w:ind w:left="-284" w:right="-285"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hd w:fill="ffffff" w:val="clear"/>
        <w:spacing w:after="150" w:line="240" w:lineRule="auto"/>
        <w:ind w:left="-284" w:right="-28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PAIVA, J.C.</w:t>
      </w:r>
      <w:r w:rsidDel="00000000" w:rsidR="00000000" w:rsidRPr="00000000">
        <w:rPr>
          <w:rFonts w:ascii="Times New Roman" w:cs="Times New Roman" w:eastAsia="Times New Roman" w:hAnsi="Times New Roman"/>
          <w:color w:val="000000"/>
          <w:sz w:val="24"/>
          <w:szCs w:val="24"/>
          <w:rtl w:val="0"/>
        </w:rPr>
        <w:t xml:space="preserve">¹; PANTOJA</w:t>
      </w:r>
      <w:r w:rsidDel="00000000" w:rsidR="00000000" w:rsidRPr="00000000">
        <w:rPr>
          <w:rFonts w:ascii="Times New Roman" w:cs="Times New Roman" w:eastAsia="Times New Roman" w:hAnsi="Times New Roman"/>
          <w:color w:val="000000"/>
          <w:sz w:val="24"/>
          <w:szCs w:val="24"/>
          <w:rtl w:val="0"/>
        </w:rPr>
        <w:t xml:space="preserve">, M.E.B.</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¹; </w:t>
      </w:r>
      <w:r w:rsidDel="00000000" w:rsidR="00000000" w:rsidRPr="00000000">
        <w:rPr>
          <w:rFonts w:ascii="Times New Roman" w:cs="Times New Roman" w:eastAsia="Times New Roman" w:hAnsi="Times New Roman"/>
          <w:sz w:val="24"/>
          <w:szCs w:val="24"/>
          <w:rtl w:val="0"/>
        </w:rPr>
        <w:t xml:space="preserve">LOPES, B. M</w:t>
      </w:r>
      <w:r w:rsidDel="00000000" w:rsidR="00000000" w:rsidRPr="00000000">
        <w:rPr>
          <w:rFonts w:ascii="Times New Roman" w:cs="Times New Roman" w:eastAsia="Times New Roman" w:hAnsi="Times New Roman"/>
          <w:color w:val="000000"/>
          <w:sz w:val="24"/>
          <w:szCs w:val="24"/>
          <w:rtl w:val="0"/>
        </w:rPr>
        <w:t xml:space="preserve">¹; CARDOSO</w:t>
      </w:r>
      <w:r w:rsidDel="00000000" w:rsidR="00000000" w:rsidRPr="00000000">
        <w:rPr>
          <w:rFonts w:ascii="Times New Roman" w:cs="Times New Roman" w:eastAsia="Times New Roman" w:hAnsi="Times New Roman"/>
          <w:sz w:val="24"/>
          <w:szCs w:val="24"/>
          <w:rtl w:val="0"/>
        </w:rPr>
        <w:t xml:space="preserve">, E.S.C.</w:t>
      </w:r>
      <w:r w:rsidDel="00000000" w:rsidR="00000000" w:rsidRPr="00000000">
        <w:rPr>
          <w:rFonts w:ascii="Times New Roman" w:cs="Times New Roman" w:eastAsia="Times New Roman" w:hAnsi="Times New Roman"/>
          <w:color w:val="000000"/>
          <w:sz w:val="24"/>
          <w:szCs w:val="24"/>
          <w:rtl w:val="0"/>
        </w:rPr>
        <w:t xml:space="preserve">¹; </w:t>
      </w:r>
      <w:r w:rsidDel="00000000" w:rsidR="00000000" w:rsidRPr="00000000">
        <w:rPr>
          <w:rFonts w:ascii="Times New Roman" w:cs="Times New Roman" w:eastAsia="Times New Roman" w:hAnsi="Times New Roman"/>
          <w:sz w:val="24"/>
          <w:szCs w:val="24"/>
          <w:rtl w:val="0"/>
        </w:rPr>
        <w:t xml:space="preserve">OLIVEIRA, D.M.C.²;</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PEREIRA, T.H.S.</w:t>
      </w:r>
      <w:r w:rsidDel="00000000" w:rsidR="00000000" w:rsidRPr="00000000">
        <w:rPr>
          <w:rFonts w:ascii="Times New Roman" w:cs="Times New Roman" w:eastAsia="Times New Roman" w:hAnsi="Times New Roman"/>
          <w:color w:val="000000"/>
          <w:sz w:val="24"/>
          <w:szCs w:val="24"/>
          <w:rtl w:val="0"/>
        </w:rPr>
        <w:t xml:space="preserve">² </w:t>
      </w:r>
    </w:p>
    <w:p w:rsidR="00000000" w:rsidDel="00000000" w:rsidP="00000000" w:rsidRDefault="00000000" w:rsidRPr="00000000" w14:paraId="00000004">
      <w:pPr>
        <w:shd w:fill="ffffff" w:val="clear"/>
        <w:spacing w:after="150" w:line="240" w:lineRule="auto"/>
        <w:ind w:left="-284" w:right="-285" w:firstLine="0"/>
        <w:jc w:val="both"/>
        <w:rPr>
          <w:rFonts w:ascii="Times New Roman" w:cs="Times New Roman" w:eastAsia="Times New Roman" w:hAnsi="Times New Roman"/>
          <w:color w:val="777777"/>
          <w:sz w:val="24"/>
          <w:szCs w:val="24"/>
        </w:rPr>
      </w:pPr>
      <w:r w:rsidDel="00000000" w:rsidR="00000000" w:rsidRPr="00000000">
        <w:rPr>
          <w:rFonts w:ascii="Times New Roman" w:cs="Times New Roman" w:eastAsia="Times New Roman" w:hAnsi="Times New Roman"/>
          <w:color w:val="000000"/>
          <w:sz w:val="24"/>
          <w:szCs w:val="24"/>
          <w:rtl w:val="0"/>
        </w:rPr>
        <w:t xml:space="preserve">1. Graduando em Medicina Veterinária, Universidade Federal Rural da Amazônia, Pará, Brasil (jordanapaivamv@gmail.com) 2. </w:t>
      </w:r>
      <w:r w:rsidDel="00000000" w:rsidR="00000000" w:rsidRPr="00000000">
        <w:rPr>
          <w:rFonts w:ascii="Times New Roman" w:cs="Times New Roman" w:eastAsia="Times New Roman" w:hAnsi="Times New Roman"/>
          <w:sz w:val="24"/>
          <w:szCs w:val="24"/>
          <w:rtl w:val="0"/>
        </w:rPr>
        <w:t xml:space="preserve">Docente do Departamento de Medicina Veterinária</w:t>
      </w:r>
      <w:r w:rsidDel="00000000" w:rsidR="00000000" w:rsidRPr="00000000">
        <w:rPr>
          <w:rFonts w:ascii="Times New Roman" w:cs="Times New Roman" w:eastAsia="Times New Roman" w:hAnsi="Times New Roman"/>
          <w:color w:val="000000"/>
          <w:sz w:val="24"/>
          <w:szCs w:val="24"/>
          <w:rtl w:val="0"/>
        </w:rPr>
        <w:t xml:space="preserve">, Universidade Federal Rural da Amazônia, Pará, Brasil.</w:t>
      </w:r>
      <w:r w:rsidDel="00000000" w:rsidR="00000000" w:rsidRPr="00000000">
        <w:rPr>
          <w:rtl w:val="0"/>
        </w:rPr>
      </w:r>
    </w:p>
    <w:p w:rsidR="00000000" w:rsidDel="00000000" w:rsidP="00000000" w:rsidRDefault="00000000" w:rsidRPr="00000000" w14:paraId="00000005">
      <w:pPr>
        <w:shd w:fill="ffffff" w:val="clear"/>
        <w:spacing w:after="15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rinoteca é uma subdivisão da ranfoteca que possui estrutura epidérmica queratinizada responsável pela proteção do bico das aves. O espécime </w:t>
      </w:r>
      <w:r w:rsidDel="00000000" w:rsidR="00000000" w:rsidRPr="00000000">
        <w:rPr>
          <w:rFonts w:ascii="Times New Roman" w:cs="Times New Roman" w:eastAsia="Times New Roman" w:hAnsi="Times New Roman"/>
          <w:i w:val="1"/>
          <w:sz w:val="24"/>
          <w:szCs w:val="24"/>
          <w:rtl w:val="0"/>
        </w:rPr>
        <w:t xml:space="preserve">Pteroglossus aracari</w:t>
      </w:r>
      <w:r w:rsidDel="00000000" w:rsidR="00000000" w:rsidRPr="00000000">
        <w:rPr>
          <w:rFonts w:ascii="Times New Roman" w:cs="Times New Roman" w:eastAsia="Times New Roman" w:hAnsi="Times New Roman"/>
          <w:sz w:val="24"/>
          <w:szCs w:val="24"/>
          <w:rtl w:val="0"/>
        </w:rPr>
        <w:t xml:space="preserve">, também conhecido popularmente como araçari-de-bico-branco pertence à família Ramphastidae e está presente no Brasil, na Venezuela e nas Guianas. </w:t>
      </w:r>
      <w:r w:rsidDel="00000000" w:rsidR="00000000" w:rsidRPr="00000000">
        <w:rPr>
          <w:rFonts w:ascii="Times New Roman" w:cs="Times New Roman" w:eastAsia="Times New Roman" w:hAnsi="Times New Roman"/>
          <w:sz w:val="24"/>
          <w:szCs w:val="24"/>
          <w:rtl w:val="0"/>
        </w:rPr>
        <w:t xml:space="preserve">Naturalmente, a queratina da rinoteca se substitui, contudo diversas afecções, como traumas, malformações e deficiência nutricional podem interferir nessa estrutura, gerando dor e dificultando a alimentação.</w:t>
      </w:r>
      <w:r w:rsidDel="00000000" w:rsidR="00000000" w:rsidRPr="00000000">
        <w:rPr>
          <w:rFonts w:ascii="Times New Roman" w:cs="Times New Roman" w:eastAsia="Times New Roman" w:hAnsi="Times New Roman"/>
          <w:sz w:val="24"/>
          <w:szCs w:val="24"/>
          <w:rtl w:val="0"/>
        </w:rPr>
        <w:t xml:space="preserve"> Dessa forma, os exames de imagem são indispensáveis para detecção de alterações morfológicas, acelerando o diagnóstico. Este presente relato de caso tem como objetivo descrever, por meio da radiografia, um remodelamento de rinoteca, analisado pelo setor de Diagnóstico por Imagem do Hospital Veterinário Mário Dias Teixeira localizado na Universidade Federal Rural da Amazônia, proveniente do Batalhão de Polícia Ambiental do Estado do Pará. O animal deu entrada no setor com suspeita de fratura em membros torácicos e histórico de lesão </w:t>
      </w:r>
      <w:r w:rsidDel="00000000" w:rsidR="00000000" w:rsidRPr="00000000">
        <w:rPr>
          <w:rFonts w:ascii="Times New Roman" w:cs="Times New Roman" w:eastAsia="Times New Roman" w:hAnsi="Times New Roman"/>
          <w:sz w:val="24"/>
          <w:szCs w:val="24"/>
          <w:rtl w:val="0"/>
        </w:rPr>
        <w:t xml:space="preserve">em ranfoteca</w:t>
      </w:r>
      <w:r w:rsidDel="00000000" w:rsidR="00000000" w:rsidRPr="00000000">
        <w:rPr>
          <w:rFonts w:ascii="Times New Roman" w:cs="Times New Roman" w:eastAsia="Times New Roman" w:hAnsi="Times New Roman"/>
          <w:sz w:val="24"/>
          <w:szCs w:val="24"/>
          <w:rtl w:val="0"/>
        </w:rPr>
        <w:t xml:space="preserve">. Para a realização do exame, iniciou-se posicionando a ave com as projeções </w:t>
      </w:r>
      <w:r w:rsidDel="00000000" w:rsidR="00000000" w:rsidRPr="00000000">
        <w:rPr>
          <w:rFonts w:ascii="Times New Roman" w:cs="Times New Roman" w:eastAsia="Times New Roman" w:hAnsi="Times New Roman"/>
          <w:sz w:val="24"/>
          <w:szCs w:val="24"/>
          <w:rtl w:val="0"/>
        </w:rPr>
        <w:t xml:space="preserve">ventro-dorsal</w:t>
      </w:r>
      <w:r w:rsidDel="00000000" w:rsidR="00000000" w:rsidRPr="00000000">
        <w:rPr>
          <w:rFonts w:ascii="Times New Roman" w:cs="Times New Roman" w:eastAsia="Times New Roman" w:hAnsi="Times New Roman"/>
          <w:sz w:val="24"/>
          <w:szCs w:val="24"/>
          <w:rtl w:val="0"/>
        </w:rPr>
        <w:t xml:space="preserve"> e latero-lateral, sem a necessidade de utilizar sedativos no animal. A partir do laudo radiográfico, foi possível identificar a integridade óssea dos membros torácicos e observou-se a lesão depressiva na porção dorsal da rinoteca com deslocamento ventral, sem fraturas, sugerindo assim ser uma lesão antiga em fase de remodelamento. Há uma escassez de literatura que </w:t>
      </w:r>
      <w:r w:rsidDel="00000000" w:rsidR="00000000" w:rsidRPr="00000000">
        <w:rPr>
          <w:rFonts w:ascii="Times New Roman" w:cs="Times New Roman" w:eastAsia="Times New Roman" w:hAnsi="Times New Roman"/>
          <w:sz w:val="24"/>
          <w:szCs w:val="24"/>
          <w:rtl w:val="0"/>
        </w:rPr>
        <w:t xml:space="preserve">aborde</w:t>
      </w:r>
      <w:r w:rsidDel="00000000" w:rsidR="00000000" w:rsidRPr="00000000">
        <w:rPr>
          <w:rFonts w:ascii="Times New Roman" w:cs="Times New Roman" w:eastAsia="Times New Roman" w:hAnsi="Times New Roman"/>
          <w:sz w:val="24"/>
          <w:szCs w:val="24"/>
          <w:rtl w:val="0"/>
        </w:rPr>
        <w:t xml:space="preserve"> a utilização de </w:t>
      </w:r>
      <w:r w:rsidDel="00000000" w:rsidR="00000000" w:rsidRPr="00000000">
        <w:rPr>
          <w:rFonts w:ascii="Times New Roman" w:cs="Times New Roman" w:eastAsia="Times New Roman" w:hAnsi="Times New Roman"/>
          <w:sz w:val="24"/>
          <w:szCs w:val="24"/>
          <w:rtl w:val="0"/>
        </w:rPr>
        <w:t xml:space="preserve">radiografia voltada</w:t>
      </w:r>
      <w:r w:rsidDel="00000000" w:rsidR="00000000" w:rsidRPr="00000000">
        <w:rPr>
          <w:rFonts w:ascii="Times New Roman" w:cs="Times New Roman" w:eastAsia="Times New Roman" w:hAnsi="Times New Roman"/>
          <w:sz w:val="24"/>
          <w:szCs w:val="24"/>
          <w:rtl w:val="0"/>
        </w:rPr>
        <w:t xml:space="preserve"> para a porção da rinoteca em </w:t>
      </w:r>
      <w:r w:rsidDel="00000000" w:rsidR="00000000" w:rsidRPr="00000000">
        <w:rPr>
          <w:rFonts w:ascii="Times New Roman" w:cs="Times New Roman" w:eastAsia="Times New Roman" w:hAnsi="Times New Roman"/>
          <w:i w:val="1"/>
          <w:sz w:val="24"/>
          <w:szCs w:val="24"/>
          <w:rtl w:val="0"/>
        </w:rPr>
        <w:t xml:space="preserve">P. aracari</w:t>
      </w:r>
      <w:r w:rsidDel="00000000" w:rsidR="00000000" w:rsidRPr="00000000">
        <w:rPr>
          <w:rFonts w:ascii="Times New Roman" w:cs="Times New Roman" w:eastAsia="Times New Roman" w:hAnsi="Times New Roman"/>
          <w:sz w:val="24"/>
          <w:szCs w:val="24"/>
          <w:rtl w:val="0"/>
        </w:rPr>
        <w:t xml:space="preserve">. No entanto, já foram descritos casos que já utilizaram esse método de diagnóstico por imagem em um exemplar de </w:t>
      </w:r>
      <w:r w:rsidDel="00000000" w:rsidR="00000000" w:rsidRPr="00000000">
        <w:rPr>
          <w:rFonts w:ascii="Times New Roman" w:cs="Times New Roman" w:eastAsia="Times New Roman" w:hAnsi="Times New Roman"/>
          <w:i w:val="1"/>
          <w:sz w:val="24"/>
          <w:szCs w:val="24"/>
          <w:rtl w:val="0"/>
        </w:rPr>
        <w:t xml:space="preserve">Ara ararauna</w:t>
      </w:r>
      <w:r w:rsidDel="00000000" w:rsidR="00000000" w:rsidRPr="00000000">
        <w:rPr>
          <w:rFonts w:ascii="Times New Roman" w:cs="Times New Roman" w:eastAsia="Times New Roman" w:hAnsi="Times New Roman"/>
          <w:sz w:val="24"/>
          <w:szCs w:val="24"/>
          <w:rtl w:val="0"/>
        </w:rPr>
        <w:t xml:space="preserve">, sendo fundamental para o diagnóstico definitivo de fratura e luxação nas regiões maxilar e mandibular</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 que permitiu que o paciente fosse tratado adequadamente. A compreensão mais precisa da anatomia detalhada da ranfoteca de </w:t>
      </w:r>
      <w:r w:rsidDel="00000000" w:rsidR="00000000" w:rsidRPr="00000000">
        <w:rPr>
          <w:rFonts w:ascii="Times New Roman" w:cs="Times New Roman" w:eastAsia="Times New Roman" w:hAnsi="Times New Roman"/>
          <w:i w:val="1"/>
          <w:sz w:val="24"/>
          <w:szCs w:val="24"/>
          <w:rtl w:val="0"/>
        </w:rPr>
        <w:t xml:space="preserve">P. </w:t>
      </w:r>
      <w:r w:rsidDel="00000000" w:rsidR="00000000" w:rsidRPr="00000000">
        <w:rPr>
          <w:rFonts w:ascii="Times New Roman" w:cs="Times New Roman" w:eastAsia="Times New Roman" w:hAnsi="Times New Roman"/>
          <w:i w:val="1"/>
          <w:sz w:val="24"/>
          <w:szCs w:val="24"/>
          <w:rtl w:val="0"/>
        </w:rPr>
        <w:t xml:space="preserve">aracari</w:t>
      </w:r>
      <w:r w:rsidDel="00000000" w:rsidR="00000000" w:rsidRPr="00000000">
        <w:rPr>
          <w:rFonts w:ascii="Times New Roman" w:cs="Times New Roman" w:eastAsia="Times New Roman" w:hAnsi="Times New Roman"/>
          <w:sz w:val="24"/>
          <w:szCs w:val="24"/>
          <w:rtl w:val="0"/>
        </w:rPr>
        <w:t xml:space="preserve"> é necessária para diferenciar de anormalidades. A literatura atual mostra o diagnóstico preciso para afecções em bico utilizando desde a radiografia até a tomografia computadorizada, o que destaca a integração de vários meios de imagem para aumentar a acurácia diagnóstica. Portanto, a importância desse estudo é contribuir com os achados radiográficos que sirvam de base para protocolos diagnósticos tanto na espécie</w:t>
      </w:r>
      <w:r w:rsidDel="00000000" w:rsidR="00000000" w:rsidRPr="00000000">
        <w:rPr>
          <w:rFonts w:ascii="Times New Roman" w:cs="Times New Roman" w:eastAsia="Times New Roman" w:hAnsi="Times New Roman"/>
          <w:i w:val="1"/>
          <w:sz w:val="24"/>
          <w:szCs w:val="24"/>
          <w:rtl w:val="0"/>
        </w:rPr>
        <w:t xml:space="preserve"> P. </w:t>
      </w:r>
      <w:r w:rsidDel="00000000" w:rsidR="00000000" w:rsidRPr="00000000">
        <w:rPr>
          <w:rFonts w:ascii="Times New Roman" w:cs="Times New Roman" w:eastAsia="Times New Roman" w:hAnsi="Times New Roman"/>
          <w:i w:val="1"/>
          <w:sz w:val="24"/>
          <w:szCs w:val="24"/>
          <w:rtl w:val="0"/>
        </w:rPr>
        <w:t xml:space="preserve">aracari</w:t>
      </w:r>
      <w:r w:rsidDel="00000000" w:rsidR="00000000" w:rsidRPr="00000000">
        <w:rPr>
          <w:rFonts w:ascii="Times New Roman" w:cs="Times New Roman" w:eastAsia="Times New Roman" w:hAnsi="Times New Roman"/>
          <w:sz w:val="24"/>
          <w:szCs w:val="24"/>
          <w:rtl w:val="0"/>
        </w:rPr>
        <w:t xml:space="preserve"> quanto em outras espécies pertencentes à família Ramphastidae.</w:t>
      </w:r>
    </w:p>
    <w:p w:rsidR="00000000" w:rsidDel="00000000" w:rsidP="00000000" w:rsidRDefault="00000000" w:rsidRPr="00000000" w14:paraId="00000006">
      <w:pPr>
        <w:shd w:fill="ffffff" w:val="clear"/>
        <w:spacing w:after="15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Palavras-chave:  Diagnóstico por i</w:t>
      </w:r>
      <w:r w:rsidDel="00000000" w:rsidR="00000000" w:rsidRPr="00000000">
        <w:rPr>
          <w:rFonts w:ascii="Times New Roman" w:cs="Times New Roman" w:eastAsia="Times New Roman" w:hAnsi="Times New Roman"/>
          <w:sz w:val="24"/>
          <w:szCs w:val="24"/>
          <w:rtl w:val="0"/>
        </w:rPr>
        <w:t xml:space="preserve">magem; radiografia; araçari-de-bico-branco; ranfoteca.</w:t>
      </w:r>
    </w:p>
    <w:p w:rsidR="00000000" w:rsidDel="00000000" w:rsidP="00000000" w:rsidRDefault="00000000" w:rsidRPr="00000000" w14:paraId="00000007">
      <w:pPr>
        <w:shd w:fill="ffffff" w:val="clear"/>
        <w:spacing w:after="0" w:line="240" w:lineRule="auto"/>
        <w:ind w:left="-284" w:right="-285"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REFERÊNCIAS: </w:t>
      </w:r>
    </w:p>
    <w:p w:rsidR="00000000" w:rsidDel="00000000" w:rsidP="00000000" w:rsidRDefault="00000000" w:rsidRPr="00000000" w14:paraId="00000008">
      <w:pPr>
        <w:shd w:fill="ffffff" w:val="clear"/>
        <w:spacing w:after="0" w:line="240" w:lineRule="auto"/>
        <w:ind w:left="-284" w:right="-28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GALO BUITRÓN-JURADO; SANZ, V.; PÉREZ-EMÁN, J.</w:t>
      </w:r>
      <w:r w:rsidDel="00000000" w:rsidR="00000000" w:rsidRPr="00000000">
        <w:rPr>
          <w:rFonts w:ascii="Times New Roman" w:cs="Times New Roman" w:eastAsia="Times New Roman" w:hAnsi="Times New Roman"/>
          <w:b w:val="1"/>
          <w:sz w:val="24"/>
          <w:szCs w:val="24"/>
          <w:rtl w:val="0"/>
        </w:rPr>
        <w:t xml:space="preserve"> Registro Del Tilingo Cuellinegro Pteroglossus aracari En La Cordillera De La Costa Central, Estado Miranda, Venezuela / a Record of Black-Necked Aracari Pteroglossus aracari in the Central Cordillera De La Costa, Miranda State, Venezuela</w:t>
      </w:r>
      <w:r w:rsidDel="00000000" w:rsidR="00000000" w:rsidRPr="00000000">
        <w:rPr>
          <w:rFonts w:ascii="Times New Roman" w:cs="Times New Roman" w:eastAsia="Times New Roman" w:hAnsi="Times New Roman"/>
          <w:sz w:val="24"/>
          <w:szCs w:val="24"/>
          <w:rtl w:val="0"/>
        </w:rPr>
        <w:t xml:space="preserve">. Disponível em: &lt;https://digitalcommons.usf.edu/rvo/vol7/iss1/5&gt;. Acesso em: 10 jul. 2025. </w:t>
      </w:r>
    </w:p>
    <w:p w:rsidR="00000000" w:rsidDel="00000000" w:rsidP="00000000" w:rsidRDefault="00000000" w:rsidRPr="00000000" w14:paraId="0000000A">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PATEL, S.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Temporal and spatial diversification of Pteroglossus araçaris (AVES: Ramphastidae) in the neotropics: Constant rate of diversification does not support an increase in radiation during the Pleistocene. </w:t>
      </w:r>
      <w:r w:rsidDel="00000000" w:rsidR="00000000" w:rsidRPr="00000000">
        <w:rPr>
          <w:rFonts w:ascii="Times New Roman" w:cs="Times New Roman" w:eastAsia="Times New Roman" w:hAnsi="Times New Roman"/>
          <w:b w:val="1"/>
          <w:sz w:val="24"/>
          <w:szCs w:val="24"/>
          <w:rtl w:val="0"/>
        </w:rPr>
        <w:t xml:space="preserve">Molecular Phylogenetics and Evolution</w:t>
      </w:r>
      <w:r w:rsidDel="00000000" w:rsidR="00000000" w:rsidRPr="00000000">
        <w:rPr>
          <w:rFonts w:ascii="Times New Roman" w:cs="Times New Roman" w:eastAsia="Times New Roman" w:hAnsi="Times New Roman"/>
          <w:sz w:val="24"/>
          <w:szCs w:val="24"/>
          <w:rtl w:val="0"/>
        </w:rPr>
        <w:t xml:space="preserve">, v. 58, n. 1, p. 105–115, jan. 2011. </w:t>
      </w:r>
    </w:p>
    <w:p w:rsidR="00000000" w:rsidDel="00000000" w:rsidP="00000000" w:rsidRDefault="00000000" w:rsidRPr="00000000" w14:paraId="0000000C">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PRAZERES, 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Técnicas De Reconstituição De Bico Em Aves - Artigo De Revisão. </w:t>
      </w:r>
      <w:r w:rsidDel="00000000" w:rsidR="00000000" w:rsidRPr="00000000">
        <w:rPr>
          <w:rFonts w:ascii="Times New Roman" w:cs="Times New Roman" w:eastAsia="Times New Roman" w:hAnsi="Times New Roman"/>
          <w:b w:val="1"/>
          <w:sz w:val="24"/>
          <w:szCs w:val="24"/>
          <w:rtl w:val="0"/>
        </w:rPr>
        <w:t xml:space="preserve">J Health Sci Inst</w:t>
      </w:r>
      <w:r w:rsidDel="00000000" w:rsidR="00000000" w:rsidRPr="00000000">
        <w:rPr>
          <w:rFonts w:ascii="Times New Roman" w:cs="Times New Roman" w:eastAsia="Times New Roman" w:hAnsi="Times New Roman"/>
          <w:sz w:val="24"/>
          <w:szCs w:val="24"/>
          <w:rtl w:val="0"/>
        </w:rPr>
        <w:t xml:space="preserve">, v. 31, n. 4, p. 441–448, 2013.</w:t>
      </w:r>
    </w:p>
    <w:p w:rsidR="00000000" w:rsidDel="00000000" w:rsidP="00000000" w:rsidRDefault="00000000" w:rsidRPr="00000000" w14:paraId="0000000E">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COCOCCETTA, Ciro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Successful conservative management of multiple skull fracture and quadrate-mandibular medial luxation in a blue-and-yellow macaw (Ara ararauna). </w:t>
      </w:r>
      <w:r w:rsidDel="00000000" w:rsidR="00000000" w:rsidRPr="00000000">
        <w:rPr>
          <w:rFonts w:ascii="Times New Roman" w:cs="Times New Roman" w:eastAsia="Times New Roman" w:hAnsi="Times New Roman"/>
          <w:b w:val="1"/>
          <w:sz w:val="24"/>
          <w:szCs w:val="24"/>
          <w:rtl w:val="0"/>
        </w:rPr>
        <w:t xml:space="preserve">BMC Veterinary Research</w:t>
      </w:r>
      <w:r w:rsidDel="00000000" w:rsidR="00000000" w:rsidRPr="00000000">
        <w:rPr>
          <w:rFonts w:ascii="Times New Roman" w:cs="Times New Roman" w:eastAsia="Times New Roman" w:hAnsi="Times New Roman"/>
          <w:sz w:val="24"/>
          <w:szCs w:val="24"/>
          <w:rtl w:val="0"/>
        </w:rPr>
        <w:t xml:space="preserve">, v. 21, n. 1, p. 123, 2025.</w:t>
      </w:r>
      <w:r w:rsidDel="00000000" w:rsidR="00000000" w:rsidRPr="00000000">
        <w:rPr>
          <w:rtl w:val="0"/>
        </w:rPr>
      </w:r>
    </w:p>
    <w:sectPr>
      <w:headerReference r:id="rId6" w:type="default"/>
      <w:footerReference r:id="rId7" w:type="default"/>
      <w:pgSz w:h="16838" w:w="11906" w:orient="portrait"/>
      <w:pgMar w:bottom="1417" w:top="1417" w:left="1701" w:right="1701" w:header="708"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drawing>
        <wp:inline distB="114300" distT="114300" distL="114300" distR="114300">
          <wp:extent cx="5400675" cy="218408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675" cy="218408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