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6B6" w:rsidRPr="002942EA" w:rsidRDefault="002942EA" w:rsidP="002942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2EA">
        <w:rPr>
          <w:rFonts w:ascii="Times New Roman" w:hAnsi="Times New Roman" w:cs="Times New Roman"/>
          <w:b/>
          <w:sz w:val="24"/>
          <w:szCs w:val="24"/>
        </w:rPr>
        <w:t>A EFICÁCIA DO USO DE METFORMINA EM RELAÇÃO AO USO DE ANTICONCEPCIONAIS ORAIS NA</w:t>
      </w:r>
      <w:r w:rsidR="00D5192D">
        <w:rPr>
          <w:rFonts w:ascii="Times New Roman" w:hAnsi="Times New Roman" w:cs="Times New Roman"/>
          <w:b/>
          <w:sz w:val="24"/>
          <w:szCs w:val="24"/>
        </w:rPr>
        <w:t xml:space="preserve"> SÍNDROME DO OVÁRIO POLICÍSTICO</w:t>
      </w:r>
    </w:p>
    <w:p w:rsidR="00D5192D" w:rsidRPr="009A394C" w:rsidRDefault="00D5192D" w:rsidP="00D5192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9A394C">
        <w:rPr>
          <w:rFonts w:ascii="Times New Roman" w:hAnsi="Times New Roman" w:cs="Times New Roman"/>
          <w:sz w:val="20"/>
          <w:szCs w:val="20"/>
        </w:rPr>
        <w:t>Sarah Lima Campos¹; Thiago de Moura Arruda²; Ana Kleiber Pessoa Borges</w:t>
      </w:r>
      <w:r w:rsidRPr="009A394C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9A394C">
        <w:rPr>
          <w:rFonts w:ascii="Times New Roman" w:hAnsi="Times New Roman" w:cs="Times New Roman"/>
          <w:sz w:val="20"/>
          <w:szCs w:val="20"/>
        </w:rPr>
        <w:t>; Tainá de Abreu</w:t>
      </w:r>
      <w:r w:rsidRPr="009A394C">
        <w:rPr>
          <w:rFonts w:ascii="Times New Roman" w:hAnsi="Times New Roman" w:cs="Times New Roman"/>
          <w:sz w:val="20"/>
          <w:szCs w:val="20"/>
          <w:vertAlign w:val="superscript"/>
        </w:rPr>
        <w:t>4</w:t>
      </w:r>
    </w:p>
    <w:p w:rsidR="00D5192D" w:rsidRPr="009A394C" w:rsidRDefault="00D5192D" w:rsidP="00D5192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394C">
        <w:rPr>
          <w:rFonts w:ascii="Times New Roman" w:hAnsi="Times New Roman" w:cs="Times New Roman"/>
          <w:sz w:val="20"/>
          <w:szCs w:val="20"/>
        </w:rPr>
        <w:t>¹ Acadêmica de Medicina ITPAC Palmas</w:t>
      </w:r>
    </w:p>
    <w:p w:rsidR="00D5192D" w:rsidRPr="009A394C" w:rsidRDefault="00D5192D" w:rsidP="00D5192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394C">
        <w:rPr>
          <w:rFonts w:ascii="Times New Roman" w:hAnsi="Times New Roman" w:cs="Times New Roman"/>
          <w:sz w:val="20"/>
          <w:szCs w:val="20"/>
        </w:rPr>
        <w:t>² Acadêmico de Medicina Universidade de Gurupi</w:t>
      </w:r>
    </w:p>
    <w:p w:rsidR="00D5192D" w:rsidRPr="009A394C" w:rsidRDefault="00D5192D" w:rsidP="00D5192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394C"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 w:rsidRPr="009A394C">
        <w:rPr>
          <w:rFonts w:ascii="Times New Roman" w:hAnsi="Times New Roman" w:cs="Times New Roman"/>
          <w:sz w:val="20"/>
          <w:szCs w:val="20"/>
        </w:rPr>
        <w:t>Universidade Federal do Tocantins</w:t>
      </w:r>
    </w:p>
    <w:p w:rsidR="00D5192D" w:rsidRPr="009A394C" w:rsidRDefault="00D5192D" w:rsidP="00D5192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394C">
        <w:rPr>
          <w:rFonts w:ascii="Times New Roman" w:hAnsi="Times New Roman" w:cs="Times New Roman"/>
          <w:sz w:val="20"/>
          <w:szCs w:val="20"/>
          <w:vertAlign w:val="superscript"/>
        </w:rPr>
        <w:t xml:space="preserve">4 </w:t>
      </w:r>
      <w:r w:rsidRPr="009A394C">
        <w:rPr>
          <w:rFonts w:ascii="Times New Roman" w:hAnsi="Times New Roman" w:cs="Times New Roman"/>
          <w:sz w:val="20"/>
          <w:szCs w:val="20"/>
        </w:rPr>
        <w:t>Universidade Federal do Tocantins</w:t>
      </w:r>
    </w:p>
    <w:p w:rsidR="002942EA" w:rsidRDefault="002942EA" w:rsidP="00B16C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6B6" w:rsidRDefault="00B16C27" w:rsidP="00B16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D47">
        <w:rPr>
          <w:rFonts w:ascii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A Síndrome do Ovário Policístico (SOP) é uma endocrinopatia idiopática que acomete a maior parcela da população feminina em idade reprodutiva. </w:t>
      </w:r>
      <w:r w:rsidR="007D0527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7D0527">
        <w:rPr>
          <w:rFonts w:ascii="Times New Roman" w:hAnsi="Times New Roman" w:cs="Times New Roman"/>
          <w:sz w:val="24"/>
          <w:szCs w:val="24"/>
        </w:rPr>
        <w:t>hiperandrogenismo</w:t>
      </w:r>
      <w:proofErr w:type="spellEnd"/>
      <w:r w:rsidR="007D0527">
        <w:rPr>
          <w:rFonts w:ascii="Times New Roman" w:hAnsi="Times New Roman" w:cs="Times New Roman"/>
          <w:sz w:val="24"/>
          <w:szCs w:val="24"/>
        </w:rPr>
        <w:t xml:space="preserve"> é um dos principais sinais desta síndrome, estando o tratamento farmacológico voltado para a correção desta condição e dos sinais decorrentes da mesma</w:t>
      </w:r>
      <w:r w:rsidR="005E0B2E">
        <w:rPr>
          <w:rFonts w:ascii="Times New Roman" w:hAnsi="Times New Roman" w:cs="Times New Roman"/>
          <w:sz w:val="24"/>
          <w:szCs w:val="24"/>
        </w:rPr>
        <w:t xml:space="preserve"> como o </w:t>
      </w:r>
      <w:proofErr w:type="spellStart"/>
      <w:r w:rsidR="005E0B2E">
        <w:rPr>
          <w:rFonts w:ascii="Times New Roman" w:hAnsi="Times New Roman" w:cs="Times New Roman"/>
          <w:sz w:val="24"/>
          <w:szCs w:val="24"/>
        </w:rPr>
        <w:t>hirsutismo</w:t>
      </w:r>
      <w:proofErr w:type="spellEnd"/>
      <w:r w:rsidR="005E0B2E">
        <w:rPr>
          <w:rFonts w:ascii="Times New Roman" w:hAnsi="Times New Roman" w:cs="Times New Roman"/>
          <w:sz w:val="24"/>
          <w:szCs w:val="24"/>
        </w:rPr>
        <w:t xml:space="preserve">, a resistência insulínica e a </w:t>
      </w:r>
      <w:proofErr w:type="spellStart"/>
      <w:r w:rsidR="005E0B2E">
        <w:rPr>
          <w:rFonts w:ascii="Times New Roman" w:hAnsi="Times New Roman" w:cs="Times New Roman"/>
          <w:sz w:val="24"/>
          <w:szCs w:val="24"/>
        </w:rPr>
        <w:t>anovulação</w:t>
      </w:r>
      <w:proofErr w:type="spellEnd"/>
      <w:r w:rsidR="007D0527">
        <w:rPr>
          <w:rFonts w:ascii="Times New Roman" w:hAnsi="Times New Roman" w:cs="Times New Roman"/>
          <w:sz w:val="24"/>
          <w:szCs w:val="24"/>
        </w:rPr>
        <w:t xml:space="preserve">. </w:t>
      </w:r>
      <w:r w:rsidR="007D0527" w:rsidRPr="00903D47">
        <w:rPr>
          <w:rFonts w:ascii="Times New Roman" w:hAnsi="Times New Roman" w:cs="Times New Roman"/>
          <w:b/>
          <w:sz w:val="24"/>
          <w:szCs w:val="24"/>
        </w:rPr>
        <w:t>Objetivo:</w:t>
      </w:r>
      <w:r w:rsidR="007D0527">
        <w:rPr>
          <w:rFonts w:ascii="Times New Roman" w:hAnsi="Times New Roman" w:cs="Times New Roman"/>
          <w:sz w:val="24"/>
          <w:szCs w:val="24"/>
        </w:rPr>
        <w:t xml:space="preserve"> Comparar a eficácia entre anticoncepcionais orais e a </w:t>
      </w:r>
      <w:proofErr w:type="spellStart"/>
      <w:r w:rsidR="007D0527">
        <w:rPr>
          <w:rFonts w:ascii="Times New Roman" w:hAnsi="Times New Roman" w:cs="Times New Roman"/>
          <w:sz w:val="24"/>
          <w:szCs w:val="24"/>
        </w:rPr>
        <w:t>metformina</w:t>
      </w:r>
      <w:proofErr w:type="spellEnd"/>
      <w:r w:rsidR="007D0527">
        <w:rPr>
          <w:rFonts w:ascii="Times New Roman" w:hAnsi="Times New Roman" w:cs="Times New Roman"/>
          <w:sz w:val="24"/>
          <w:szCs w:val="24"/>
        </w:rPr>
        <w:t xml:space="preserve"> no tratamento da SOP. </w:t>
      </w:r>
      <w:r w:rsidR="007D0527" w:rsidRPr="00903D47">
        <w:rPr>
          <w:rFonts w:ascii="Times New Roman" w:hAnsi="Times New Roman" w:cs="Times New Roman"/>
          <w:b/>
          <w:sz w:val="24"/>
          <w:szCs w:val="24"/>
        </w:rPr>
        <w:t>Revisão:</w:t>
      </w:r>
      <w:r w:rsidR="007D05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D0527">
        <w:rPr>
          <w:rFonts w:ascii="Times New Roman" w:hAnsi="Times New Roman" w:cs="Times New Roman"/>
          <w:sz w:val="24"/>
          <w:szCs w:val="24"/>
        </w:rPr>
        <w:t>metformina</w:t>
      </w:r>
      <w:proofErr w:type="spellEnd"/>
      <w:r w:rsidR="007D0527">
        <w:rPr>
          <w:rFonts w:ascii="Times New Roman" w:hAnsi="Times New Roman" w:cs="Times New Roman"/>
          <w:sz w:val="24"/>
          <w:szCs w:val="24"/>
        </w:rPr>
        <w:t xml:space="preserve"> reduz a secreção andr</w:t>
      </w:r>
      <w:r w:rsidR="00903D47">
        <w:rPr>
          <w:rFonts w:ascii="Times New Roman" w:hAnsi="Times New Roman" w:cs="Times New Roman"/>
          <w:sz w:val="24"/>
          <w:szCs w:val="24"/>
        </w:rPr>
        <w:t>ogênica ao controlar a glicemia,</w:t>
      </w:r>
      <w:r w:rsidR="00AF5421">
        <w:rPr>
          <w:rFonts w:ascii="Times New Roman" w:hAnsi="Times New Roman" w:cs="Times New Roman"/>
          <w:sz w:val="24"/>
          <w:szCs w:val="24"/>
        </w:rPr>
        <w:t xml:space="preserve"> além de atuar a nível ovariano, diminuindo a produção </w:t>
      </w:r>
      <w:r w:rsidR="001236B6">
        <w:rPr>
          <w:rFonts w:ascii="Times New Roman" w:hAnsi="Times New Roman" w:cs="Times New Roman"/>
          <w:sz w:val="24"/>
          <w:szCs w:val="24"/>
        </w:rPr>
        <w:t>do hormônio androgênico pelas células da teca. Estudos demonstram ainda</w:t>
      </w:r>
      <w:r w:rsidR="007D0527">
        <w:rPr>
          <w:rFonts w:ascii="Times New Roman" w:hAnsi="Times New Roman" w:cs="Times New Roman"/>
          <w:sz w:val="24"/>
          <w:szCs w:val="24"/>
        </w:rPr>
        <w:t xml:space="preserve"> resultados favoráveis no controle do </w:t>
      </w:r>
      <w:r w:rsidR="00903D47">
        <w:rPr>
          <w:rFonts w:ascii="Times New Roman" w:hAnsi="Times New Roman" w:cs="Times New Roman"/>
          <w:sz w:val="24"/>
          <w:szCs w:val="24"/>
        </w:rPr>
        <w:t xml:space="preserve">ciclo menstrual, do </w:t>
      </w:r>
      <w:proofErr w:type="spellStart"/>
      <w:r w:rsidR="00903D47">
        <w:rPr>
          <w:rFonts w:ascii="Times New Roman" w:hAnsi="Times New Roman" w:cs="Times New Roman"/>
          <w:sz w:val="24"/>
          <w:szCs w:val="24"/>
        </w:rPr>
        <w:t>hirsutismo</w:t>
      </w:r>
      <w:proofErr w:type="spellEnd"/>
      <w:r w:rsidR="00903D47">
        <w:rPr>
          <w:rFonts w:ascii="Times New Roman" w:hAnsi="Times New Roman" w:cs="Times New Roman"/>
          <w:sz w:val="24"/>
          <w:szCs w:val="24"/>
        </w:rPr>
        <w:t xml:space="preserve"> e da </w:t>
      </w:r>
      <w:proofErr w:type="spellStart"/>
      <w:r w:rsidR="00903D47">
        <w:rPr>
          <w:rFonts w:ascii="Times New Roman" w:hAnsi="Times New Roman" w:cs="Times New Roman"/>
          <w:sz w:val="24"/>
          <w:szCs w:val="24"/>
        </w:rPr>
        <w:t>anovulação</w:t>
      </w:r>
      <w:proofErr w:type="spellEnd"/>
      <w:r w:rsidR="001236B6">
        <w:rPr>
          <w:rFonts w:ascii="Times New Roman" w:hAnsi="Times New Roman" w:cs="Times New Roman"/>
          <w:sz w:val="24"/>
          <w:szCs w:val="24"/>
        </w:rPr>
        <w:t>, estando clara a relação entre o controle insulínico e a ovulação</w:t>
      </w:r>
      <w:r w:rsidR="00903D47">
        <w:rPr>
          <w:rFonts w:ascii="Times New Roman" w:hAnsi="Times New Roman" w:cs="Times New Roman"/>
          <w:sz w:val="24"/>
          <w:szCs w:val="24"/>
        </w:rPr>
        <w:t xml:space="preserve">. Os resultados a respeito do controle da infertilidade ainda são controversos, sendo observado que a droga apresenta eficácia quanto a </w:t>
      </w:r>
      <w:proofErr w:type="spellStart"/>
      <w:r w:rsidR="00903D47">
        <w:rPr>
          <w:rFonts w:ascii="Times New Roman" w:hAnsi="Times New Roman" w:cs="Times New Roman"/>
          <w:sz w:val="24"/>
          <w:szCs w:val="24"/>
        </w:rPr>
        <w:t>anovulação</w:t>
      </w:r>
      <w:proofErr w:type="spellEnd"/>
      <w:r w:rsidR="00903D47">
        <w:rPr>
          <w:rFonts w:ascii="Times New Roman" w:hAnsi="Times New Roman" w:cs="Times New Roman"/>
          <w:sz w:val="24"/>
          <w:szCs w:val="24"/>
        </w:rPr>
        <w:t>,</w:t>
      </w:r>
      <w:r w:rsidR="009D266F">
        <w:rPr>
          <w:rFonts w:ascii="Times New Roman" w:hAnsi="Times New Roman" w:cs="Times New Roman"/>
          <w:sz w:val="24"/>
          <w:szCs w:val="24"/>
        </w:rPr>
        <w:t xml:space="preserve"> além de diminuir o risco de aborto no primeiro</w:t>
      </w:r>
      <w:r w:rsidR="00903D47">
        <w:rPr>
          <w:rFonts w:ascii="Times New Roman" w:hAnsi="Times New Roman" w:cs="Times New Roman"/>
          <w:sz w:val="24"/>
          <w:szCs w:val="24"/>
        </w:rPr>
        <w:t xml:space="preserve"> trimestre de pacientes com SOP, todavia, estudos demonstram que o uso isolado da </w:t>
      </w:r>
      <w:proofErr w:type="spellStart"/>
      <w:r w:rsidR="00903D47">
        <w:rPr>
          <w:rFonts w:ascii="Times New Roman" w:hAnsi="Times New Roman" w:cs="Times New Roman"/>
          <w:sz w:val="24"/>
          <w:szCs w:val="24"/>
        </w:rPr>
        <w:t>metformina</w:t>
      </w:r>
      <w:proofErr w:type="spellEnd"/>
      <w:r w:rsidR="00903D47">
        <w:rPr>
          <w:rFonts w:ascii="Times New Roman" w:hAnsi="Times New Roman" w:cs="Times New Roman"/>
          <w:sz w:val="24"/>
          <w:szCs w:val="24"/>
        </w:rPr>
        <w:t xml:space="preserve"> não apresenta melhoras significativas quanto a taxa de nascidos vivos.</w:t>
      </w:r>
      <w:r w:rsidR="009D266F">
        <w:rPr>
          <w:rFonts w:ascii="Times New Roman" w:hAnsi="Times New Roman" w:cs="Times New Roman"/>
          <w:sz w:val="24"/>
          <w:szCs w:val="24"/>
        </w:rPr>
        <w:t xml:space="preserve"> </w:t>
      </w:r>
      <w:r w:rsidR="001236B6">
        <w:rPr>
          <w:rFonts w:ascii="Times New Roman" w:hAnsi="Times New Roman" w:cs="Times New Roman"/>
          <w:sz w:val="24"/>
          <w:szCs w:val="24"/>
        </w:rPr>
        <w:t xml:space="preserve">Cabe ressaltar que, a </w:t>
      </w:r>
      <w:proofErr w:type="spellStart"/>
      <w:r w:rsidR="001236B6">
        <w:rPr>
          <w:rFonts w:ascii="Times New Roman" w:hAnsi="Times New Roman" w:cs="Times New Roman"/>
          <w:sz w:val="24"/>
          <w:szCs w:val="24"/>
        </w:rPr>
        <w:t>metformina</w:t>
      </w:r>
      <w:proofErr w:type="spellEnd"/>
      <w:r w:rsidR="001236B6">
        <w:rPr>
          <w:rFonts w:ascii="Times New Roman" w:hAnsi="Times New Roman" w:cs="Times New Roman"/>
          <w:sz w:val="24"/>
          <w:szCs w:val="24"/>
        </w:rPr>
        <w:t xml:space="preserve"> aumenta a concentração plasmática de fator de crescimento semelhante à insulina tipo 1 (IGF-1) e de </w:t>
      </w:r>
      <w:proofErr w:type="spellStart"/>
      <w:r w:rsidR="001236B6">
        <w:rPr>
          <w:rFonts w:ascii="Times New Roman" w:hAnsi="Times New Roman" w:cs="Times New Roman"/>
          <w:sz w:val="24"/>
          <w:szCs w:val="24"/>
        </w:rPr>
        <w:t>glicodelina</w:t>
      </w:r>
      <w:proofErr w:type="spellEnd"/>
      <w:r w:rsidR="001236B6">
        <w:rPr>
          <w:rFonts w:ascii="Times New Roman" w:hAnsi="Times New Roman" w:cs="Times New Roman"/>
          <w:sz w:val="24"/>
          <w:szCs w:val="24"/>
        </w:rPr>
        <w:t xml:space="preserve">, diminuindo a taxa de abortos espontâneos e auxiliando no controle da diabetes gestacional. </w:t>
      </w:r>
      <w:r w:rsidR="009D266F">
        <w:rPr>
          <w:rFonts w:ascii="Times New Roman" w:hAnsi="Times New Roman" w:cs="Times New Roman"/>
          <w:sz w:val="24"/>
          <w:szCs w:val="24"/>
        </w:rPr>
        <w:t xml:space="preserve">Os anticoncepcionais orais combinados, têm sido droga de escolha para o controle do </w:t>
      </w:r>
      <w:proofErr w:type="spellStart"/>
      <w:r w:rsidR="009D266F">
        <w:rPr>
          <w:rFonts w:ascii="Times New Roman" w:hAnsi="Times New Roman" w:cs="Times New Roman"/>
          <w:sz w:val="24"/>
          <w:szCs w:val="24"/>
        </w:rPr>
        <w:t>hiperandrogenismo</w:t>
      </w:r>
      <w:proofErr w:type="spellEnd"/>
      <w:r w:rsidR="009D266F">
        <w:rPr>
          <w:rFonts w:ascii="Times New Roman" w:hAnsi="Times New Roman" w:cs="Times New Roman"/>
          <w:sz w:val="24"/>
          <w:szCs w:val="24"/>
        </w:rPr>
        <w:t xml:space="preserve"> e das alterações dermatológicas, como acne e o </w:t>
      </w:r>
      <w:proofErr w:type="spellStart"/>
      <w:r w:rsidR="009D266F">
        <w:rPr>
          <w:rFonts w:ascii="Times New Roman" w:hAnsi="Times New Roman" w:cs="Times New Roman"/>
          <w:sz w:val="24"/>
          <w:szCs w:val="24"/>
        </w:rPr>
        <w:t>hirsutismo</w:t>
      </w:r>
      <w:proofErr w:type="spellEnd"/>
      <w:r w:rsidR="009D266F">
        <w:rPr>
          <w:rFonts w:ascii="Times New Roman" w:hAnsi="Times New Roman" w:cs="Times New Roman"/>
          <w:sz w:val="24"/>
          <w:szCs w:val="24"/>
        </w:rPr>
        <w:t>, além de reduzir o volume ovariano, com a diminuição do estroma pelo bloqueio das gonadotrofinas causado pelos anticoncepcionais.</w:t>
      </w:r>
      <w:r w:rsidR="0066094C">
        <w:rPr>
          <w:rFonts w:ascii="Times New Roman" w:hAnsi="Times New Roman" w:cs="Times New Roman"/>
          <w:sz w:val="24"/>
          <w:szCs w:val="24"/>
        </w:rPr>
        <w:t xml:space="preserve"> </w:t>
      </w:r>
      <w:r w:rsidR="0066094C" w:rsidRPr="0066094C">
        <w:rPr>
          <w:rFonts w:ascii="Times New Roman" w:hAnsi="Times New Roman" w:cs="Times New Roman"/>
          <w:b/>
          <w:sz w:val="24"/>
          <w:szCs w:val="24"/>
        </w:rPr>
        <w:t>Conclusão:</w:t>
      </w:r>
      <w:r w:rsidR="0066094C">
        <w:rPr>
          <w:rFonts w:ascii="Times New Roman" w:hAnsi="Times New Roman" w:cs="Times New Roman"/>
          <w:sz w:val="24"/>
          <w:szCs w:val="24"/>
        </w:rPr>
        <w:t xml:space="preserve"> A escolha terapêutica deve ser individualizada, visando atender as necessidades da paciente. A </w:t>
      </w:r>
      <w:proofErr w:type="spellStart"/>
      <w:r w:rsidR="0066094C">
        <w:rPr>
          <w:rFonts w:ascii="Times New Roman" w:hAnsi="Times New Roman" w:cs="Times New Roman"/>
          <w:sz w:val="24"/>
          <w:szCs w:val="24"/>
        </w:rPr>
        <w:t>metformina</w:t>
      </w:r>
      <w:proofErr w:type="spellEnd"/>
      <w:r w:rsidR="0066094C">
        <w:rPr>
          <w:rFonts w:ascii="Times New Roman" w:hAnsi="Times New Roman" w:cs="Times New Roman"/>
          <w:sz w:val="24"/>
          <w:szCs w:val="24"/>
        </w:rPr>
        <w:t xml:space="preserve"> apresenta vantagens em relação aos contraceptivos orais nos casos onde há o desejo de gestação, todavia, é necessário um empenho da paciente em aderir o tratamento farmacológico e não farmacológico.</w:t>
      </w:r>
    </w:p>
    <w:p w:rsidR="009F6A9D" w:rsidRDefault="001236B6" w:rsidP="00B16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92D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Metformina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42EA">
        <w:rPr>
          <w:rFonts w:ascii="Times New Roman" w:hAnsi="Times New Roman" w:cs="Times New Roman"/>
          <w:sz w:val="24"/>
          <w:szCs w:val="24"/>
        </w:rPr>
        <w:t>Síndrome do Ovário Policístico. Anticoncepcionais orais.</w:t>
      </w:r>
      <w:bookmarkStart w:id="0" w:name="_GoBack"/>
      <w:bookmarkEnd w:id="0"/>
    </w:p>
    <w:sectPr w:rsidR="009F6A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27"/>
    <w:rsid w:val="001236B6"/>
    <w:rsid w:val="002942EA"/>
    <w:rsid w:val="005E0B2E"/>
    <w:rsid w:val="0066094C"/>
    <w:rsid w:val="007D0527"/>
    <w:rsid w:val="008D3874"/>
    <w:rsid w:val="00903D47"/>
    <w:rsid w:val="009D266F"/>
    <w:rsid w:val="009F6A9D"/>
    <w:rsid w:val="00AF5421"/>
    <w:rsid w:val="00B16C27"/>
    <w:rsid w:val="00D5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930AD-FAE8-4C09-B351-FE56B5B3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Sarah Lima Campos</cp:lastModifiedBy>
  <cp:revision>2</cp:revision>
  <dcterms:created xsi:type="dcterms:W3CDTF">2020-09-22T20:37:00Z</dcterms:created>
  <dcterms:modified xsi:type="dcterms:W3CDTF">2020-09-22T20:37:00Z</dcterms:modified>
</cp:coreProperties>
</file>