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CE10" w14:textId="5CDA1882" w:rsidR="006A464C" w:rsidRPr="006A464C" w:rsidRDefault="006A464C" w:rsidP="00DE00DC">
      <w:pPr>
        <w:spacing w:before="226" w:line="24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A464C">
        <w:rPr>
          <w:rFonts w:ascii="Arial" w:eastAsia="Arial" w:hAnsi="Arial" w:cs="Arial"/>
          <w:b/>
          <w:bCs/>
          <w:sz w:val="28"/>
          <w:szCs w:val="28"/>
        </w:rPr>
        <w:t>BOLINHO DE LAGOSTA FUCIONA</w:t>
      </w:r>
      <w:r w:rsidR="00044FF7">
        <w:rPr>
          <w:rFonts w:ascii="Arial" w:eastAsia="Arial" w:hAnsi="Arial" w:cs="Arial"/>
          <w:b/>
          <w:bCs/>
          <w:sz w:val="28"/>
          <w:szCs w:val="28"/>
        </w:rPr>
        <w:t>L</w:t>
      </w:r>
      <w:r w:rsidRPr="006A464C">
        <w:rPr>
          <w:rFonts w:ascii="Arial" w:eastAsia="Arial" w:hAnsi="Arial" w:cs="Arial"/>
          <w:b/>
          <w:bCs/>
          <w:sz w:val="28"/>
          <w:szCs w:val="28"/>
        </w:rPr>
        <w:t xml:space="preserve"> A PARTIR DO RESÍDUO DE PROCESSAMENTO DA LAGOSTA: COMPOSIÇÃO MICROBIOL</w:t>
      </w:r>
      <w:r w:rsidR="00044FF7">
        <w:rPr>
          <w:rFonts w:ascii="Arial" w:eastAsia="Arial" w:hAnsi="Arial" w:cs="Arial"/>
          <w:b/>
          <w:bCs/>
          <w:sz w:val="28"/>
          <w:szCs w:val="28"/>
        </w:rPr>
        <w:t>Ó</w:t>
      </w:r>
      <w:r w:rsidRPr="006A464C">
        <w:rPr>
          <w:rFonts w:ascii="Arial" w:eastAsia="Arial" w:hAnsi="Arial" w:cs="Arial"/>
          <w:b/>
          <w:bCs/>
          <w:sz w:val="28"/>
          <w:szCs w:val="28"/>
        </w:rPr>
        <w:t>GICA E ANÁLISE SENSORIAL</w:t>
      </w:r>
    </w:p>
    <w:p w14:paraId="6AA407B0" w14:textId="6FDCEC37" w:rsidR="007E5E82" w:rsidRPr="001717ED" w:rsidRDefault="00600D51" w:rsidP="00DE00DC">
      <w:pPr>
        <w:spacing w:before="226" w:line="247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REIS</w:t>
      </w:r>
      <w:r w:rsidRPr="001717ED"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>C. S. R.</w:t>
      </w:r>
      <w:r w:rsidR="000720EB" w:rsidRPr="001717ED">
        <w:rPr>
          <w:rFonts w:ascii="Arial" w:hAnsi="Arial"/>
          <w:b/>
          <w:sz w:val="24"/>
          <w:szCs w:val="24"/>
        </w:rPr>
        <w:t xml:space="preserve">¹; </w:t>
      </w:r>
      <w:r>
        <w:rPr>
          <w:rFonts w:ascii="Arial" w:hAnsi="Arial"/>
          <w:b/>
          <w:sz w:val="24"/>
          <w:szCs w:val="24"/>
        </w:rPr>
        <w:t>PEREIRA</w:t>
      </w:r>
      <w:r w:rsidRPr="001717ED"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>D.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C.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S.</w:t>
      </w:r>
      <w:r w:rsidR="000720EB" w:rsidRPr="001717ED">
        <w:rPr>
          <w:rFonts w:ascii="Arial" w:hAnsi="Arial"/>
          <w:b/>
          <w:sz w:val="24"/>
          <w:szCs w:val="24"/>
        </w:rPr>
        <w:t xml:space="preserve">²; </w:t>
      </w:r>
      <w:r w:rsidR="00C65153">
        <w:rPr>
          <w:rFonts w:ascii="Arial" w:hAnsi="Arial"/>
          <w:b/>
          <w:sz w:val="24"/>
          <w:szCs w:val="24"/>
        </w:rPr>
        <w:t>MURICY</w:t>
      </w:r>
      <w:r w:rsidR="000720EB" w:rsidRPr="001717ED">
        <w:rPr>
          <w:rFonts w:ascii="Arial" w:hAnsi="Arial"/>
          <w:b/>
          <w:sz w:val="24"/>
          <w:szCs w:val="24"/>
        </w:rPr>
        <w:t>,</w:t>
      </w:r>
      <w:r w:rsidR="00C65153">
        <w:rPr>
          <w:rFonts w:ascii="Arial" w:hAnsi="Arial"/>
          <w:b/>
          <w:sz w:val="24"/>
          <w:szCs w:val="24"/>
        </w:rPr>
        <w:t xml:space="preserve"> M. A. L. C.</w:t>
      </w:r>
      <w:r w:rsidR="000720EB" w:rsidRPr="001717ED">
        <w:rPr>
          <w:rFonts w:ascii="Arial" w:hAnsi="Arial"/>
          <w:b/>
          <w:sz w:val="24"/>
          <w:szCs w:val="24"/>
        </w:rPr>
        <w:t xml:space="preserve">³ </w:t>
      </w:r>
      <w:r w:rsidR="00C65153" w:rsidRPr="00C65153">
        <w:rPr>
          <w:rFonts w:ascii="Arial" w:hAnsi="Arial"/>
          <w:b/>
          <w:sz w:val="24"/>
          <w:szCs w:val="24"/>
          <w:lang w:val="pt-BR"/>
        </w:rPr>
        <w:t>EVANGELISTA-BARRETO</w:t>
      </w:r>
      <w:r w:rsidR="000720EB" w:rsidRPr="001717ED">
        <w:rPr>
          <w:rFonts w:ascii="Arial" w:hAnsi="Arial"/>
          <w:b/>
          <w:sz w:val="24"/>
          <w:szCs w:val="24"/>
        </w:rPr>
        <w:t xml:space="preserve">, </w:t>
      </w:r>
      <w:r w:rsidR="00C65153">
        <w:rPr>
          <w:rFonts w:ascii="Arial" w:hAnsi="Arial"/>
          <w:b/>
          <w:sz w:val="24"/>
          <w:szCs w:val="24"/>
        </w:rPr>
        <w:t>N. S.</w:t>
      </w:r>
      <w:r w:rsidR="000720EB" w:rsidRPr="001717ED">
        <w:rPr>
          <w:rFonts w:ascii="Arial" w:hAnsi="Arial"/>
          <w:b/>
          <w:sz w:val="24"/>
          <w:szCs w:val="24"/>
          <w:vertAlign w:val="superscript"/>
        </w:rPr>
        <w:t>4</w:t>
      </w:r>
      <w:r w:rsidR="000720EB" w:rsidRPr="001717ED">
        <w:rPr>
          <w:rFonts w:ascii="Arial" w:hAnsi="Arial"/>
          <w:b/>
          <w:sz w:val="24"/>
          <w:szCs w:val="24"/>
        </w:rPr>
        <w:t xml:space="preserve"> </w:t>
      </w:r>
    </w:p>
    <w:p w14:paraId="5BA06C40" w14:textId="75F8DE61" w:rsidR="007E5E82" w:rsidRPr="00C65153" w:rsidRDefault="00044FF7" w:rsidP="00DE00DC">
      <w:pPr>
        <w:spacing w:before="149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position w:val="6"/>
          <w:sz w:val="20"/>
          <w:szCs w:val="20"/>
        </w:rPr>
        <w:t>1</w:t>
      </w:r>
      <w:r w:rsidR="00600D51">
        <w:rPr>
          <w:rFonts w:ascii="Arial" w:hAnsi="Arial" w:cs="Arial"/>
          <w:sz w:val="20"/>
          <w:szCs w:val="20"/>
        </w:rPr>
        <w:t>claritasreis@gmail.com</w:t>
      </w:r>
      <w:r w:rsidR="00600D51" w:rsidRPr="001717ED">
        <w:rPr>
          <w:rFonts w:ascii="Arial" w:hAnsi="Arial" w:cs="Arial"/>
          <w:sz w:val="20"/>
          <w:szCs w:val="20"/>
        </w:rPr>
        <w:t>,</w:t>
      </w:r>
      <w:r w:rsidR="00600D51"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600D51">
        <w:rPr>
          <w:rFonts w:ascii="Arial" w:hAnsi="Arial" w:cs="Arial"/>
          <w:spacing w:val="-2"/>
          <w:sz w:val="20"/>
          <w:szCs w:val="20"/>
        </w:rPr>
        <w:t>Programa de Pós-graduação em Zootecnia - UFBA</w:t>
      </w:r>
      <w:r w:rsidR="00600D51" w:rsidRPr="001717ED">
        <w:rPr>
          <w:rFonts w:ascii="Arial" w:hAnsi="Arial" w:cs="Arial"/>
          <w:sz w:val="20"/>
          <w:szCs w:val="20"/>
        </w:rPr>
        <w:t>,</w:t>
      </w:r>
      <w:r w:rsidR="00600D51"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600D51">
        <w:rPr>
          <w:rFonts w:ascii="Arial" w:hAnsi="Arial" w:cs="Arial"/>
          <w:sz w:val="20"/>
          <w:szCs w:val="20"/>
        </w:rPr>
        <w:t>doutoranda</w:t>
      </w:r>
      <w:r w:rsidR="00600D51" w:rsidRPr="001717ED">
        <w:rPr>
          <w:rFonts w:ascii="Arial" w:hAnsi="Arial" w:cs="Arial"/>
          <w:sz w:val="20"/>
          <w:szCs w:val="20"/>
        </w:rPr>
        <w:t>;</w:t>
      </w:r>
      <w:r w:rsidR="00600D51"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2</w:t>
      </w:r>
      <w:r w:rsidR="00600D51" w:rsidRPr="00DF48B5">
        <w:rPr>
          <w:rFonts w:ascii="Arial" w:hAnsi="Arial" w:cs="Arial"/>
          <w:sz w:val="20"/>
          <w:szCs w:val="20"/>
        </w:rPr>
        <w:t>deise@aluno.ufrb.edu.br</w:t>
      </w:r>
      <w:r w:rsidR="00600D51" w:rsidRPr="00225C1D">
        <w:rPr>
          <w:rFonts w:ascii="Arial" w:hAnsi="Arial" w:cs="Arial"/>
          <w:sz w:val="20"/>
          <w:szCs w:val="20"/>
        </w:rPr>
        <w:t xml:space="preserve">, </w:t>
      </w:r>
      <w:r w:rsidR="00600D51" w:rsidRPr="00C65153">
        <w:rPr>
          <w:rFonts w:ascii="Arial" w:hAnsi="Arial" w:cs="Arial"/>
          <w:sz w:val="20"/>
          <w:szCs w:val="20"/>
        </w:rPr>
        <w:t>Universidade Federal do Recôncavo da Bahia</w:t>
      </w:r>
      <w:r w:rsidR="00600D51">
        <w:rPr>
          <w:rFonts w:ascii="Arial" w:hAnsi="Arial" w:cs="Arial"/>
          <w:sz w:val="20"/>
          <w:szCs w:val="20"/>
        </w:rPr>
        <w:t xml:space="preserve"> - UFRB, Engenheira de pesca</w:t>
      </w:r>
      <w:r w:rsidR="00600D51" w:rsidRPr="001717ED">
        <w:rPr>
          <w:rFonts w:ascii="Arial" w:hAnsi="Arial" w:cs="Arial"/>
          <w:sz w:val="20"/>
          <w:szCs w:val="20"/>
        </w:rPr>
        <w:t>;</w:t>
      </w:r>
      <w:r w:rsidR="00600D51">
        <w:rPr>
          <w:rFonts w:ascii="Arial" w:hAnsi="Arial" w:cs="Arial"/>
          <w:sz w:val="20"/>
          <w:szCs w:val="20"/>
        </w:rPr>
        <w:t xml:space="preserve">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3</w:t>
      </w:r>
      <w:r w:rsidR="00C65153" w:rsidRPr="00C65153">
        <w:rPr>
          <w:rFonts w:ascii="Arial" w:hAnsi="Arial" w:cs="Arial"/>
          <w:sz w:val="20"/>
          <w:szCs w:val="20"/>
          <w:lang w:val="pt-BR"/>
        </w:rPr>
        <w:t>mi-leanne@hotmail.com</w:t>
      </w:r>
      <w:r w:rsidR="000720EB" w:rsidRPr="001717ED">
        <w:rPr>
          <w:rFonts w:ascii="Arial" w:hAnsi="Arial" w:cs="Arial"/>
          <w:sz w:val="20"/>
          <w:szCs w:val="20"/>
        </w:rPr>
        <w:t>,</w:t>
      </w:r>
      <w:r w:rsidR="000720EB"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C65153" w:rsidRPr="00225C1D">
        <w:rPr>
          <w:rFonts w:ascii="Arial" w:hAnsi="Arial" w:cs="Arial"/>
          <w:sz w:val="20"/>
          <w:szCs w:val="20"/>
        </w:rPr>
        <w:t xml:space="preserve">Programa de Pós-Graduação Integrado em Zootecnia </w:t>
      </w:r>
      <w:r w:rsidR="00C65153">
        <w:rPr>
          <w:rFonts w:ascii="Arial" w:hAnsi="Arial" w:cs="Arial"/>
          <w:sz w:val="20"/>
          <w:szCs w:val="20"/>
        </w:rPr>
        <w:t xml:space="preserve">- </w:t>
      </w:r>
      <w:r w:rsidR="00C65153" w:rsidRPr="00225C1D">
        <w:rPr>
          <w:rFonts w:ascii="Arial" w:hAnsi="Arial" w:cs="Arial"/>
          <w:sz w:val="20"/>
          <w:szCs w:val="20"/>
        </w:rPr>
        <w:t>UFRB/UFS</w:t>
      </w:r>
      <w:r w:rsidR="00C65153" w:rsidRPr="001717ED">
        <w:rPr>
          <w:rFonts w:ascii="Arial" w:hAnsi="Arial" w:cs="Arial"/>
          <w:sz w:val="20"/>
          <w:szCs w:val="20"/>
        </w:rPr>
        <w:t xml:space="preserve">, </w:t>
      </w:r>
      <w:r w:rsidR="00C65153" w:rsidRPr="00225C1D">
        <w:rPr>
          <w:rFonts w:ascii="Arial" w:hAnsi="Arial" w:cs="Arial"/>
          <w:sz w:val="20"/>
          <w:szCs w:val="20"/>
        </w:rPr>
        <w:t>Mestranda</w:t>
      </w:r>
      <w:r w:rsidR="000720EB" w:rsidRPr="001717ED">
        <w:rPr>
          <w:rFonts w:ascii="Arial" w:hAnsi="Arial" w:cs="Arial"/>
          <w:sz w:val="20"/>
          <w:szCs w:val="20"/>
        </w:rPr>
        <w:t>;</w:t>
      </w:r>
      <w:r w:rsidR="000720EB" w:rsidRPr="001717ED">
        <w:rPr>
          <w:rFonts w:ascii="Arial" w:hAnsi="Arial" w:cs="Arial"/>
          <w:spacing w:val="-3"/>
          <w:sz w:val="20"/>
          <w:szCs w:val="20"/>
        </w:rPr>
        <w:t xml:space="preserve">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4</w:t>
      </w:r>
      <w:r w:rsidR="00C65153" w:rsidRPr="00C65153">
        <w:rPr>
          <w:rFonts w:ascii="Arial" w:hAnsi="Arial" w:cs="Arial"/>
          <w:sz w:val="20"/>
          <w:szCs w:val="20"/>
        </w:rPr>
        <w:t>nsevangelista@ufrb.edu.br, Universidade Federal do Recôncavo da Bahia,</w:t>
      </w:r>
      <w:r w:rsidR="00C651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docente.</w:t>
      </w:r>
      <w:r w:rsidR="000720EB" w:rsidRPr="001717ED">
        <w:rPr>
          <w:rFonts w:ascii="Arial" w:hAnsi="Arial" w:cs="Arial"/>
          <w:sz w:val="20"/>
          <w:szCs w:val="20"/>
        </w:rPr>
        <w:t xml:space="preserve"> </w:t>
      </w:r>
    </w:p>
    <w:p w14:paraId="3F967006" w14:textId="1094F34A" w:rsidR="007E5E82" w:rsidRPr="00775537" w:rsidRDefault="00C65153" w:rsidP="00DE00DC">
      <w:pPr>
        <w:pStyle w:val="Corpodetexto"/>
        <w:spacing w:before="2"/>
        <w:ind w:left="0"/>
        <w:jc w:val="center"/>
      </w:pPr>
      <w:r>
        <w:rPr>
          <w:color w:val="000099"/>
        </w:rPr>
        <w:t xml:space="preserve"> </w:t>
      </w:r>
    </w:p>
    <w:p w14:paraId="095460E3" w14:textId="77777777" w:rsidR="007E5E82" w:rsidRPr="001717ED" w:rsidRDefault="000720EB" w:rsidP="00911231">
      <w:pPr>
        <w:pStyle w:val="Ttulo1"/>
        <w:ind w:left="0"/>
        <w:jc w:val="both"/>
      </w:pPr>
      <w:r w:rsidRPr="001717ED">
        <w:t>Resumo</w:t>
      </w:r>
    </w:p>
    <w:p w14:paraId="6F34E8C1" w14:textId="28E0C9D0" w:rsidR="00E857DD" w:rsidRDefault="002F6437" w:rsidP="00911231">
      <w:pPr>
        <w:pStyle w:val="Corpodetexto"/>
        <w:ind w:left="0"/>
        <w:rPr>
          <w:rFonts w:ascii="Arial" w:hAnsi="Arial" w:cs="Arial"/>
        </w:rPr>
      </w:pPr>
      <w:r w:rsidRPr="002F6437">
        <w:rPr>
          <w:rFonts w:ascii="Arial" w:hAnsi="Arial" w:cs="Arial"/>
        </w:rPr>
        <w:t xml:space="preserve">Sustentabilidade e inovação na indústria alimentícia são cada vez mais relevantes em um contexto global </w:t>
      </w:r>
      <w:r w:rsidR="00044FF7">
        <w:rPr>
          <w:rFonts w:ascii="Arial" w:hAnsi="Arial" w:cs="Arial"/>
        </w:rPr>
        <w:t xml:space="preserve">pois </w:t>
      </w:r>
      <w:r w:rsidRPr="002F6437">
        <w:rPr>
          <w:rFonts w:ascii="Arial" w:hAnsi="Arial" w:cs="Arial"/>
        </w:rPr>
        <w:t>visa</w:t>
      </w:r>
      <w:r w:rsidR="00044FF7">
        <w:rPr>
          <w:rFonts w:ascii="Arial" w:hAnsi="Arial" w:cs="Arial"/>
        </w:rPr>
        <w:t>m</w:t>
      </w:r>
      <w:r w:rsidRPr="002F6437">
        <w:rPr>
          <w:rFonts w:ascii="Arial" w:hAnsi="Arial" w:cs="Arial"/>
        </w:rPr>
        <w:t xml:space="preserve"> reduzir o desperdício e fornecer alternativas nutritivas e saudáveis. Este estudo propõe a </w:t>
      </w:r>
      <w:r w:rsidR="00044FF7">
        <w:rPr>
          <w:rFonts w:ascii="Arial" w:hAnsi="Arial" w:cs="Arial"/>
        </w:rPr>
        <w:t xml:space="preserve">elaboração </w:t>
      </w:r>
      <w:r w:rsidRPr="002F6437">
        <w:rPr>
          <w:rFonts w:ascii="Arial" w:hAnsi="Arial" w:cs="Arial"/>
        </w:rPr>
        <w:t xml:space="preserve">de bolinhos de lagosta a partir de resíduos do processamento da lagosta, visando </w:t>
      </w:r>
      <w:r w:rsidR="00044FF7">
        <w:rPr>
          <w:rFonts w:ascii="Arial" w:hAnsi="Arial" w:cs="Arial"/>
        </w:rPr>
        <w:t xml:space="preserve">tanto </w:t>
      </w:r>
      <w:r w:rsidRPr="002F6437">
        <w:rPr>
          <w:rFonts w:ascii="Arial" w:hAnsi="Arial" w:cs="Arial"/>
        </w:rPr>
        <w:t>agregar valor a es</w:t>
      </w:r>
      <w:r w:rsidR="00044FF7">
        <w:rPr>
          <w:rFonts w:ascii="Arial" w:hAnsi="Arial" w:cs="Arial"/>
        </w:rPr>
        <w:t>te</w:t>
      </w:r>
      <w:r w:rsidRPr="002F6437">
        <w:rPr>
          <w:rFonts w:ascii="Arial" w:hAnsi="Arial" w:cs="Arial"/>
        </w:rPr>
        <w:t xml:space="preserve"> res</w:t>
      </w:r>
      <w:r w:rsidR="00044FF7">
        <w:rPr>
          <w:rFonts w:ascii="Arial" w:hAnsi="Arial" w:cs="Arial"/>
        </w:rPr>
        <w:t>í</w:t>
      </w:r>
      <w:r w:rsidRPr="002F6437">
        <w:rPr>
          <w:rFonts w:ascii="Arial" w:hAnsi="Arial" w:cs="Arial"/>
        </w:rPr>
        <w:t>du</w:t>
      </w:r>
      <w:r w:rsidR="00044FF7">
        <w:rPr>
          <w:rFonts w:ascii="Arial" w:hAnsi="Arial" w:cs="Arial"/>
        </w:rPr>
        <w:t>o</w:t>
      </w:r>
      <w:r w:rsidRPr="002F6437">
        <w:rPr>
          <w:rFonts w:ascii="Arial" w:hAnsi="Arial" w:cs="Arial"/>
        </w:rPr>
        <w:t xml:space="preserve"> </w:t>
      </w:r>
      <w:r w:rsidR="00044FF7">
        <w:rPr>
          <w:rFonts w:ascii="Arial" w:hAnsi="Arial" w:cs="Arial"/>
        </w:rPr>
        <w:t xml:space="preserve">como elaborar um </w:t>
      </w:r>
      <w:r w:rsidRPr="002F6437">
        <w:rPr>
          <w:rFonts w:ascii="Arial" w:hAnsi="Arial" w:cs="Arial"/>
        </w:rPr>
        <w:t xml:space="preserve">alimento enriquecido com ingredientes funcionais, sem glúten. Foram desenvolvidas duas formulações: F1 (aipim, quitosana, própolis, hidrolisado de levedura e farinha de trigo) e F2 (biomassa de banana verde, quitosana, própolis, hidrolisado de levedura e maca peruana). A inocuidade dos bolinhos foi verificada por meio da análise de coliformes totais, </w:t>
      </w:r>
      <w:r w:rsidRPr="00F730C7">
        <w:rPr>
          <w:rFonts w:ascii="Arial" w:hAnsi="Arial" w:cs="Arial"/>
          <w:i/>
          <w:iCs/>
        </w:rPr>
        <w:t>E. coli</w:t>
      </w:r>
      <w:r w:rsidRPr="002F6437">
        <w:rPr>
          <w:rFonts w:ascii="Arial" w:hAnsi="Arial" w:cs="Arial"/>
        </w:rPr>
        <w:t xml:space="preserve">, bactérias mesófilas, estafilococos coagulase positiva e presença de </w:t>
      </w:r>
      <w:r w:rsidRPr="00F730C7">
        <w:rPr>
          <w:rFonts w:ascii="Arial" w:hAnsi="Arial" w:cs="Arial"/>
          <w:i/>
          <w:iCs/>
        </w:rPr>
        <w:t>Salmonella</w:t>
      </w:r>
      <w:r w:rsidRPr="002F6437">
        <w:rPr>
          <w:rFonts w:ascii="Arial" w:hAnsi="Arial" w:cs="Arial"/>
        </w:rPr>
        <w:t xml:space="preserve">. </w:t>
      </w:r>
      <w:r w:rsidR="00E86304" w:rsidRPr="002F6437">
        <w:rPr>
          <w:rFonts w:ascii="Arial" w:hAnsi="Arial" w:cs="Arial"/>
        </w:rPr>
        <w:t xml:space="preserve">A análise sensorial foi realizada com 65 provadores não treinados, utilizando escala hedônica de nove pontos para avaliar </w:t>
      </w:r>
      <w:r w:rsidR="00113422">
        <w:rPr>
          <w:rFonts w:ascii="Arial" w:hAnsi="Arial" w:cs="Arial"/>
        </w:rPr>
        <w:t>os</w:t>
      </w:r>
      <w:r w:rsidR="0028283D">
        <w:rPr>
          <w:rFonts w:ascii="Arial" w:hAnsi="Arial" w:cs="Arial"/>
        </w:rPr>
        <w:t xml:space="preserve"> parâmetros </w:t>
      </w:r>
      <w:r w:rsidR="00113422">
        <w:rPr>
          <w:rFonts w:ascii="Arial" w:hAnsi="Arial" w:cs="Arial"/>
        </w:rPr>
        <w:t xml:space="preserve">de </w:t>
      </w:r>
      <w:r w:rsidR="00E86304" w:rsidRPr="002F6437">
        <w:rPr>
          <w:rFonts w:ascii="Arial" w:hAnsi="Arial" w:cs="Arial"/>
        </w:rPr>
        <w:t xml:space="preserve">cor, aroma, sabor, textura e aceitação global, </w:t>
      </w:r>
      <w:r w:rsidR="0028283D">
        <w:rPr>
          <w:rFonts w:ascii="Arial" w:hAnsi="Arial" w:cs="Arial"/>
        </w:rPr>
        <w:t xml:space="preserve">além do </w:t>
      </w:r>
      <w:r w:rsidR="00E86304" w:rsidRPr="002F6437">
        <w:rPr>
          <w:rFonts w:ascii="Arial" w:hAnsi="Arial" w:cs="Arial"/>
        </w:rPr>
        <w:t>c</w:t>
      </w:r>
      <w:r w:rsidR="0028283D">
        <w:rPr>
          <w:rFonts w:ascii="Arial" w:hAnsi="Arial" w:cs="Arial"/>
        </w:rPr>
        <w:t>á</w:t>
      </w:r>
      <w:r w:rsidR="00E86304" w:rsidRPr="002F6437">
        <w:rPr>
          <w:rFonts w:ascii="Arial" w:hAnsi="Arial" w:cs="Arial"/>
        </w:rPr>
        <w:t>lcul</w:t>
      </w:r>
      <w:r w:rsidR="0028283D">
        <w:rPr>
          <w:rFonts w:ascii="Arial" w:hAnsi="Arial" w:cs="Arial"/>
        </w:rPr>
        <w:t>o</w:t>
      </w:r>
      <w:r w:rsidR="00E86304" w:rsidRPr="002F6437">
        <w:rPr>
          <w:rFonts w:ascii="Arial" w:hAnsi="Arial" w:cs="Arial"/>
        </w:rPr>
        <w:t xml:space="preserve"> </w:t>
      </w:r>
      <w:r w:rsidR="0028283D">
        <w:rPr>
          <w:rFonts w:ascii="Arial" w:hAnsi="Arial" w:cs="Arial"/>
        </w:rPr>
        <w:t>d</w:t>
      </w:r>
      <w:r w:rsidR="00E86304" w:rsidRPr="002F6437">
        <w:rPr>
          <w:rFonts w:ascii="Arial" w:hAnsi="Arial" w:cs="Arial"/>
        </w:rPr>
        <w:t>o Índice de Aceitação (IA</w:t>
      </w:r>
      <w:r w:rsidR="0028283D">
        <w:rPr>
          <w:rFonts w:ascii="Arial" w:hAnsi="Arial" w:cs="Arial"/>
        </w:rPr>
        <w:t>%</w:t>
      </w:r>
      <w:r w:rsidR="00E86304" w:rsidRPr="002F6437">
        <w:rPr>
          <w:rFonts w:ascii="Arial" w:hAnsi="Arial" w:cs="Arial"/>
        </w:rPr>
        <w:t>).</w:t>
      </w:r>
      <w:r w:rsidRPr="002F6437">
        <w:rPr>
          <w:rFonts w:ascii="Arial" w:hAnsi="Arial" w:cs="Arial"/>
        </w:rPr>
        <w:t xml:space="preserve"> </w:t>
      </w:r>
      <w:r w:rsidR="00F82013">
        <w:rPr>
          <w:rFonts w:ascii="Arial" w:hAnsi="Arial" w:cs="Arial"/>
        </w:rPr>
        <w:t xml:space="preserve">Ambas as </w:t>
      </w:r>
      <w:r w:rsidRPr="002F6437">
        <w:rPr>
          <w:rFonts w:ascii="Arial" w:hAnsi="Arial" w:cs="Arial"/>
        </w:rPr>
        <w:t>formulações se mantiveram dentro dos limites regulatórios</w:t>
      </w:r>
      <w:r w:rsidR="00F82013">
        <w:rPr>
          <w:rFonts w:ascii="Arial" w:hAnsi="Arial" w:cs="Arial"/>
        </w:rPr>
        <w:t xml:space="preserve"> para os micro-organismos estudados</w:t>
      </w:r>
      <w:r w:rsidRPr="002F6437">
        <w:rPr>
          <w:rFonts w:ascii="Arial" w:hAnsi="Arial" w:cs="Arial"/>
        </w:rPr>
        <w:t>, evidenciando a</w:t>
      </w:r>
      <w:r w:rsidR="00F82013">
        <w:rPr>
          <w:rFonts w:ascii="Arial" w:hAnsi="Arial" w:cs="Arial"/>
        </w:rPr>
        <w:t>s boas práticas de fabricação durante o manuseio dos ingredientes. Para o teste de aceitação sensorial a f</w:t>
      </w:r>
      <w:r w:rsidR="007068C4" w:rsidRPr="007068C4">
        <w:rPr>
          <w:rFonts w:ascii="Arial" w:hAnsi="Arial" w:cs="Arial"/>
        </w:rPr>
        <w:t>ormulação F1</w:t>
      </w:r>
      <w:r w:rsidR="00F82013">
        <w:rPr>
          <w:rFonts w:ascii="Arial" w:hAnsi="Arial" w:cs="Arial"/>
        </w:rPr>
        <w:t xml:space="preserve"> com aipim apresentou </w:t>
      </w:r>
      <w:r w:rsidR="00CF4CED">
        <w:rPr>
          <w:rFonts w:ascii="Arial" w:hAnsi="Arial" w:cs="Arial"/>
        </w:rPr>
        <w:t xml:space="preserve">maior </w:t>
      </w:r>
      <w:r w:rsidR="00CF4CED" w:rsidRPr="00346FFD">
        <w:rPr>
          <w:rFonts w:ascii="Arial" w:hAnsi="Arial" w:cs="Arial"/>
        </w:rPr>
        <w:t xml:space="preserve">aceitação </w:t>
      </w:r>
      <w:r w:rsidR="00CF4CED">
        <w:rPr>
          <w:rFonts w:ascii="Arial" w:hAnsi="Arial" w:cs="Arial"/>
        </w:rPr>
        <w:t>para o atributo sabor (</w:t>
      </w:r>
      <w:r w:rsidR="00CF4CED" w:rsidRPr="00346FFD">
        <w:rPr>
          <w:rFonts w:ascii="Arial" w:hAnsi="Arial" w:cs="Arial"/>
        </w:rPr>
        <w:t>93,85%</w:t>
      </w:r>
      <w:r w:rsidR="00CF4CED">
        <w:rPr>
          <w:rFonts w:ascii="Arial" w:hAnsi="Arial" w:cs="Arial"/>
        </w:rPr>
        <w:t xml:space="preserve">) </w:t>
      </w:r>
      <w:r w:rsidR="00346FFD" w:rsidRPr="00346FFD">
        <w:rPr>
          <w:rFonts w:ascii="Arial" w:hAnsi="Arial" w:cs="Arial"/>
        </w:rPr>
        <w:t xml:space="preserve">e aceitação global (95,38%), </w:t>
      </w:r>
      <w:r w:rsidR="00CF4CED">
        <w:rPr>
          <w:rFonts w:ascii="Arial" w:hAnsi="Arial" w:cs="Arial"/>
        </w:rPr>
        <w:t xml:space="preserve">quando </w:t>
      </w:r>
      <w:r w:rsidR="00346FFD" w:rsidRPr="00346FFD">
        <w:rPr>
          <w:rFonts w:ascii="Arial" w:hAnsi="Arial" w:cs="Arial"/>
        </w:rPr>
        <w:t xml:space="preserve">comparada </w:t>
      </w:r>
      <w:r w:rsidR="00E552F2">
        <w:rPr>
          <w:rFonts w:ascii="Arial" w:hAnsi="Arial" w:cs="Arial"/>
        </w:rPr>
        <w:t>à</w:t>
      </w:r>
      <w:r w:rsidR="00CF4CED">
        <w:rPr>
          <w:rFonts w:ascii="Arial" w:hAnsi="Arial" w:cs="Arial"/>
        </w:rPr>
        <w:t xml:space="preserve"> formulação </w:t>
      </w:r>
      <w:r w:rsidR="00346FFD" w:rsidRPr="00346FFD">
        <w:rPr>
          <w:rFonts w:ascii="Arial" w:hAnsi="Arial" w:cs="Arial"/>
        </w:rPr>
        <w:t xml:space="preserve">F2, que obteve 80,00% em ambos os </w:t>
      </w:r>
      <w:r w:rsidR="00F37812">
        <w:rPr>
          <w:rFonts w:ascii="Arial" w:hAnsi="Arial" w:cs="Arial"/>
        </w:rPr>
        <w:t>atributos</w:t>
      </w:r>
      <w:r w:rsidR="00CF4CED">
        <w:rPr>
          <w:rFonts w:ascii="Arial" w:hAnsi="Arial" w:cs="Arial"/>
        </w:rPr>
        <w:t xml:space="preserve">. </w:t>
      </w:r>
      <w:r w:rsidR="00FB1C06">
        <w:rPr>
          <w:rFonts w:ascii="Arial" w:hAnsi="Arial" w:cs="Arial"/>
        </w:rPr>
        <w:t xml:space="preserve">No entanto, os dois produtos foram bem aceitos, com </w:t>
      </w:r>
      <w:r w:rsidR="00346FFD" w:rsidRPr="00346FFD">
        <w:rPr>
          <w:rFonts w:ascii="Arial" w:hAnsi="Arial" w:cs="Arial"/>
        </w:rPr>
        <w:t>IA</w:t>
      </w:r>
      <w:r w:rsidR="00FB1C06">
        <w:rPr>
          <w:rFonts w:ascii="Arial" w:hAnsi="Arial" w:cs="Arial"/>
        </w:rPr>
        <w:t>%</w:t>
      </w:r>
      <w:r w:rsidR="00346FFD" w:rsidRPr="00346FFD">
        <w:rPr>
          <w:rFonts w:ascii="Arial" w:hAnsi="Arial" w:cs="Arial"/>
        </w:rPr>
        <w:t xml:space="preserve"> </w:t>
      </w:r>
      <w:r w:rsidR="00FB1C06">
        <w:rPr>
          <w:rFonts w:ascii="Arial" w:hAnsi="Arial" w:cs="Arial"/>
        </w:rPr>
        <w:t>acima de 70% (</w:t>
      </w:r>
      <w:r w:rsidR="00346FFD" w:rsidRPr="00346FFD">
        <w:rPr>
          <w:rFonts w:ascii="Arial" w:hAnsi="Arial" w:cs="Arial"/>
        </w:rPr>
        <w:t>83%</w:t>
      </w:r>
      <w:r w:rsidR="00FB1C06">
        <w:rPr>
          <w:rFonts w:ascii="Arial" w:hAnsi="Arial" w:cs="Arial"/>
        </w:rPr>
        <w:t xml:space="preserve"> para F1 e 78% para F2)</w:t>
      </w:r>
      <w:r w:rsidR="00346FFD" w:rsidRPr="00346FFD">
        <w:rPr>
          <w:rFonts w:ascii="Arial" w:hAnsi="Arial" w:cs="Arial"/>
        </w:rPr>
        <w:t xml:space="preserve">. </w:t>
      </w:r>
      <w:r w:rsidR="00FB1C06">
        <w:rPr>
          <w:rFonts w:ascii="Arial" w:hAnsi="Arial" w:cs="Arial"/>
        </w:rPr>
        <w:t>A</w:t>
      </w:r>
      <w:r w:rsidR="00346FFD" w:rsidRPr="00346FFD">
        <w:rPr>
          <w:rFonts w:ascii="Arial" w:hAnsi="Arial" w:cs="Arial"/>
        </w:rPr>
        <w:t xml:space="preserve">s formulações de bolinho de lagosta </w:t>
      </w:r>
      <w:r w:rsidR="001E7D75">
        <w:rPr>
          <w:rFonts w:ascii="Arial" w:hAnsi="Arial" w:cs="Arial"/>
        </w:rPr>
        <w:t>apresentam potencial de comercialização</w:t>
      </w:r>
      <w:r w:rsidR="00346FFD" w:rsidRPr="00346FFD">
        <w:rPr>
          <w:rFonts w:ascii="Arial" w:hAnsi="Arial" w:cs="Arial"/>
        </w:rPr>
        <w:t xml:space="preserve">, com a </w:t>
      </w:r>
      <w:r w:rsidR="001E7D75">
        <w:rPr>
          <w:rFonts w:ascii="Arial" w:hAnsi="Arial" w:cs="Arial"/>
        </w:rPr>
        <w:t xml:space="preserve">formulação </w:t>
      </w:r>
      <w:r w:rsidR="00346FFD" w:rsidRPr="00346FFD">
        <w:rPr>
          <w:rFonts w:ascii="Arial" w:hAnsi="Arial" w:cs="Arial"/>
        </w:rPr>
        <w:t xml:space="preserve">F1 </w:t>
      </w:r>
      <w:r w:rsidR="001E7D75">
        <w:rPr>
          <w:rFonts w:ascii="Arial" w:hAnsi="Arial" w:cs="Arial"/>
        </w:rPr>
        <w:t xml:space="preserve">se destacando pelo </w:t>
      </w:r>
      <w:r w:rsidR="00346FFD" w:rsidRPr="00346FFD">
        <w:rPr>
          <w:rFonts w:ascii="Arial" w:hAnsi="Arial" w:cs="Arial"/>
        </w:rPr>
        <w:t>sabor e a F2 atendendo a</w:t>
      </w:r>
      <w:r w:rsidR="001E7D75">
        <w:rPr>
          <w:rFonts w:ascii="Arial" w:hAnsi="Arial" w:cs="Arial"/>
        </w:rPr>
        <w:t>s</w:t>
      </w:r>
      <w:r w:rsidR="00346FFD" w:rsidRPr="00346FFD">
        <w:rPr>
          <w:rFonts w:ascii="Arial" w:hAnsi="Arial" w:cs="Arial"/>
        </w:rPr>
        <w:t xml:space="preserve"> necessidades de consumidores com intolerância ao glúten. Este estudo </w:t>
      </w:r>
      <w:r w:rsidR="001E7D75">
        <w:rPr>
          <w:rFonts w:ascii="Arial" w:hAnsi="Arial" w:cs="Arial"/>
        </w:rPr>
        <w:t xml:space="preserve">vem a </w:t>
      </w:r>
      <w:r w:rsidR="00346FFD" w:rsidRPr="00346FFD">
        <w:rPr>
          <w:rFonts w:ascii="Arial" w:hAnsi="Arial" w:cs="Arial"/>
        </w:rPr>
        <w:t>contribui</w:t>
      </w:r>
      <w:r w:rsidR="001E7D75">
        <w:rPr>
          <w:rFonts w:ascii="Arial" w:hAnsi="Arial" w:cs="Arial"/>
        </w:rPr>
        <w:t>r</w:t>
      </w:r>
      <w:r w:rsidR="00346FFD" w:rsidRPr="00346FFD">
        <w:rPr>
          <w:rFonts w:ascii="Arial" w:hAnsi="Arial" w:cs="Arial"/>
        </w:rPr>
        <w:t xml:space="preserve"> para o desenvolvimento de alimentos funcionais, </w:t>
      </w:r>
      <w:r w:rsidR="004B0D28">
        <w:rPr>
          <w:rFonts w:ascii="Arial" w:hAnsi="Arial" w:cs="Arial"/>
        </w:rPr>
        <w:t xml:space="preserve">além de </w:t>
      </w:r>
      <w:r w:rsidR="00346FFD" w:rsidRPr="00346FFD">
        <w:rPr>
          <w:rFonts w:ascii="Arial" w:hAnsi="Arial" w:cs="Arial"/>
        </w:rPr>
        <w:t>promove</w:t>
      </w:r>
      <w:r w:rsidR="004B0D28">
        <w:rPr>
          <w:rFonts w:ascii="Arial" w:hAnsi="Arial" w:cs="Arial"/>
        </w:rPr>
        <w:t>r</w:t>
      </w:r>
      <w:r w:rsidR="00346FFD" w:rsidRPr="00346FFD">
        <w:rPr>
          <w:rFonts w:ascii="Arial" w:hAnsi="Arial" w:cs="Arial"/>
        </w:rPr>
        <w:t xml:space="preserve"> a sustentabilidade e inovação ao transformar resíduos em opções nutritivas e atraentes</w:t>
      </w:r>
      <w:r w:rsidRPr="002F6437">
        <w:rPr>
          <w:rFonts w:ascii="Arial" w:hAnsi="Arial" w:cs="Arial"/>
        </w:rPr>
        <w:t>.</w:t>
      </w:r>
    </w:p>
    <w:p w14:paraId="7EE8B4B2" w14:textId="77777777" w:rsidR="002C179D" w:rsidRDefault="002C179D" w:rsidP="00911231">
      <w:pPr>
        <w:pStyle w:val="Corpodetexto"/>
        <w:ind w:left="0"/>
        <w:rPr>
          <w:rFonts w:ascii="Arial" w:hAnsi="Arial" w:cs="Arial"/>
        </w:rPr>
      </w:pPr>
    </w:p>
    <w:p w14:paraId="0307B549" w14:textId="58A688E6" w:rsidR="0051361C" w:rsidRDefault="000720EB" w:rsidP="00911231">
      <w:pPr>
        <w:pStyle w:val="Corpodetexto"/>
        <w:ind w:left="0"/>
        <w:rPr>
          <w:rFonts w:ascii="Arial" w:hAnsi="Arial" w:cs="Arial"/>
          <w:bCs/>
        </w:rPr>
      </w:pPr>
      <w:r w:rsidRPr="001717ED">
        <w:rPr>
          <w:rFonts w:ascii="Arial" w:hAnsi="Arial" w:cs="Arial"/>
          <w:b/>
        </w:rPr>
        <w:t xml:space="preserve">Palavras–chave: </w:t>
      </w:r>
      <w:r w:rsidR="007605B7">
        <w:rPr>
          <w:rFonts w:ascii="Arial" w:hAnsi="Arial" w:cs="Arial"/>
          <w:bCs/>
        </w:rPr>
        <w:t>Biomassa de banana verde</w:t>
      </w:r>
      <w:r w:rsidR="00B8361D">
        <w:rPr>
          <w:rFonts w:ascii="Arial" w:hAnsi="Arial" w:cs="Arial"/>
          <w:bCs/>
        </w:rPr>
        <w:t>;</w:t>
      </w:r>
      <w:r w:rsidR="002866C6">
        <w:rPr>
          <w:rFonts w:ascii="Arial" w:hAnsi="Arial" w:cs="Arial"/>
          <w:bCs/>
        </w:rPr>
        <w:t xml:space="preserve"> </w:t>
      </w:r>
      <w:r w:rsidR="007605B7">
        <w:rPr>
          <w:rFonts w:ascii="Arial" w:hAnsi="Arial" w:cs="Arial"/>
          <w:bCs/>
        </w:rPr>
        <w:t>quitosana</w:t>
      </w:r>
      <w:r w:rsidR="006C4CC3" w:rsidRPr="006C4CC3">
        <w:rPr>
          <w:rFonts w:ascii="Arial" w:hAnsi="Arial" w:cs="Arial"/>
          <w:bCs/>
        </w:rPr>
        <w:t xml:space="preserve">; </w:t>
      </w:r>
      <w:r w:rsidR="00E552F2">
        <w:rPr>
          <w:rFonts w:ascii="Arial" w:hAnsi="Arial" w:cs="Arial"/>
          <w:bCs/>
        </w:rPr>
        <w:t>segurança alimentar</w:t>
      </w:r>
      <w:r w:rsidR="006C4CC3" w:rsidRPr="006C4CC3">
        <w:rPr>
          <w:rFonts w:ascii="Arial" w:hAnsi="Arial" w:cs="Arial"/>
          <w:bCs/>
        </w:rPr>
        <w:t>.</w:t>
      </w:r>
    </w:p>
    <w:p w14:paraId="4A808A9B" w14:textId="5ABE9173" w:rsidR="007E5E82" w:rsidRPr="00357025" w:rsidRDefault="007E5E82" w:rsidP="00911231">
      <w:pPr>
        <w:pStyle w:val="Corpodetexto"/>
        <w:ind w:left="0"/>
        <w:rPr>
          <w:rFonts w:ascii="Arial" w:hAnsi="Arial" w:cs="Arial"/>
        </w:rPr>
      </w:pPr>
    </w:p>
    <w:p w14:paraId="4052497B" w14:textId="77777777" w:rsidR="007E5E82" w:rsidRPr="00357025" w:rsidRDefault="000720EB" w:rsidP="00DE00DC">
      <w:pPr>
        <w:pStyle w:val="Ttulo1"/>
        <w:ind w:left="0"/>
      </w:pPr>
      <w:r w:rsidRPr="00357025">
        <w:t>INTRODUÇÃO</w:t>
      </w:r>
    </w:p>
    <w:p w14:paraId="25F059C3" w14:textId="17B0C9AD" w:rsidR="00605B59" w:rsidRPr="00605B59" w:rsidRDefault="00605B59" w:rsidP="00911231">
      <w:pPr>
        <w:pStyle w:val="Corpodetexto"/>
        <w:ind w:left="0" w:firstLine="567"/>
        <w:rPr>
          <w:rFonts w:ascii="Arial" w:hAnsi="Arial" w:cs="Arial"/>
          <w:lang w:val="pt-BR"/>
        </w:rPr>
      </w:pPr>
      <w:r w:rsidRPr="00605B59">
        <w:rPr>
          <w:rFonts w:ascii="Arial" w:hAnsi="Arial" w:cs="Arial"/>
          <w:lang w:val="pt-BR"/>
        </w:rPr>
        <w:t>A indústria de processamento de pescado gera uma quantidade expressiva de resíduos sólidos orgânicos comestíveis (RSOC), que representam cerca de 60% do peso total do pescado processado (</w:t>
      </w:r>
      <w:r w:rsidR="00DE00DC" w:rsidRPr="00605B59">
        <w:rPr>
          <w:rFonts w:ascii="Arial" w:hAnsi="Arial" w:cs="Arial"/>
          <w:lang w:val="pt-BR"/>
        </w:rPr>
        <w:t>PINTO</w:t>
      </w:r>
      <w:r w:rsidRPr="00605B59">
        <w:rPr>
          <w:rFonts w:ascii="Arial" w:hAnsi="Arial" w:cs="Arial"/>
          <w:lang w:val="pt-BR"/>
        </w:rPr>
        <w:t xml:space="preserve"> </w:t>
      </w:r>
      <w:r w:rsidRPr="00605B59">
        <w:rPr>
          <w:rFonts w:ascii="Arial" w:hAnsi="Arial" w:cs="Arial"/>
          <w:i/>
          <w:iCs/>
          <w:lang w:val="pt-BR"/>
        </w:rPr>
        <w:t>et al.</w:t>
      </w:r>
      <w:r w:rsidRPr="00605B59">
        <w:rPr>
          <w:rFonts w:ascii="Arial" w:hAnsi="Arial" w:cs="Arial"/>
          <w:lang w:val="pt-BR"/>
        </w:rPr>
        <w:t xml:space="preserve">, 2017). </w:t>
      </w:r>
      <w:r w:rsidR="002454DB">
        <w:rPr>
          <w:rFonts w:ascii="Arial" w:hAnsi="Arial" w:cs="Arial"/>
          <w:lang w:val="pt-BR"/>
        </w:rPr>
        <w:t>R</w:t>
      </w:r>
      <w:r w:rsidRPr="00605B59">
        <w:rPr>
          <w:rFonts w:ascii="Arial" w:hAnsi="Arial" w:cs="Arial"/>
          <w:lang w:val="pt-BR"/>
        </w:rPr>
        <w:t>esíduos como cabeças, vísceras e restos de carne são ricos em proteínas e nutrientes de alto valor biológico. No entanto, o descarte inadequado desses resíduos pode acelerar sua de</w:t>
      </w:r>
      <w:r w:rsidR="002454DB">
        <w:rPr>
          <w:rFonts w:ascii="Arial" w:hAnsi="Arial" w:cs="Arial"/>
          <w:lang w:val="pt-BR"/>
        </w:rPr>
        <w:t>terioração microbiana</w:t>
      </w:r>
      <w:r w:rsidRPr="00605B59">
        <w:rPr>
          <w:rFonts w:ascii="Arial" w:hAnsi="Arial" w:cs="Arial"/>
          <w:lang w:val="pt-BR"/>
        </w:rPr>
        <w:t>, elevando os riscos de contaminação ambiental (</w:t>
      </w:r>
      <w:r w:rsidR="00DE00DC" w:rsidRPr="00605B59">
        <w:rPr>
          <w:rFonts w:ascii="Arial" w:hAnsi="Arial" w:cs="Arial"/>
          <w:lang w:val="pt-BR"/>
        </w:rPr>
        <w:t>SUCASAS</w:t>
      </w:r>
      <w:r w:rsidRPr="00605B59">
        <w:rPr>
          <w:rFonts w:ascii="Arial" w:hAnsi="Arial" w:cs="Arial"/>
          <w:lang w:val="pt-BR"/>
        </w:rPr>
        <w:t xml:space="preserve">, 2011). Diante desse cenário, surge a necessidade de explorar </w:t>
      </w:r>
      <w:r w:rsidRPr="00605B59">
        <w:rPr>
          <w:rFonts w:ascii="Arial" w:hAnsi="Arial" w:cs="Arial"/>
          <w:lang w:val="pt-BR"/>
        </w:rPr>
        <w:lastRenderedPageBreak/>
        <w:t>alternativas para o reaproveitamento desses recursos.</w:t>
      </w:r>
    </w:p>
    <w:p w14:paraId="58E582A2" w14:textId="37AB4CF0" w:rsidR="00605B59" w:rsidRPr="00605B59" w:rsidRDefault="00605B59" w:rsidP="00911231">
      <w:pPr>
        <w:pStyle w:val="Corpodetexto"/>
        <w:ind w:left="0" w:firstLine="567"/>
        <w:rPr>
          <w:rFonts w:ascii="Arial" w:hAnsi="Arial" w:cs="Arial"/>
          <w:lang w:val="pt-BR"/>
        </w:rPr>
      </w:pPr>
      <w:r w:rsidRPr="00605B59">
        <w:rPr>
          <w:rFonts w:ascii="Arial" w:hAnsi="Arial" w:cs="Arial"/>
          <w:lang w:val="pt-BR"/>
        </w:rPr>
        <w:t>A utilização de resíduos d</w:t>
      </w:r>
      <w:r w:rsidR="00AB543E">
        <w:rPr>
          <w:rFonts w:ascii="Arial" w:hAnsi="Arial" w:cs="Arial"/>
          <w:lang w:val="pt-BR"/>
        </w:rPr>
        <w:t>a</w:t>
      </w:r>
      <w:r w:rsidRPr="00605B59">
        <w:rPr>
          <w:rFonts w:ascii="Arial" w:hAnsi="Arial" w:cs="Arial"/>
          <w:lang w:val="pt-BR"/>
        </w:rPr>
        <w:t xml:space="preserve"> lagosta na alimentação humana não só contribui para a redução da poluição ambiental, mas também oferece uma solução econômica e sustentável para a criação de novos produtos alimentícios. A proteína da lagosta, reconhecida por sua composição balanceada de aminoácidos essenciais e alta digestibilidade é ideal para o crescimento e a reparação de tecidos (</w:t>
      </w:r>
      <w:r w:rsidR="00DE00DC" w:rsidRPr="00605B59">
        <w:rPr>
          <w:rFonts w:ascii="Arial" w:hAnsi="Arial" w:cs="Arial"/>
          <w:lang w:val="pt-BR"/>
        </w:rPr>
        <w:t>TENULA</w:t>
      </w:r>
      <w:r w:rsidRPr="00605B59">
        <w:rPr>
          <w:rFonts w:ascii="Arial" w:hAnsi="Arial" w:cs="Arial"/>
          <w:lang w:val="pt-BR"/>
        </w:rPr>
        <w:t>, 2010). Com o aumento da demanda por alimentos funcionais que atendam às necessidades de saúde, como produtos com baixo teor de sódio e adição de fibras e antioxidantes (</w:t>
      </w:r>
      <w:r w:rsidR="00DE00DC" w:rsidRPr="00605B59">
        <w:rPr>
          <w:rFonts w:ascii="Arial" w:hAnsi="Arial" w:cs="Arial"/>
          <w:lang w:val="pt-BR"/>
        </w:rPr>
        <w:t>NAWAZ</w:t>
      </w:r>
      <w:r w:rsidRPr="00605B59">
        <w:rPr>
          <w:rFonts w:ascii="Arial" w:hAnsi="Arial" w:cs="Arial"/>
          <w:lang w:val="pt-BR"/>
        </w:rPr>
        <w:t xml:space="preserve"> </w:t>
      </w:r>
      <w:r w:rsidRPr="00605B59">
        <w:rPr>
          <w:rFonts w:ascii="Arial" w:hAnsi="Arial" w:cs="Arial"/>
          <w:i/>
          <w:iCs/>
          <w:lang w:val="pt-BR"/>
        </w:rPr>
        <w:t>et al.</w:t>
      </w:r>
      <w:r w:rsidRPr="00605B59">
        <w:rPr>
          <w:rFonts w:ascii="Arial" w:hAnsi="Arial" w:cs="Arial"/>
          <w:lang w:val="pt-BR"/>
        </w:rPr>
        <w:t>, 2020), o desenvolvimento de produtos a partir de resíduos ganha relevância.</w:t>
      </w:r>
      <w:r w:rsidR="00AB543E">
        <w:rPr>
          <w:rFonts w:ascii="Arial" w:hAnsi="Arial" w:cs="Arial"/>
          <w:lang w:val="pt-BR"/>
        </w:rPr>
        <w:t xml:space="preserve"> </w:t>
      </w:r>
      <w:r w:rsidRPr="00605B59">
        <w:rPr>
          <w:rFonts w:ascii="Arial" w:hAnsi="Arial" w:cs="Arial"/>
          <w:lang w:val="pt-BR"/>
        </w:rPr>
        <w:t>Este estudo te</w:t>
      </w:r>
      <w:r w:rsidR="00AB543E">
        <w:rPr>
          <w:rFonts w:ascii="Arial" w:hAnsi="Arial" w:cs="Arial"/>
          <w:lang w:val="pt-BR"/>
        </w:rPr>
        <w:t xml:space="preserve">ve </w:t>
      </w:r>
      <w:r w:rsidRPr="00605B59">
        <w:rPr>
          <w:rFonts w:ascii="Arial" w:hAnsi="Arial" w:cs="Arial"/>
          <w:lang w:val="pt-BR"/>
        </w:rPr>
        <w:t xml:space="preserve">como objetivo desenvolver e avaliar bolinhos de lagosta utilizando resíduos do </w:t>
      </w:r>
      <w:r w:rsidR="00AB543E">
        <w:rPr>
          <w:rFonts w:ascii="Arial" w:hAnsi="Arial" w:cs="Arial"/>
          <w:lang w:val="pt-BR"/>
        </w:rPr>
        <w:t xml:space="preserve">seu </w:t>
      </w:r>
      <w:r w:rsidRPr="00605B59">
        <w:rPr>
          <w:rFonts w:ascii="Arial" w:hAnsi="Arial" w:cs="Arial"/>
          <w:lang w:val="pt-BR"/>
        </w:rPr>
        <w:t xml:space="preserve">processamento </w:t>
      </w:r>
      <w:r w:rsidR="00AB543E">
        <w:rPr>
          <w:rFonts w:ascii="Arial" w:hAnsi="Arial" w:cs="Arial"/>
          <w:lang w:val="pt-BR"/>
        </w:rPr>
        <w:t>e</w:t>
      </w:r>
      <w:r w:rsidRPr="00605B59">
        <w:rPr>
          <w:rFonts w:ascii="Arial" w:hAnsi="Arial" w:cs="Arial"/>
          <w:lang w:val="pt-BR"/>
        </w:rPr>
        <w:t xml:space="preserve"> enriquecidos com ingredientes funcionais. </w:t>
      </w:r>
    </w:p>
    <w:p w14:paraId="25DFB77D" w14:textId="065457BC" w:rsidR="00357025" w:rsidRPr="00357025" w:rsidRDefault="00357025" w:rsidP="00911231">
      <w:pPr>
        <w:pStyle w:val="Corpodetexto"/>
        <w:ind w:left="0" w:firstLine="567"/>
        <w:rPr>
          <w:rFonts w:ascii="Arial" w:hAnsi="Arial" w:cs="Arial"/>
          <w:color w:val="000099"/>
        </w:rPr>
      </w:pPr>
    </w:p>
    <w:p w14:paraId="0E50CEA9" w14:textId="77777777" w:rsidR="007E5E82" w:rsidRPr="00357025" w:rsidRDefault="000720EB" w:rsidP="00DE00DC">
      <w:pPr>
        <w:pStyle w:val="Ttulo1"/>
        <w:ind w:left="0"/>
      </w:pPr>
      <w:r w:rsidRPr="00357025">
        <w:t>MATERIAIS</w:t>
      </w:r>
      <w:r w:rsidRPr="00357025">
        <w:rPr>
          <w:spacing w:val="-1"/>
        </w:rPr>
        <w:t xml:space="preserve"> </w:t>
      </w:r>
      <w:r w:rsidRPr="00357025">
        <w:t>E</w:t>
      </w:r>
      <w:r w:rsidRPr="00357025">
        <w:rPr>
          <w:spacing w:val="-3"/>
        </w:rPr>
        <w:t xml:space="preserve"> </w:t>
      </w:r>
      <w:r w:rsidRPr="00357025">
        <w:t>MÉTODOS</w:t>
      </w:r>
    </w:p>
    <w:p w14:paraId="3175C104" w14:textId="5EA1C1EA" w:rsidR="00605B59" w:rsidRPr="00605B59" w:rsidRDefault="00605B59" w:rsidP="00911231">
      <w:pPr>
        <w:pStyle w:val="Corpodetexto"/>
        <w:ind w:left="0" w:firstLine="567"/>
        <w:rPr>
          <w:rFonts w:ascii="Arial" w:hAnsi="Arial" w:cs="Arial"/>
          <w:lang w:val="pt-BR"/>
        </w:rPr>
      </w:pPr>
      <w:r w:rsidRPr="00605B59">
        <w:rPr>
          <w:rFonts w:ascii="Arial" w:hAnsi="Arial" w:cs="Arial"/>
          <w:lang w:val="pt-BR"/>
        </w:rPr>
        <w:t xml:space="preserve">A matéria-prima foi composta por resíduos de lagosta de uma indústria em Alcobaça, Bahia. A carne </w:t>
      </w:r>
      <w:r w:rsidR="00992A60">
        <w:rPr>
          <w:rFonts w:ascii="Arial" w:hAnsi="Arial" w:cs="Arial"/>
          <w:lang w:val="pt-BR"/>
        </w:rPr>
        <w:t xml:space="preserve">após </w:t>
      </w:r>
      <w:r w:rsidRPr="00605B59">
        <w:rPr>
          <w:rFonts w:ascii="Arial" w:hAnsi="Arial" w:cs="Arial"/>
          <w:lang w:val="pt-BR"/>
        </w:rPr>
        <w:t>limpa</w:t>
      </w:r>
      <w:r w:rsidR="00992A60">
        <w:rPr>
          <w:rFonts w:ascii="Arial" w:hAnsi="Arial" w:cs="Arial"/>
          <w:lang w:val="pt-BR"/>
        </w:rPr>
        <w:t xml:space="preserve"> e</w:t>
      </w:r>
      <w:r w:rsidRPr="00605B59">
        <w:rPr>
          <w:rFonts w:ascii="Arial" w:hAnsi="Arial" w:cs="Arial"/>
          <w:lang w:val="pt-BR"/>
        </w:rPr>
        <w:t xml:space="preserve"> cozida</w:t>
      </w:r>
      <w:r w:rsidR="00992A60">
        <w:rPr>
          <w:rFonts w:ascii="Arial" w:hAnsi="Arial" w:cs="Arial"/>
          <w:lang w:val="pt-BR"/>
        </w:rPr>
        <w:t xml:space="preserve"> foi </w:t>
      </w:r>
      <w:r w:rsidRPr="00605B59">
        <w:rPr>
          <w:rFonts w:ascii="Arial" w:hAnsi="Arial" w:cs="Arial"/>
          <w:lang w:val="pt-BR"/>
        </w:rPr>
        <w:t>prensada para re</w:t>
      </w:r>
      <w:r w:rsidR="009123C5">
        <w:rPr>
          <w:rFonts w:ascii="Arial" w:hAnsi="Arial" w:cs="Arial"/>
          <w:lang w:val="pt-BR"/>
        </w:rPr>
        <w:t xml:space="preserve">tirada </w:t>
      </w:r>
      <w:r w:rsidRPr="00605B59">
        <w:rPr>
          <w:rFonts w:ascii="Arial" w:hAnsi="Arial" w:cs="Arial"/>
          <w:lang w:val="pt-BR"/>
        </w:rPr>
        <w:t>d</w:t>
      </w:r>
      <w:r w:rsidR="009123C5">
        <w:rPr>
          <w:rFonts w:ascii="Arial" w:hAnsi="Arial" w:cs="Arial"/>
          <w:lang w:val="pt-BR"/>
        </w:rPr>
        <w:t>a</w:t>
      </w:r>
      <w:r w:rsidRPr="00605B59">
        <w:rPr>
          <w:rFonts w:ascii="Arial" w:hAnsi="Arial" w:cs="Arial"/>
          <w:lang w:val="pt-BR"/>
        </w:rPr>
        <w:t xml:space="preserve"> água e armazenada sob refrigeração. A biomassa de banana verde (BBV) foi obtida após cocção e trituração de bananas verdes. O hidrolisado de levedura</w:t>
      </w:r>
      <w:r w:rsidR="009123C5">
        <w:rPr>
          <w:rFonts w:ascii="Arial" w:hAnsi="Arial" w:cs="Arial"/>
          <w:lang w:val="pt-BR"/>
        </w:rPr>
        <w:t xml:space="preserve"> foi</w:t>
      </w:r>
      <w:r w:rsidRPr="00605B59">
        <w:rPr>
          <w:rFonts w:ascii="Arial" w:hAnsi="Arial" w:cs="Arial"/>
          <w:lang w:val="pt-BR"/>
        </w:rPr>
        <w:t xml:space="preserve"> proveniente d</w:t>
      </w:r>
      <w:r w:rsidR="009123C5">
        <w:rPr>
          <w:rFonts w:ascii="Arial" w:hAnsi="Arial" w:cs="Arial"/>
          <w:lang w:val="pt-BR"/>
        </w:rPr>
        <w:t>o</w:t>
      </w:r>
      <w:r w:rsidRPr="00605B59">
        <w:rPr>
          <w:rFonts w:ascii="Arial" w:hAnsi="Arial" w:cs="Arial"/>
          <w:lang w:val="pt-BR"/>
        </w:rPr>
        <w:t xml:space="preserve"> resíduo de cervejaria</w:t>
      </w:r>
      <w:r w:rsidR="009123C5">
        <w:rPr>
          <w:rFonts w:ascii="Arial" w:hAnsi="Arial" w:cs="Arial"/>
          <w:lang w:val="pt-BR"/>
        </w:rPr>
        <w:t xml:space="preserve"> e os demais </w:t>
      </w:r>
      <w:r w:rsidRPr="00605B59">
        <w:rPr>
          <w:rFonts w:ascii="Arial" w:hAnsi="Arial" w:cs="Arial"/>
          <w:lang w:val="pt-BR"/>
        </w:rPr>
        <w:t>ingredientes, como quitosana, própolis, maca peruana, aipim e trigo foram adquiridos comercialmente.</w:t>
      </w:r>
    </w:p>
    <w:p w14:paraId="5FD084DB" w14:textId="4D1CE541" w:rsidR="00A2494C" w:rsidRDefault="00605B59" w:rsidP="00911231">
      <w:pPr>
        <w:pStyle w:val="Corpodetexto"/>
        <w:ind w:left="0" w:firstLine="567"/>
        <w:rPr>
          <w:rFonts w:ascii="Arial" w:hAnsi="Arial" w:cs="Arial"/>
          <w:lang w:val="pt-BR"/>
        </w:rPr>
      </w:pPr>
      <w:r w:rsidRPr="00605B59">
        <w:rPr>
          <w:rFonts w:ascii="Arial" w:hAnsi="Arial" w:cs="Arial"/>
          <w:lang w:val="pt-BR"/>
        </w:rPr>
        <w:t xml:space="preserve">Foram preparadas duas formulações de bolinhos: </w:t>
      </w:r>
      <w:r w:rsidR="00D82292">
        <w:rPr>
          <w:rFonts w:ascii="Arial" w:hAnsi="Arial" w:cs="Arial"/>
          <w:lang w:val="pt-BR"/>
        </w:rPr>
        <w:t xml:space="preserve">formulação </w:t>
      </w:r>
      <w:r w:rsidRPr="00605B59">
        <w:rPr>
          <w:rFonts w:ascii="Arial" w:hAnsi="Arial" w:cs="Arial"/>
          <w:lang w:val="pt-BR"/>
        </w:rPr>
        <w:t>F1 (aipim, quitosana, própolis, hidrolisado de levedura e farinha de trigo) e F2 (</w:t>
      </w:r>
      <w:r w:rsidR="00D82292">
        <w:rPr>
          <w:rFonts w:ascii="Arial" w:hAnsi="Arial" w:cs="Arial"/>
          <w:lang w:val="pt-BR"/>
        </w:rPr>
        <w:t>BBV</w:t>
      </w:r>
      <w:r w:rsidRPr="00605B59">
        <w:rPr>
          <w:rFonts w:ascii="Arial" w:hAnsi="Arial" w:cs="Arial"/>
          <w:lang w:val="pt-BR"/>
        </w:rPr>
        <w:t xml:space="preserve">, quitosana, própolis, hidrolisado de levedura e maca peruana). </w:t>
      </w:r>
    </w:p>
    <w:p w14:paraId="313F3785" w14:textId="412FAB0F" w:rsidR="00605B59" w:rsidRPr="00605B59" w:rsidRDefault="00D82292" w:rsidP="00911231">
      <w:pPr>
        <w:pStyle w:val="Corpodetexto"/>
        <w:ind w:left="0" w:firstLine="56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Para a</w:t>
      </w:r>
      <w:r w:rsidR="00605B59" w:rsidRPr="00605B59">
        <w:rPr>
          <w:rFonts w:ascii="Arial" w:hAnsi="Arial" w:cs="Arial"/>
          <w:lang w:val="pt-BR"/>
        </w:rPr>
        <w:t>s análises microbiológicas foram realizados testes d</w:t>
      </w:r>
      <w:r>
        <w:rPr>
          <w:rFonts w:ascii="Arial" w:hAnsi="Arial" w:cs="Arial"/>
          <w:lang w:val="pt-BR"/>
        </w:rPr>
        <w:t>a</w:t>
      </w:r>
      <w:r w:rsidR="00605B59" w:rsidRPr="00605B59">
        <w:rPr>
          <w:rFonts w:ascii="Arial" w:hAnsi="Arial" w:cs="Arial"/>
          <w:lang w:val="pt-BR"/>
        </w:rPr>
        <w:t xml:space="preserve"> presença de </w:t>
      </w:r>
      <w:r w:rsidR="00605B59" w:rsidRPr="00605B59">
        <w:rPr>
          <w:rFonts w:ascii="Arial" w:hAnsi="Arial" w:cs="Arial"/>
          <w:i/>
          <w:iCs/>
          <w:lang w:val="pt-BR"/>
        </w:rPr>
        <w:t xml:space="preserve">Salmonella </w:t>
      </w:r>
      <w:r w:rsidR="00605B59" w:rsidRPr="00F730C7">
        <w:rPr>
          <w:rFonts w:ascii="Arial" w:hAnsi="Arial" w:cs="Arial"/>
          <w:lang w:val="pt-BR"/>
        </w:rPr>
        <w:t>spp.</w:t>
      </w:r>
      <w:r w:rsidR="00605B59" w:rsidRPr="00605B59">
        <w:rPr>
          <w:rFonts w:ascii="Arial" w:hAnsi="Arial" w:cs="Arial"/>
          <w:lang w:val="pt-BR"/>
        </w:rPr>
        <w:t xml:space="preserve"> e contagem de </w:t>
      </w:r>
      <w:r w:rsidR="00605B59" w:rsidRPr="00605B59">
        <w:rPr>
          <w:rFonts w:ascii="Arial" w:hAnsi="Arial" w:cs="Arial"/>
          <w:i/>
          <w:iCs/>
          <w:lang w:val="pt-BR"/>
        </w:rPr>
        <w:t>Escherichia coli</w:t>
      </w:r>
      <w:r w:rsidR="00605B59" w:rsidRPr="00605B59">
        <w:rPr>
          <w:rFonts w:ascii="Arial" w:hAnsi="Arial" w:cs="Arial"/>
          <w:lang w:val="pt-BR"/>
        </w:rPr>
        <w:t>, estafilococos coagulase positiva e bactérias heterotróficas mesófilas</w:t>
      </w:r>
      <w:r>
        <w:rPr>
          <w:rFonts w:ascii="Arial" w:hAnsi="Arial" w:cs="Arial"/>
          <w:lang w:val="pt-BR"/>
        </w:rPr>
        <w:t xml:space="preserve"> (</w:t>
      </w:r>
      <w:r w:rsidR="00F730C7" w:rsidRPr="00F730C7">
        <w:rPr>
          <w:rFonts w:ascii="Arial" w:hAnsi="Arial" w:cs="Arial"/>
          <w:lang w:val="pt-BR"/>
        </w:rPr>
        <w:t>SILVA</w:t>
      </w:r>
      <w:r w:rsidR="00605B59" w:rsidRPr="00605B59">
        <w:rPr>
          <w:rFonts w:ascii="Arial" w:hAnsi="Arial" w:cs="Arial"/>
          <w:lang w:val="pt-BR"/>
        </w:rPr>
        <w:t xml:space="preserve"> </w:t>
      </w:r>
      <w:r w:rsidR="00605B59" w:rsidRPr="00605B59">
        <w:rPr>
          <w:rFonts w:ascii="Arial" w:hAnsi="Arial" w:cs="Arial"/>
          <w:i/>
          <w:iCs/>
          <w:lang w:val="pt-BR"/>
        </w:rPr>
        <w:t>et al</w:t>
      </w:r>
      <w:r w:rsidR="00605B59" w:rsidRPr="00605B59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>,</w:t>
      </w:r>
      <w:r w:rsidR="00605B59" w:rsidRPr="00605B59">
        <w:rPr>
          <w:rFonts w:ascii="Arial" w:hAnsi="Arial" w:cs="Arial"/>
          <w:lang w:val="pt-BR"/>
        </w:rPr>
        <w:t xml:space="preserve"> 2010). A avaliação sensorial envolveu 65 provadores não treinados utilizando escala afetiva de nove pontos</w:t>
      </w:r>
      <w:r w:rsidR="009F75A9">
        <w:rPr>
          <w:rFonts w:ascii="Arial" w:hAnsi="Arial" w:cs="Arial"/>
          <w:lang w:val="pt-BR"/>
        </w:rPr>
        <w:t>, c</w:t>
      </w:r>
      <w:r w:rsidR="009F75A9" w:rsidRPr="009F75A9">
        <w:rPr>
          <w:rFonts w:ascii="Arial" w:hAnsi="Arial" w:cs="Arial"/>
        </w:rPr>
        <w:t>om os extremos 1 (</w:t>
      </w:r>
      <w:r w:rsidR="00A70FAB">
        <w:rPr>
          <w:rFonts w:ascii="Arial" w:hAnsi="Arial" w:cs="Arial"/>
        </w:rPr>
        <w:t>d</w:t>
      </w:r>
      <w:r w:rsidR="009F75A9" w:rsidRPr="009F75A9">
        <w:rPr>
          <w:rFonts w:ascii="Arial" w:hAnsi="Arial" w:cs="Arial"/>
        </w:rPr>
        <w:t>esgostei extremamente) e 9 (</w:t>
      </w:r>
      <w:r w:rsidR="00A70FAB">
        <w:rPr>
          <w:rFonts w:ascii="Arial" w:hAnsi="Arial" w:cs="Arial"/>
        </w:rPr>
        <w:t>g</w:t>
      </w:r>
      <w:r w:rsidR="009F75A9" w:rsidRPr="009F75A9">
        <w:rPr>
          <w:rFonts w:ascii="Arial" w:hAnsi="Arial" w:cs="Arial"/>
        </w:rPr>
        <w:t>ostei extremamente),</w:t>
      </w:r>
      <w:r w:rsidR="00605B59" w:rsidRPr="00605B59">
        <w:rPr>
          <w:rFonts w:ascii="Arial" w:hAnsi="Arial" w:cs="Arial"/>
          <w:lang w:val="pt-BR"/>
        </w:rPr>
        <w:t xml:space="preserve"> para </w:t>
      </w:r>
      <w:r w:rsidR="00A70FAB">
        <w:rPr>
          <w:rFonts w:ascii="Arial" w:hAnsi="Arial" w:cs="Arial"/>
          <w:lang w:val="pt-BR"/>
        </w:rPr>
        <w:t xml:space="preserve">os </w:t>
      </w:r>
      <w:r w:rsidR="00605B59" w:rsidRPr="00605B59">
        <w:rPr>
          <w:rFonts w:ascii="Arial" w:hAnsi="Arial" w:cs="Arial"/>
          <w:lang w:val="pt-BR"/>
        </w:rPr>
        <w:t>atributos sabor, aroma</w:t>
      </w:r>
      <w:r w:rsidR="009F75A9">
        <w:rPr>
          <w:rFonts w:ascii="Arial" w:hAnsi="Arial" w:cs="Arial"/>
          <w:lang w:val="pt-BR"/>
        </w:rPr>
        <w:t xml:space="preserve">, cor, </w:t>
      </w:r>
      <w:r w:rsidR="00605B59" w:rsidRPr="00605B59">
        <w:rPr>
          <w:rFonts w:ascii="Arial" w:hAnsi="Arial" w:cs="Arial"/>
          <w:lang w:val="pt-BR"/>
        </w:rPr>
        <w:t>textura,</w:t>
      </w:r>
      <w:r w:rsidR="009F75A9">
        <w:rPr>
          <w:rFonts w:ascii="Arial" w:hAnsi="Arial" w:cs="Arial"/>
          <w:lang w:val="pt-BR"/>
        </w:rPr>
        <w:t xml:space="preserve"> aspecto e aceitação global (STEVANATO </w:t>
      </w:r>
      <w:r w:rsidR="009F75A9" w:rsidRPr="00F730C7">
        <w:rPr>
          <w:rFonts w:ascii="Arial" w:hAnsi="Arial" w:cs="Arial"/>
          <w:i/>
          <w:iCs/>
          <w:lang w:val="pt-BR"/>
        </w:rPr>
        <w:t>et al</w:t>
      </w:r>
      <w:r w:rsidR="009F75A9" w:rsidRPr="00F730C7">
        <w:rPr>
          <w:rFonts w:ascii="Arial" w:hAnsi="Arial" w:cs="Arial"/>
          <w:lang w:val="pt-BR"/>
        </w:rPr>
        <w:t>., 2007)</w:t>
      </w:r>
      <w:r w:rsidR="00605B59" w:rsidRPr="00F730C7">
        <w:rPr>
          <w:rFonts w:ascii="Arial" w:hAnsi="Arial" w:cs="Arial"/>
          <w:lang w:val="pt-BR"/>
        </w:rPr>
        <w:t xml:space="preserve">. </w:t>
      </w:r>
      <w:r w:rsidR="00A70FAB" w:rsidRPr="00F730C7">
        <w:rPr>
          <w:rFonts w:ascii="Arial" w:hAnsi="Arial" w:cs="Arial"/>
          <w:lang w:val="pt-BR"/>
        </w:rPr>
        <w:t>Também foi calculado o</w:t>
      </w:r>
      <w:r w:rsidR="00605B59" w:rsidRPr="00F730C7">
        <w:rPr>
          <w:rFonts w:ascii="Arial" w:hAnsi="Arial" w:cs="Arial"/>
          <w:lang w:val="pt-BR"/>
        </w:rPr>
        <w:t xml:space="preserve"> Índice de Aceitabilidade (IA</w:t>
      </w:r>
      <w:r w:rsidR="00A70FAB" w:rsidRPr="00F730C7">
        <w:rPr>
          <w:rFonts w:ascii="Arial" w:hAnsi="Arial" w:cs="Arial"/>
          <w:lang w:val="pt-BR"/>
        </w:rPr>
        <w:t>%</w:t>
      </w:r>
      <w:r w:rsidR="00605B59" w:rsidRPr="00F730C7">
        <w:rPr>
          <w:rFonts w:ascii="Arial" w:hAnsi="Arial" w:cs="Arial"/>
          <w:lang w:val="pt-BR"/>
        </w:rPr>
        <w:t xml:space="preserve">) </w:t>
      </w:r>
      <w:r w:rsidR="009F75A9" w:rsidRPr="00F730C7">
        <w:rPr>
          <w:rFonts w:ascii="Arial" w:hAnsi="Arial" w:cs="Arial"/>
          <w:lang w:val="pt-BR"/>
        </w:rPr>
        <w:t xml:space="preserve">(STORK </w:t>
      </w:r>
      <w:r w:rsidR="009F75A9" w:rsidRPr="00F730C7">
        <w:rPr>
          <w:rFonts w:ascii="Arial" w:hAnsi="Arial" w:cs="Arial"/>
          <w:i/>
          <w:iCs/>
          <w:lang w:val="pt-BR"/>
        </w:rPr>
        <w:t>et al.</w:t>
      </w:r>
      <w:r w:rsidR="009F75A9" w:rsidRPr="00F730C7">
        <w:rPr>
          <w:rFonts w:ascii="Arial" w:hAnsi="Arial" w:cs="Arial"/>
          <w:lang w:val="pt-BR"/>
        </w:rPr>
        <w:t>, 2013)</w:t>
      </w:r>
      <w:r w:rsidR="00605B59" w:rsidRPr="00F730C7">
        <w:rPr>
          <w:rFonts w:ascii="Arial" w:hAnsi="Arial" w:cs="Arial"/>
          <w:lang w:val="pt-BR"/>
        </w:rPr>
        <w:t>.</w:t>
      </w:r>
      <w:r w:rsidR="00605B59" w:rsidRPr="00605B59">
        <w:rPr>
          <w:rFonts w:ascii="Arial" w:hAnsi="Arial" w:cs="Arial"/>
          <w:lang w:val="pt-BR"/>
        </w:rPr>
        <w:t xml:space="preserve"> </w:t>
      </w:r>
    </w:p>
    <w:p w14:paraId="341F6C0C" w14:textId="01DDA547" w:rsidR="007E5E82" w:rsidRPr="00357025" w:rsidRDefault="00E86304" w:rsidP="00911231">
      <w:pPr>
        <w:pStyle w:val="Corpodetexto"/>
        <w:ind w:left="0" w:firstLine="567"/>
        <w:jc w:val="center"/>
        <w:rPr>
          <w:rFonts w:ascii="Arial" w:hAnsi="Arial" w:cs="Arial"/>
        </w:rPr>
      </w:pPr>
      <w:r>
        <w:rPr>
          <w:rFonts w:ascii="Arial" w:hAnsi="Arial" w:cs="Arial"/>
          <w:color w:val="000099"/>
        </w:rPr>
        <w:t xml:space="preserve"> </w:t>
      </w:r>
    </w:p>
    <w:p w14:paraId="3480D9CF" w14:textId="77777777" w:rsidR="007E5E82" w:rsidRPr="00357025" w:rsidRDefault="000720EB" w:rsidP="00DE00DC">
      <w:pPr>
        <w:pStyle w:val="Ttulo1"/>
        <w:ind w:left="0"/>
      </w:pPr>
      <w:r w:rsidRPr="00357025">
        <w:t>RESULTADOS</w:t>
      </w:r>
      <w:r w:rsidRPr="00357025">
        <w:rPr>
          <w:spacing w:val="-3"/>
        </w:rPr>
        <w:t xml:space="preserve"> </w:t>
      </w:r>
      <w:r w:rsidRPr="00357025">
        <w:t>E</w:t>
      </w:r>
      <w:r w:rsidRPr="00357025">
        <w:rPr>
          <w:spacing w:val="-1"/>
        </w:rPr>
        <w:t xml:space="preserve"> </w:t>
      </w:r>
      <w:r w:rsidRPr="00357025">
        <w:t>DISCUSSÃO</w:t>
      </w:r>
    </w:p>
    <w:p w14:paraId="0FF5B789" w14:textId="0B3CDC54" w:rsidR="00E86304" w:rsidRDefault="00265A1A" w:rsidP="00911231">
      <w:pPr>
        <w:pStyle w:val="Corpodetex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55722" w:rsidRPr="00055722">
        <w:rPr>
          <w:rFonts w:ascii="Arial" w:hAnsi="Arial" w:cs="Arial"/>
        </w:rPr>
        <w:t xml:space="preserve">a Tabela 1 </w:t>
      </w:r>
      <w:r>
        <w:rPr>
          <w:rFonts w:ascii="Arial" w:hAnsi="Arial" w:cs="Arial"/>
        </w:rPr>
        <w:t xml:space="preserve">são apresentados os parâmetros microbiológicos das amostras de bolinhos, com ausência de </w:t>
      </w:r>
      <w:r w:rsidRPr="00F730C7">
        <w:rPr>
          <w:rFonts w:ascii="Arial" w:hAnsi="Arial" w:cs="Arial"/>
          <w:i/>
          <w:iCs/>
        </w:rPr>
        <w:t>E. coli, Salmonella</w:t>
      </w:r>
      <w:r w:rsidR="00EB02AE">
        <w:rPr>
          <w:rFonts w:ascii="Arial" w:hAnsi="Arial" w:cs="Arial"/>
          <w:i/>
          <w:iCs/>
        </w:rPr>
        <w:t xml:space="preserve"> </w:t>
      </w:r>
      <w:r w:rsidR="00EB02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estafilococos</w:t>
      </w:r>
      <w:r w:rsidR="00EB02AE">
        <w:rPr>
          <w:rFonts w:ascii="Arial" w:hAnsi="Arial" w:cs="Arial"/>
        </w:rPr>
        <w:t>, além de</w:t>
      </w:r>
      <w:r>
        <w:rPr>
          <w:rFonts w:ascii="Arial" w:hAnsi="Arial" w:cs="Arial"/>
        </w:rPr>
        <w:t xml:space="preserve"> baixa </w:t>
      </w:r>
      <w:r w:rsidR="00EB02AE">
        <w:rPr>
          <w:rFonts w:ascii="Arial" w:hAnsi="Arial" w:cs="Arial"/>
        </w:rPr>
        <w:t xml:space="preserve">contagem </w:t>
      </w:r>
      <w:r>
        <w:rPr>
          <w:rFonts w:ascii="Arial" w:hAnsi="Arial" w:cs="Arial"/>
        </w:rPr>
        <w:t xml:space="preserve">de bactérias mesófilas, de modo a </w:t>
      </w:r>
      <w:r w:rsidR="00055722" w:rsidRPr="00055722">
        <w:rPr>
          <w:rFonts w:ascii="Arial" w:hAnsi="Arial" w:cs="Arial"/>
        </w:rPr>
        <w:t>atende</w:t>
      </w:r>
      <w:r>
        <w:rPr>
          <w:rFonts w:ascii="Arial" w:hAnsi="Arial" w:cs="Arial"/>
        </w:rPr>
        <w:t>r</w:t>
      </w:r>
      <w:r w:rsidR="00055722" w:rsidRPr="00055722">
        <w:rPr>
          <w:rFonts w:ascii="Arial" w:hAnsi="Arial" w:cs="Arial"/>
        </w:rPr>
        <w:t xml:space="preserve"> </w:t>
      </w:r>
      <w:r w:rsidR="00EB02AE">
        <w:rPr>
          <w:rFonts w:ascii="Arial" w:hAnsi="Arial" w:cs="Arial"/>
        </w:rPr>
        <w:t>a</w:t>
      </w:r>
      <w:r w:rsidR="00055722" w:rsidRPr="00055722">
        <w:rPr>
          <w:rFonts w:ascii="Arial" w:hAnsi="Arial" w:cs="Arial"/>
        </w:rPr>
        <w:t>os padrões microbiológicos estabelecidos pela Instrução Normativa n° 60 de 2019 (BRASIL, 2019).</w:t>
      </w:r>
    </w:p>
    <w:p w14:paraId="6BA26DD1" w14:textId="77777777" w:rsidR="00A2494C" w:rsidRPr="00313A74" w:rsidRDefault="00A2494C" w:rsidP="00911231">
      <w:pPr>
        <w:pStyle w:val="Corpodetexto"/>
        <w:ind w:left="0" w:firstLine="567"/>
        <w:rPr>
          <w:rFonts w:ascii="Arial" w:hAnsi="Arial" w:cs="Arial"/>
        </w:rPr>
      </w:pPr>
    </w:p>
    <w:p w14:paraId="77B6B4E6" w14:textId="40515C41" w:rsidR="008A0C9A" w:rsidRDefault="001803EE" w:rsidP="00DE00DC">
      <w:pPr>
        <w:pStyle w:val="Corpodetexto"/>
        <w:ind w:left="0"/>
        <w:rPr>
          <w:rFonts w:ascii="Arial" w:hAnsi="Arial" w:cs="Arial"/>
          <w:sz w:val="22"/>
          <w:szCs w:val="22"/>
        </w:rPr>
      </w:pPr>
      <w:r w:rsidRPr="00DD03C6">
        <w:rPr>
          <w:rFonts w:ascii="Arial" w:hAnsi="Arial" w:cs="Arial"/>
          <w:b/>
          <w:bCs/>
          <w:sz w:val="22"/>
          <w:szCs w:val="22"/>
        </w:rPr>
        <w:t>Tabela</w:t>
      </w:r>
      <w:r w:rsidR="00DF71AF" w:rsidRPr="00DD03C6">
        <w:rPr>
          <w:rFonts w:ascii="Arial" w:hAnsi="Arial" w:cs="Arial"/>
          <w:b/>
          <w:bCs/>
          <w:sz w:val="22"/>
          <w:szCs w:val="22"/>
        </w:rPr>
        <w:t xml:space="preserve"> </w:t>
      </w:r>
      <w:r w:rsidR="00E86304">
        <w:rPr>
          <w:rFonts w:ascii="Arial" w:hAnsi="Arial" w:cs="Arial"/>
          <w:b/>
          <w:bCs/>
          <w:sz w:val="22"/>
          <w:szCs w:val="22"/>
        </w:rPr>
        <w:t>1</w:t>
      </w:r>
      <w:r w:rsidRPr="00DD03C6">
        <w:rPr>
          <w:rFonts w:ascii="Arial" w:hAnsi="Arial" w:cs="Arial"/>
          <w:b/>
          <w:bCs/>
          <w:sz w:val="22"/>
          <w:szCs w:val="22"/>
        </w:rPr>
        <w:t>.</w:t>
      </w:r>
      <w:r w:rsidRPr="00DD03C6">
        <w:rPr>
          <w:rFonts w:ascii="Arial" w:hAnsi="Arial" w:cs="Arial"/>
          <w:sz w:val="22"/>
          <w:szCs w:val="22"/>
        </w:rPr>
        <w:t xml:space="preserve"> </w:t>
      </w:r>
      <w:r w:rsidR="00055722" w:rsidRPr="00055722">
        <w:rPr>
          <w:rFonts w:ascii="Arial" w:hAnsi="Arial" w:cs="Arial"/>
          <w:sz w:val="22"/>
          <w:szCs w:val="22"/>
        </w:rPr>
        <w:t>Parâmetros microbiológicos das formulações de bolinho</w:t>
      </w:r>
      <w:r w:rsidR="00265A1A">
        <w:rPr>
          <w:rFonts w:ascii="Arial" w:hAnsi="Arial" w:cs="Arial"/>
          <w:sz w:val="22"/>
          <w:szCs w:val="22"/>
        </w:rPr>
        <w:t>s</w:t>
      </w:r>
      <w:r w:rsidR="00055722" w:rsidRPr="00055722">
        <w:rPr>
          <w:rFonts w:ascii="Arial" w:hAnsi="Arial" w:cs="Arial"/>
          <w:sz w:val="22"/>
          <w:szCs w:val="22"/>
        </w:rPr>
        <w:t xml:space="preserve"> de lagosta a partir de resíduos de processamento</w:t>
      </w:r>
      <w:r w:rsidRPr="00DD03C6">
        <w:rPr>
          <w:rFonts w:ascii="Arial" w:hAnsi="Arial" w:cs="Arial"/>
          <w:sz w:val="22"/>
          <w:szCs w:val="22"/>
        </w:rPr>
        <w:t>.</w:t>
      </w:r>
    </w:p>
    <w:p w14:paraId="5D8AE536" w14:textId="77777777" w:rsidR="00E86304" w:rsidRDefault="00E86304" w:rsidP="00DE00D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tbl>
      <w:tblPr>
        <w:tblStyle w:val="SimplesTabela2"/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947"/>
        <w:gridCol w:w="1143"/>
        <w:gridCol w:w="2114"/>
      </w:tblGrid>
      <w:tr w:rsidR="00055722" w:rsidRPr="00FD0DAF" w14:paraId="0BB02F5A" w14:textId="77777777" w:rsidTr="00265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vMerge w:val="restart"/>
            <w:tcBorders>
              <w:bottom w:val="none" w:sz="0" w:space="0" w:color="auto"/>
            </w:tcBorders>
            <w:noWrap/>
            <w:vAlign w:val="center"/>
            <w:hideMark/>
          </w:tcPr>
          <w:p w14:paraId="7430BF49" w14:textId="3787A324" w:rsidR="00055722" w:rsidRPr="0046371A" w:rsidRDefault="00055722" w:rsidP="00DE00DC">
            <w:pPr>
              <w:pStyle w:val="Corpodetex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Micro</w:t>
            </w:r>
            <w:r w:rsidR="00EB02AE">
              <w:rPr>
                <w:rFonts w:ascii="Arial" w:hAnsi="Arial" w:cs="Arial"/>
                <w:sz w:val="22"/>
                <w:szCs w:val="22"/>
              </w:rPr>
              <w:t>-o</w:t>
            </w:r>
            <w:r w:rsidRPr="0046371A">
              <w:rPr>
                <w:rFonts w:ascii="Arial" w:hAnsi="Arial" w:cs="Arial"/>
                <w:sz w:val="22"/>
                <w:szCs w:val="22"/>
              </w:rPr>
              <w:t>rganismos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274BDC" w14:textId="77777777" w:rsidR="00055722" w:rsidRPr="0046371A" w:rsidRDefault="00055722" w:rsidP="00DE00DC">
            <w:pPr>
              <w:pStyle w:val="Corpodetex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Formulações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95DF9C" w14:textId="77777777" w:rsidR="00055722" w:rsidRPr="0046371A" w:rsidRDefault="00055722" w:rsidP="00DE00DC">
            <w:pPr>
              <w:pStyle w:val="Corpodetex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Legislação</w:t>
            </w:r>
          </w:p>
        </w:tc>
      </w:tr>
      <w:tr w:rsidR="00055722" w:rsidRPr="00FD0DAF" w14:paraId="3CF4F21D" w14:textId="77777777" w:rsidTr="00265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vMerge/>
            <w:tcBorders>
              <w:top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14:paraId="011554B5" w14:textId="77777777" w:rsidR="00055722" w:rsidRPr="0046371A" w:rsidRDefault="00055722" w:rsidP="00DE00DC">
            <w:pPr>
              <w:pStyle w:val="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5F6265" w14:textId="6FA24FCC" w:rsidR="00055722" w:rsidRPr="00055722" w:rsidRDefault="00055722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722">
              <w:rPr>
                <w:rFonts w:ascii="Arial" w:hAnsi="Arial" w:cs="Arial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4E90D7" w14:textId="7D58F1DE" w:rsidR="00055722" w:rsidRPr="00055722" w:rsidRDefault="00055722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722">
              <w:rPr>
                <w:rFonts w:ascii="Arial" w:hAnsi="Arial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174668" w14:textId="77777777" w:rsidR="00055722" w:rsidRPr="00055722" w:rsidRDefault="00055722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722">
              <w:rPr>
                <w:rFonts w:ascii="Arial" w:hAnsi="Arial" w:cs="Arial"/>
                <w:b/>
                <w:bCs/>
                <w:sz w:val="22"/>
                <w:szCs w:val="22"/>
              </w:rPr>
              <w:t>(BRASIL, 2019)</w:t>
            </w:r>
          </w:p>
        </w:tc>
      </w:tr>
      <w:tr w:rsidR="000862C3" w:rsidRPr="00FD0DAF" w14:paraId="7C70CBDF" w14:textId="77777777" w:rsidTr="00265A1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BF91B1A" w14:textId="77777777" w:rsidR="00FD0DAF" w:rsidRPr="00265A1A" w:rsidRDefault="00FD0DAF" w:rsidP="00265A1A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65A1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E. coli</w:t>
            </w:r>
            <w:r w:rsidRP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(NMP/g)</w:t>
            </w: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E9182BF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&lt; 3,0</w:t>
            </w:r>
          </w:p>
        </w:tc>
        <w:tc>
          <w:tcPr>
            <w:tcW w:w="653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F51AC1B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&lt; 3,0</w:t>
            </w:r>
          </w:p>
        </w:tc>
        <w:tc>
          <w:tcPr>
            <w:tcW w:w="1208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B447608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5x10²</w:t>
            </w:r>
          </w:p>
        </w:tc>
      </w:tr>
      <w:tr w:rsidR="007F1AFE" w:rsidRPr="00FD0DAF" w14:paraId="0D207EC9" w14:textId="77777777" w:rsidTr="00265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0E4A2858" w14:textId="6A65FEC6" w:rsidR="00FD0DAF" w:rsidRPr="00265A1A" w:rsidRDefault="00FD0DAF" w:rsidP="00265A1A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Estafilococos</w:t>
            </w:r>
            <w:r w:rsidR="000862C3" w:rsidRP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coagulase-positiva (UFC/g)</w:t>
            </w:r>
          </w:p>
        </w:tc>
        <w:tc>
          <w:tcPr>
            <w:tcW w:w="541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4DFA7509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&lt;10</w:t>
            </w:r>
          </w:p>
        </w:tc>
        <w:tc>
          <w:tcPr>
            <w:tcW w:w="653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1C68B589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&lt;10</w:t>
            </w:r>
          </w:p>
        </w:tc>
        <w:tc>
          <w:tcPr>
            <w:tcW w:w="1208" w:type="pct"/>
            <w:tcBorders>
              <w:top w:val="nil"/>
              <w:bottom w:val="none" w:sz="0" w:space="0" w:color="auto"/>
            </w:tcBorders>
            <w:noWrap/>
            <w:vAlign w:val="center"/>
            <w:hideMark/>
          </w:tcPr>
          <w:p w14:paraId="78090562" w14:textId="0A87A57B" w:rsidR="00FD0DAF" w:rsidRPr="0046371A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5 x 103</w:t>
            </w:r>
          </w:p>
        </w:tc>
      </w:tr>
      <w:tr w:rsidR="000862C3" w:rsidRPr="00FD0DAF" w14:paraId="1A456D3F" w14:textId="77777777" w:rsidTr="00265A1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noWrap/>
            <w:vAlign w:val="center"/>
            <w:hideMark/>
          </w:tcPr>
          <w:p w14:paraId="32AC9400" w14:textId="10E41B7B" w:rsidR="00FD0DAF" w:rsidRPr="00265A1A" w:rsidRDefault="00FD0DAF" w:rsidP="00265A1A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65A1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Salmonella</w:t>
            </w:r>
            <w:r w:rsidRP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spp.</w:t>
            </w:r>
          </w:p>
        </w:tc>
        <w:tc>
          <w:tcPr>
            <w:tcW w:w="541" w:type="pct"/>
            <w:noWrap/>
            <w:vAlign w:val="center"/>
            <w:hideMark/>
          </w:tcPr>
          <w:p w14:paraId="21B69992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Aus.</w:t>
            </w:r>
          </w:p>
        </w:tc>
        <w:tc>
          <w:tcPr>
            <w:tcW w:w="653" w:type="pct"/>
            <w:noWrap/>
            <w:vAlign w:val="center"/>
            <w:hideMark/>
          </w:tcPr>
          <w:p w14:paraId="752E3A25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Aus.</w:t>
            </w:r>
          </w:p>
        </w:tc>
        <w:tc>
          <w:tcPr>
            <w:tcW w:w="1208" w:type="pct"/>
            <w:noWrap/>
            <w:vAlign w:val="center"/>
            <w:hideMark/>
          </w:tcPr>
          <w:p w14:paraId="0979A1EB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Ausência</w:t>
            </w:r>
          </w:p>
        </w:tc>
      </w:tr>
      <w:tr w:rsidR="007F1AFE" w:rsidRPr="00FD0DAF" w14:paraId="216A8FED" w14:textId="77777777" w:rsidTr="00265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47CB831" w14:textId="54660173" w:rsidR="00FD0DAF" w:rsidRPr="00265A1A" w:rsidRDefault="00FD0DAF" w:rsidP="00265A1A">
            <w:pPr>
              <w:pStyle w:val="Corpodetexto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Bactérias mesófilas</w:t>
            </w:r>
            <w:r w:rsid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B52E99" w:rsidRPr="00265A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(UFC/g)</w:t>
            </w:r>
          </w:p>
        </w:tc>
        <w:tc>
          <w:tcPr>
            <w:tcW w:w="54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FB31361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4 x 10²</w:t>
            </w:r>
          </w:p>
        </w:tc>
        <w:tc>
          <w:tcPr>
            <w:tcW w:w="6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3FB5983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2 x 10²</w:t>
            </w:r>
          </w:p>
        </w:tc>
        <w:tc>
          <w:tcPr>
            <w:tcW w:w="120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CA5D860" w14:textId="77777777" w:rsidR="00FD0DAF" w:rsidRPr="0046371A" w:rsidRDefault="00FD0DAF" w:rsidP="00DE00DC">
            <w:pPr>
              <w:pStyle w:val="Corpodetex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371A">
              <w:rPr>
                <w:rFonts w:ascii="Arial" w:hAnsi="Arial" w:cs="Arial"/>
                <w:sz w:val="22"/>
                <w:szCs w:val="22"/>
              </w:rPr>
              <w:t>10</w:t>
            </w:r>
            <w:r w:rsidRPr="00FD7607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46371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43189720" w14:textId="50725207" w:rsidR="009F1282" w:rsidRPr="00F730C7" w:rsidRDefault="009F1282" w:rsidP="00DE00DC">
      <w:pPr>
        <w:keepNext/>
        <w:jc w:val="both"/>
        <w:rPr>
          <w:rFonts w:ascii="Arial" w:hAnsi="Arial" w:cs="Arial"/>
          <w:iCs/>
          <w:sz w:val="16"/>
          <w:szCs w:val="16"/>
          <w:lang w:val="pt-BR"/>
        </w:rPr>
      </w:pPr>
      <w:r w:rsidRPr="00AB5E16">
        <w:rPr>
          <w:rFonts w:ascii="Arial" w:hAnsi="Arial" w:cs="Arial"/>
          <w:iCs/>
          <w:sz w:val="16"/>
          <w:szCs w:val="16"/>
        </w:rPr>
        <w:t>F</w:t>
      </w:r>
      <w:r w:rsidR="00055722">
        <w:rPr>
          <w:rFonts w:ascii="Arial" w:hAnsi="Arial" w:cs="Arial"/>
          <w:iCs/>
          <w:sz w:val="16"/>
          <w:szCs w:val="16"/>
        </w:rPr>
        <w:t>1: Formulação 1, com glútem</w:t>
      </w:r>
      <w:r w:rsidRPr="00AB5E16">
        <w:rPr>
          <w:rFonts w:ascii="Arial" w:hAnsi="Arial" w:cs="Arial"/>
          <w:iCs/>
          <w:sz w:val="16"/>
          <w:szCs w:val="16"/>
        </w:rPr>
        <w:t>;</w:t>
      </w:r>
      <w:r w:rsidR="00055722">
        <w:rPr>
          <w:rFonts w:ascii="Arial" w:hAnsi="Arial" w:cs="Arial"/>
          <w:iCs/>
          <w:sz w:val="16"/>
          <w:szCs w:val="16"/>
        </w:rPr>
        <w:t xml:space="preserve"> F2: Formulação 2, sem glutêm</w:t>
      </w:r>
      <w:r w:rsidR="00E86304">
        <w:rPr>
          <w:rFonts w:ascii="Arial" w:hAnsi="Arial" w:cs="Arial"/>
          <w:iCs/>
          <w:sz w:val="16"/>
          <w:szCs w:val="16"/>
        </w:rPr>
        <w:t xml:space="preserve">. </w:t>
      </w:r>
      <w:r w:rsidRPr="00F730C7">
        <w:rPr>
          <w:rFonts w:ascii="Arial" w:hAnsi="Arial" w:cs="Arial"/>
          <w:iCs/>
          <w:sz w:val="16"/>
          <w:szCs w:val="16"/>
          <w:lang w:val="pt-BR"/>
        </w:rPr>
        <w:t>NMP:</w:t>
      </w:r>
      <w:r w:rsidR="00055722" w:rsidRPr="00F730C7">
        <w:rPr>
          <w:rFonts w:ascii="Arial" w:hAnsi="Arial" w:cs="Arial"/>
          <w:iCs/>
          <w:sz w:val="16"/>
          <w:szCs w:val="16"/>
          <w:lang w:val="pt-BR"/>
        </w:rPr>
        <w:t xml:space="preserve"> Número Mais Provável</w:t>
      </w:r>
      <w:r w:rsidRPr="00F730C7">
        <w:rPr>
          <w:rFonts w:ascii="Arial" w:hAnsi="Arial" w:cs="Arial"/>
          <w:iCs/>
          <w:sz w:val="16"/>
          <w:szCs w:val="16"/>
          <w:lang w:val="pt-BR"/>
        </w:rPr>
        <w:t>.</w:t>
      </w:r>
      <w:r w:rsidR="00E86304" w:rsidRPr="00F730C7">
        <w:rPr>
          <w:rFonts w:ascii="Arial" w:hAnsi="Arial" w:cs="Arial"/>
          <w:iCs/>
          <w:sz w:val="16"/>
          <w:szCs w:val="16"/>
          <w:lang w:val="pt-BR"/>
        </w:rPr>
        <w:t xml:space="preserve"> </w:t>
      </w:r>
      <w:r w:rsidR="00055722" w:rsidRPr="00AB5E16">
        <w:rPr>
          <w:rFonts w:ascii="Arial" w:hAnsi="Arial" w:cs="Arial"/>
          <w:iCs/>
          <w:sz w:val="16"/>
          <w:szCs w:val="16"/>
        </w:rPr>
        <w:t>UFC: Unidade Formadora de Colônias.</w:t>
      </w:r>
      <w:r w:rsidR="00055722">
        <w:rPr>
          <w:rFonts w:ascii="Arial" w:hAnsi="Arial" w:cs="Arial"/>
          <w:iCs/>
          <w:sz w:val="16"/>
          <w:szCs w:val="16"/>
        </w:rPr>
        <w:t xml:space="preserve"> </w:t>
      </w:r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*ICMSF -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International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Commission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on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Microgiological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Specifications</w:t>
      </w:r>
      <w:proofErr w:type="spellEnd"/>
      <w:r w:rsidRPr="00F730C7">
        <w:rPr>
          <w:rFonts w:ascii="Arial" w:hAnsi="Arial" w:cs="Arial"/>
          <w:iCs/>
          <w:sz w:val="16"/>
          <w:szCs w:val="16"/>
          <w:lang w:val="pt-BR"/>
        </w:rPr>
        <w:t xml:space="preserve"> for </w:t>
      </w:r>
      <w:proofErr w:type="spellStart"/>
      <w:r w:rsidRPr="00F730C7">
        <w:rPr>
          <w:rFonts w:ascii="Arial" w:hAnsi="Arial" w:cs="Arial"/>
          <w:iCs/>
          <w:sz w:val="16"/>
          <w:szCs w:val="16"/>
          <w:lang w:val="pt-BR"/>
        </w:rPr>
        <w:t>Foods</w:t>
      </w:r>
      <w:proofErr w:type="spellEnd"/>
      <w:r w:rsidR="00055722" w:rsidRPr="00F730C7">
        <w:rPr>
          <w:rFonts w:ascii="Arial" w:hAnsi="Arial" w:cs="Arial"/>
          <w:iCs/>
          <w:sz w:val="16"/>
          <w:szCs w:val="16"/>
          <w:lang w:val="pt-BR"/>
        </w:rPr>
        <w:t>.</w:t>
      </w:r>
    </w:p>
    <w:p w14:paraId="34821361" w14:textId="77777777" w:rsidR="00265A1A" w:rsidRDefault="00265A1A" w:rsidP="00911231">
      <w:pPr>
        <w:pStyle w:val="Corpodetexto"/>
        <w:ind w:left="0" w:firstLine="567"/>
        <w:rPr>
          <w:rFonts w:ascii="Arial" w:hAnsi="Arial" w:cs="Arial"/>
        </w:rPr>
      </w:pPr>
    </w:p>
    <w:p w14:paraId="11F3457E" w14:textId="0C692D5D" w:rsidR="004804C3" w:rsidRDefault="00FE44FE" w:rsidP="00911231">
      <w:pPr>
        <w:pStyle w:val="Corpodetex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A porcentagel de aceitação do</w:t>
      </w:r>
      <w:r w:rsidR="00554F87" w:rsidRPr="00554F87">
        <w:rPr>
          <w:rFonts w:ascii="Arial" w:hAnsi="Arial" w:cs="Arial"/>
        </w:rPr>
        <w:t xml:space="preserve">s </w:t>
      </w:r>
      <w:r w:rsidR="00F37812">
        <w:rPr>
          <w:rFonts w:ascii="Arial" w:hAnsi="Arial" w:cs="Arial"/>
        </w:rPr>
        <w:t xml:space="preserve">atributos sensoriais </w:t>
      </w:r>
      <w:r w:rsidR="00554F87" w:rsidRPr="00554F87">
        <w:rPr>
          <w:rFonts w:ascii="Arial" w:hAnsi="Arial" w:cs="Arial"/>
        </w:rPr>
        <w:t xml:space="preserve">das </w:t>
      </w:r>
      <w:r w:rsidR="00F37812">
        <w:rPr>
          <w:rFonts w:ascii="Arial" w:hAnsi="Arial" w:cs="Arial"/>
        </w:rPr>
        <w:t xml:space="preserve">amostras </w:t>
      </w:r>
      <w:r w:rsidR="00554F87" w:rsidRPr="00554F87">
        <w:rPr>
          <w:rFonts w:ascii="Arial" w:hAnsi="Arial" w:cs="Arial"/>
        </w:rPr>
        <w:t>de bolinho</w:t>
      </w:r>
      <w:r w:rsidR="00F37812">
        <w:rPr>
          <w:rFonts w:ascii="Arial" w:hAnsi="Arial" w:cs="Arial"/>
        </w:rPr>
        <w:t>s</w:t>
      </w:r>
      <w:r w:rsidR="00554F87" w:rsidRPr="00554F87">
        <w:rPr>
          <w:rFonts w:ascii="Arial" w:hAnsi="Arial" w:cs="Arial"/>
        </w:rPr>
        <w:t xml:space="preserve"> </w:t>
      </w:r>
      <w:r w:rsidR="00554F87" w:rsidRPr="00554F87">
        <w:rPr>
          <w:rFonts w:ascii="Arial" w:hAnsi="Arial" w:cs="Arial"/>
        </w:rPr>
        <w:lastRenderedPageBreak/>
        <w:t>de lagosta estão apresentados</w:t>
      </w:r>
      <w:r w:rsidR="00554F87">
        <w:rPr>
          <w:rFonts w:ascii="Arial" w:hAnsi="Arial" w:cs="Arial"/>
        </w:rPr>
        <w:t xml:space="preserve"> na Figura 1.</w:t>
      </w:r>
      <w:r w:rsidR="00A125AC" w:rsidRPr="00A125AC">
        <w:rPr>
          <w:rFonts w:ascii="Arial" w:hAnsi="Arial" w:cs="Arial"/>
        </w:rPr>
        <w:t xml:space="preserve"> </w:t>
      </w:r>
    </w:p>
    <w:p w14:paraId="01A1386B" w14:textId="2B7E7D90" w:rsidR="00605B59" w:rsidRDefault="0089445D" w:rsidP="00DE00DC">
      <w:pPr>
        <w:pStyle w:val="Corpodetexto"/>
        <w:ind w:left="0" w:firstLine="56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841FAD" wp14:editId="471C61B8">
            <wp:simplePos x="0" y="0"/>
            <wp:positionH relativeFrom="margin">
              <wp:posOffset>825500</wp:posOffset>
            </wp:positionH>
            <wp:positionV relativeFrom="paragraph">
              <wp:posOffset>177800</wp:posOffset>
            </wp:positionV>
            <wp:extent cx="3893820" cy="2697480"/>
            <wp:effectExtent l="0" t="0" r="11430" b="7620"/>
            <wp:wrapSquare wrapText="bothSides"/>
            <wp:docPr id="9000546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3C7ED" w14:textId="18F5DF26" w:rsidR="00A10EE5" w:rsidRDefault="00A10EE5" w:rsidP="00DE00DC">
      <w:pPr>
        <w:pStyle w:val="Corpodetexto"/>
        <w:ind w:left="0" w:firstLine="568"/>
        <w:rPr>
          <w:rFonts w:ascii="Arial" w:hAnsi="Arial" w:cs="Arial"/>
        </w:rPr>
      </w:pPr>
    </w:p>
    <w:p w14:paraId="322B5613" w14:textId="78304D32" w:rsidR="000E3A44" w:rsidRDefault="000E3A44" w:rsidP="00DE00DC">
      <w:pPr>
        <w:pStyle w:val="Corpodetexto"/>
        <w:ind w:left="0" w:firstLine="568"/>
        <w:rPr>
          <w:rFonts w:ascii="Arial" w:hAnsi="Arial" w:cs="Arial"/>
        </w:rPr>
      </w:pPr>
    </w:p>
    <w:p w14:paraId="4E8E948F" w14:textId="39949AD6" w:rsidR="000E3A44" w:rsidRPr="00FF6845" w:rsidRDefault="000E3A44" w:rsidP="00DE00DC">
      <w:pPr>
        <w:pStyle w:val="Corpodetexto"/>
        <w:ind w:left="0" w:firstLine="568"/>
        <w:rPr>
          <w:rFonts w:ascii="Arial" w:hAnsi="Arial" w:cs="Arial"/>
        </w:rPr>
      </w:pPr>
    </w:p>
    <w:p w14:paraId="7BE0ECEB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062DE831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3EB9BA78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C8FA4F2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AC38F71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04FA3513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6AC1D80C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35280002" w14:textId="6573A751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47CF6CD" w14:textId="32082A39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612657D2" w14:textId="6E1B72D1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1E1706E3" w14:textId="47428FF4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212F7C02" w14:textId="77777777" w:rsidR="00A125AC" w:rsidRDefault="00A125AC" w:rsidP="00DE00DC">
      <w:pPr>
        <w:pStyle w:val="Corpodetexto"/>
        <w:ind w:left="0"/>
        <w:jc w:val="left"/>
        <w:rPr>
          <w:rFonts w:ascii="Arial" w:hAnsi="Arial" w:cs="Arial"/>
        </w:rPr>
      </w:pPr>
    </w:p>
    <w:p w14:paraId="5AE70E5A" w14:textId="77777777" w:rsidR="0089445D" w:rsidRDefault="0089445D" w:rsidP="00F37812">
      <w:pPr>
        <w:pStyle w:val="Legenda"/>
        <w:spacing w:after="0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14:paraId="1A87AA91" w14:textId="2EA3BF1A" w:rsidR="00F37812" w:rsidRPr="00554F87" w:rsidRDefault="00F37812" w:rsidP="00F37812">
      <w:pPr>
        <w:pStyle w:val="Legenda"/>
        <w:spacing w:after="0"/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</w:pP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Figura </w:t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Figura \* ARABIC </w:instrText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554F87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554F8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A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tributos sensoriais 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das 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f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ormulações de 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b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>olinho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s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de 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l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>agosta.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>F1: Formulação 1, com glútem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e</w:t>
      </w:r>
      <w:r w:rsidRPr="00554F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F2: Formulação 2, sem glutêm</w:t>
      </w:r>
      <w:r w:rsidR="00176317">
        <w:rPr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425211AE" w14:textId="77777777" w:rsidR="00F37812" w:rsidRDefault="00F37812" w:rsidP="00911231">
      <w:pPr>
        <w:pStyle w:val="Corpodetexto"/>
        <w:ind w:left="0" w:firstLine="567"/>
        <w:rPr>
          <w:rFonts w:ascii="Arial" w:hAnsi="Arial" w:cs="Arial"/>
        </w:rPr>
      </w:pPr>
    </w:p>
    <w:p w14:paraId="1C592FB7" w14:textId="64817083" w:rsidR="00F83A4E" w:rsidRDefault="00A125AC" w:rsidP="00911231">
      <w:pPr>
        <w:pStyle w:val="Corpodetexto"/>
        <w:ind w:left="0" w:firstLine="567"/>
        <w:rPr>
          <w:sz w:val="22"/>
          <w:szCs w:val="22"/>
        </w:rPr>
      </w:pPr>
      <w:r>
        <w:rPr>
          <w:rFonts w:ascii="Arial" w:hAnsi="Arial" w:cs="Arial"/>
        </w:rPr>
        <w:t xml:space="preserve">A </w:t>
      </w:r>
      <w:r w:rsidRPr="00A125AC">
        <w:rPr>
          <w:rFonts w:ascii="Arial" w:hAnsi="Arial" w:cs="Arial"/>
        </w:rPr>
        <w:t xml:space="preserve">Formulação </w:t>
      </w:r>
      <w:r>
        <w:rPr>
          <w:rFonts w:ascii="Arial" w:hAnsi="Arial" w:cs="Arial"/>
        </w:rPr>
        <w:t>F</w:t>
      </w:r>
      <w:r w:rsidRPr="00A125AC">
        <w:rPr>
          <w:rFonts w:ascii="Arial" w:hAnsi="Arial" w:cs="Arial"/>
        </w:rPr>
        <w:t xml:space="preserve">1 (com </w:t>
      </w:r>
      <w:r w:rsidR="00176317">
        <w:rPr>
          <w:rFonts w:ascii="Arial" w:hAnsi="Arial" w:cs="Arial"/>
        </w:rPr>
        <w:t>aipim</w:t>
      </w:r>
      <w:r w:rsidRPr="00A125AC">
        <w:rPr>
          <w:rFonts w:ascii="Arial" w:hAnsi="Arial" w:cs="Arial"/>
        </w:rPr>
        <w:t xml:space="preserve">) </w:t>
      </w:r>
      <w:r w:rsidR="00396852">
        <w:rPr>
          <w:rFonts w:ascii="Arial" w:hAnsi="Arial" w:cs="Arial"/>
        </w:rPr>
        <w:t xml:space="preserve"> </w:t>
      </w:r>
      <w:r w:rsidR="00176317">
        <w:rPr>
          <w:rFonts w:ascii="Arial" w:hAnsi="Arial" w:cs="Arial"/>
        </w:rPr>
        <w:t xml:space="preserve">apresentou percentual </w:t>
      </w:r>
      <w:r w:rsidR="00E35C17">
        <w:rPr>
          <w:rFonts w:ascii="Arial" w:hAnsi="Arial" w:cs="Arial"/>
        </w:rPr>
        <w:t>de aceitação maior que a formulação F2 com exceção dos atributos</w:t>
      </w:r>
      <w:r w:rsidR="00176317">
        <w:rPr>
          <w:rFonts w:ascii="Arial" w:hAnsi="Arial" w:cs="Arial"/>
        </w:rPr>
        <w:t xml:space="preserve"> </w:t>
      </w:r>
      <w:r w:rsidR="00E35C17">
        <w:rPr>
          <w:rFonts w:ascii="Arial" w:hAnsi="Arial" w:cs="Arial"/>
        </w:rPr>
        <w:t>aroma e aspecto. Acredita-se que este resultado se deve a prática comum de bolinhos usando o aipim como massa</w:t>
      </w:r>
      <w:r w:rsidR="0023376D">
        <w:rPr>
          <w:rFonts w:ascii="Arial" w:hAnsi="Arial" w:cs="Arial"/>
        </w:rPr>
        <w:t xml:space="preserve"> e já consumidos pela </w:t>
      </w:r>
      <w:r w:rsidR="00E35C17">
        <w:rPr>
          <w:rFonts w:ascii="Arial" w:hAnsi="Arial" w:cs="Arial"/>
        </w:rPr>
        <w:t xml:space="preserve">maioria dos provadores </w:t>
      </w:r>
      <w:r w:rsidR="0023376D">
        <w:rPr>
          <w:rFonts w:ascii="Arial" w:hAnsi="Arial" w:cs="Arial"/>
        </w:rPr>
        <w:t xml:space="preserve">que </w:t>
      </w:r>
      <w:r w:rsidR="00E35C17">
        <w:rPr>
          <w:rFonts w:ascii="Arial" w:hAnsi="Arial" w:cs="Arial"/>
        </w:rPr>
        <w:t>eram estudantes universitários, enquanto o uso da BBV não é um ingrediente usual na elaboração dessa iguaria.</w:t>
      </w:r>
      <w:r w:rsidR="00CE68D1">
        <w:rPr>
          <w:rFonts w:ascii="Arial" w:hAnsi="Arial" w:cs="Arial"/>
        </w:rPr>
        <w:t xml:space="preserve"> </w:t>
      </w:r>
      <w:r w:rsidR="0023376D">
        <w:rPr>
          <w:rFonts w:ascii="Arial" w:hAnsi="Arial" w:cs="Arial"/>
        </w:rPr>
        <w:t xml:space="preserve">Apesar disso, </w:t>
      </w:r>
      <w:r w:rsidR="00CE68D1">
        <w:rPr>
          <w:rFonts w:ascii="Arial" w:hAnsi="Arial" w:cs="Arial"/>
        </w:rPr>
        <w:t>ambos os bolinhos foram bem aceitos com IA</w:t>
      </w:r>
      <w:r w:rsidR="007C1D20" w:rsidRPr="007C1D20">
        <w:rPr>
          <w:rFonts w:ascii="Arial" w:hAnsi="Arial" w:cs="Arial"/>
        </w:rPr>
        <w:t xml:space="preserve"> (</w:t>
      </w:r>
      <w:r w:rsidR="00CE68D1">
        <w:rPr>
          <w:rFonts w:ascii="Arial" w:hAnsi="Arial" w:cs="Arial"/>
        </w:rPr>
        <w:t>%</w:t>
      </w:r>
      <w:r w:rsidR="007C1D20" w:rsidRPr="007C1D20">
        <w:rPr>
          <w:rFonts w:ascii="Arial" w:hAnsi="Arial" w:cs="Arial"/>
        </w:rPr>
        <w:t xml:space="preserve">) de </w:t>
      </w:r>
      <w:r w:rsidR="00CE68D1">
        <w:rPr>
          <w:rFonts w:ascii="Arial" w:hAnsi="Arial" w:cs="Arial"/>
        </w:rPr>
        <w:t>83% para a f</w:t>
      </w:r>
      <w:r w:rsidR="007C1D20" w:rsidRPr="007C1D20">
        <w:rPr>
          <w:rFonts w:ascii="Arial" w:hAnsi="Arial" w:cs="Arial"/>
        </w:rPr>
        <w:t>ormulação F1</w:t>
      </w:r>
      <w:r w:rsidR="00CE68D1">
        <w:rPr>
          <w:rFonts w:ascii="Arial" w:hAnsi="Arial" w:cs="Arial"/>
        </w:rPr>
        <w:t xml:space="preserve"> e de 78</w:t>
      </w:r>
      <w:r w:rsidR="007C1D20" w:rsidRPr="007C1D20">
        <w:rPr>
          <w:rFonts w:ascii="Arial" w:hAnsi="Arial" w:cs="Arial"/>
        </w:rPr>
        <w:t>%</w:t>
      </w:r>
      <w:r w:rsidR="00CE68D1">
        <w:rPr>
          <w:rFonts w:ascii="Arial" w:hAnsi="Arial" w:cs="Arial"/>
        </w:rPr>
        <w:t xml:space="preserve"> para a form</w:t>
      </w:r>
      <w:r w:rsidR="007C1D20" w:rsidRPr="007C1D20">
        <w:rPr>
          <w:rFonts w:ascii="Arial" w:hAnsi="Arial" w:cs="Arial"/>
        </w:rPr>
        <w:t>ulação F2</w:t>
      </w:r>
      <w:r w:rsidR="00026522">
        <w:rPr>
          <w:rFonts w:ascii="Arial" w:hAnsi="Arial" w:cs="Arial"/>
        </w:rPr>
        <w:t xml:space="preserve">, demonstrando </w:t>
      </w:r>
      <w:r w:rsidR="007C1D20" w:rsidRPr="007C1D20">
        <w:rPr>
          <w:rFonts w:ascii="Arial" w:hAnsi="Arial" w:cs="Arial"/>
        </w:rPr>
        <w:t xml:space="preserve">que a substituição do aipim pela BBV e a inclusão de maca peruana não comprometem as características sensoriais do produto. </w:t>
      </w:r>
    </w:p>
    <w:p w14:paraId="5B18A190" w14:textId="6CF15C42" w:rsidR="007C1D20" w:rsidRDefault="00F83A4E" w:rsidP="00911231">
      <w:pPr>
        <w:pStyle w:val="Corpodetexto"/>
        <w:ind w:left="0" w:firstLine="567"/>
        <w:rPr>
          <w:sz w:val="22"/>
          <w:szCs w:val="22"/>
        </w:rPr>
      </w:pPr>
      <w:r w:rsidRPr="00F83A4E">
        <w:rPr>
          <w:rFonts w:ascii="Arial" w:hAnsi="Arial" w:cs="Arial"/>
        </w:rPr>
        <w:t xml:space="preserve">A incorporação de quitosana, maca peruana, hidrolisado de levedura e própolis na formulação F2 </w:t>
      </w:r>
      <w:r w:rsidR="00DF51C0">
        <w:rPr>
          <w:rFonts w:ascii="Arial" w:hAnsi="Arial" w:cs="Arial"/>
        </w:rPr>
        <w:t>se destaca como u</w:t>
      </w:r>
      <w:r w:rsidRPr="00F83A4E">
        <w:rPr>
          <w:rFonts w:ascii="Arial" w:hAnsi="Arial" w:cs="Arial"/>
        </w:rPr>
        <w:t xml:space="preserve">m avanço na </w:t>
      </w:r>
      <w:r w:rsidR="00DF51C0">
        <w:rPr>
          <w:rFonts w:ascii="Arial" w:hAnsi="Arial" w:cs="Arial"/>
        </w:rPr>
        <w:t xml:space="preserve">elaboração </w:t>
      </w:r>
      <w:r w:rsidRPr="00F83A4E">
        <w:rPr>
          <w:rFonts w:ascii="Arial" w:hAnsi="Arial" w:cs="Arial"/>
        </w:rPr>
        <w:t>de produtos funcionais e saudáveis.</w:t>
      </w:r>
      <w:r>
        <w:rPr>
          <w:rFonts w:ascii="Arial" w:hAnsi="Arial" w:cs="Arial"/>
        </w:rPr>
        <w:t xml:space="preserve"> A </w:t>
      </w:r>
      <w:r w:rsidRPr="00F83A4E">
        <w:rPr>
          <w:rFonts w:ascii="Arial" w:hAnsi="Arial" w:cs="Arial"/>
        </w:rPr>
        <w:t xml:space="preserve">quitosana </w:t>
      </w:r>
      <w:r w:rsidR="00DF51C0">
        <w:rPr>
          <w:rFonts w:ascii="Arial" w:hAnsi="Arial" w:cs="Arial"/>
        </w:rPr>
        <w:t xml:space="preserve">além de </w:t>
      </w:r>
      <w:r w:rsidRPr="00F83A4E">
        <w:rPr>
          <w:rFonts w:ascii="Arial" w:hAnsi="Arial" w:cs="Arial"/>
        </w:rPr>
        <w:t>auxilia</w:t>
      </w:r>
      <w:r w:rsidR="00DF51C0">
        <w:rPr>
          <w:rFonts w:ascii="Arial" w:hAnsi="Arial" w:cs="Arial"/>
        </w:rPr>
        <w:t>r</w:t>
      </w:r>
      <w:r w:rsidRPr="00F83A4E">
        <w:rPr>
          <w:rFonts w:ascii="Arial" w:hAnsi="Arial" w:cs="Arial"/>
        </w:rPr>
        <w:t xml:space="preserve"> na preservação dos alimentos, </w:t>
      </w:r>
      <w:r w:rsidR="00DF51C0">
        <w:rPr>
          <w:rFonts w:ascii="Arial" w:hAnsi="Arial" w:cs="Arial"/>
        </w:rPr>
        <w:t xml:space="preserve">devido suas </w:t>
      </w:r>
      <w:r w:rsidRPr="00F83A4E">
        <w:rPr>
          <w:rFonts w:ascii="Arial" w:hAnsi="Arial" w:cs="Arial"/>
        </w:rPr>
        <w:t xml:space="preserve">propriedades antimicrobianas e antioxidantes (ALVES </w:t>
      </w:r>
      <w:r w:rsidRPr="00F83A4E">
        <w:rPr>
          <w:rFonts w:ascii="Arial" w:hAnsi="Arial" w:cs="Arial"/>
          <w:i/>
          <w:iCs/>
        </w:rPr>
        <w:t>et al</w:t>
      </w:r>
      <w:r w:rsidRPr="00F83A4E">
        <w:rPr>
          <w:rFonts w:ascii="Arial" w:hAnsi="Arial" w:cs="Arial"/>
        </w:rPr>
        <w:t>., 2013)</w:t>
      </w:r>
      <w:r w:rsidR="00DF51C0">
        <w:rPr>
          <w:rFonts w:ascii="Arial" w:hAnsi="Arial" w:cs="Arial"/>
        </w:rPr>
        <w:t xml:space="preserve"> também age como fibra no organismo promovendo a absorção da gordura, enquanto as</w:t>
      </w:r>
      <w:r w:rsidR="00DF51C0" w:rsidRPr="00F458C5">
        <w:rPr>
          <w:rFonts w:ascii="Arial" w:hAnsi="Arial" w:cs="Arial"/>
        </w:rPr>
        <w:t xml:space="preserve"> propriedades antioxidantes e antimicrobianas</w:t>
      </w:r>
      <w:r w:rsidR="00DF51C0">
        <w:rPr>
          <w:rFonts w:ascii="Arial" w:hAnsi="Arial" w:cs="Arial"/>
        </w:rPr>
        <w:t xml:space="preserve"> da própolis</w:t>
      </w:r>
      <w:r w:rsidR="00DF51C0" w:rsidRPr="00F458C5">
        <w:rPr>
          <w:rFonts w:ascii="Arial" w:hAnsi="Arial" w:cs="Arial"/>
        </w:rPr>
        <w:t xml:space="preserve"> </w:t>
      </w:r>
      <w:r w:rsidR="00DF51C0">
        <w:rPr>
          <w:rFonts w:ascii="Arial" w:hAnsi="Arial" w:cs="Arial"/>
        </w:rPr>
        <w:t xml:space="preserve">também </w:t>
      </w:r>
      <w:r w:rsidR="00DF51C0" w:rsidRPr="00F458C5">
        <w:rPr>
          <w:rFonts w:ascii="Arial" w:hAnsi="Arial" w:cs="Arial"/>
        </w:rPr>
        <w:t>melhora</w:t>
      </w:r>
      <w:r w:rsidR="00DF51C0">
        <w:rPr>
          <w:rFonts w:ascii="Arial" w:hAnsi="Arial" w:cs="Arial"/>
        </w:rPr>
        <w:t>m</w:t>
      </w:r>
      <w:r w:rsidR="00DF51C0" w:rsidRPr="00F458C5">
        <w:rPr>
          <w:rFonts w:ascii="Arial" w:hAnsi="Arial" w:cs="Arial"/>
        </w:rPr>
        <w:t xml:space="preserve"> a segurança dos alimentos e fortalece o sistema imunológico (CAMPOS </w:t>
      </w:r>
      <w:r w:rsidR="00DF51C0" w:rsidRPr="00F458C5">
        <w:rPr>
          <w:rFonts w:ascii="Arial" w:hAnsi="Arial" w:cs="Arial"/>
          <w:i/>
          <w:iCs/>
        </w:rPr>
        <w:t>et al</w:t>
      </w:r>
      <w:r w:rsidR="00DF51C0" w:rsidRPr="00F458C5">
        <w:rPr>
          <w:rFonts w:ascii="Arial" w:hAnsi="Arial" w:cs="Arial"/>
        </w:rPr>
        <w:t>., 2014)</w:t>
      </w:r>
      <w:r w:rsidRPr="00F83A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83A4E">
        <w:rPr>
          <w:rFonts w:ascii="Arial" w:hAnsi="Arial" w:cs="Arial"/>
        </w:rPr>
        <w:t>A maca peruana</w:t>
      </w:r>
      <w:r w:rsidR="00DF51C0">
        <w:rPr>
          <w:rFonts w:ascii="Arial" w:hAnsi="Arial" w:cs="Arial"/>
        </w:rPr>
        <w:t xml:space="preserve"> é um ingrediente </w:t>
      </w:r>
      <w:r w:rsidRPr="00F83A4E">
        <w:rPr>
          <w:rFonts w:ascii="Arial" w:hAnsi="Arial" w:cs="Arial"/>
        </w:rPr>
        <w:t>ric</w:t>
      </w:r>
      <w:r w:rsidR="00DF51C0">
        <w:rPr>
          <w:rFonts w:ascii="Arial" w:hAnsi="Arial" w:cs="Arial"/>
        </w:rPr>
        <w:t>o</w:t>
      </w:r>
      <w:r w:rsidRPr="00F83A4E">
        <w:rPr>
          <w:rFonts w:ascii="Arial" w:hAnsi="Arial" w:cs="Arial"/>
        </w:rPr>
        <w:t xml:space="preserve"> em compostos bioativos</w:t>
      </w:r>
      <w:r w:rsidR="00DF51C0">
        <w:rPr>
          <w:rFonts w:ascii="Arial" w:hAnsi="Arial" w:cs="Arial"/>
        </w:rPr>
        <w:t xml:space="preserve"> que</w:t>
      </w:r>
      <w:r w:rsidRPr="00F83A4E">
        <w:rPr>
          <w:rFonts w:ascii="Arial" w:hAnsi="Arial" w:cs="Arial"/>
        </w:rPr>
        <w:t xml:space="preserve"> oferece benefícios antioxidantes e anti-inflamatórios (KNÖLKER, 2017)</w:t>
      </w:r>
      <w:r w:rsidR="00DF51C0">
        <w:rPr>
          <w:rFonts w:ascii="Arial" w:hAnsi="Arial" w:cs="Arial"/>
        </w:rPr>
        <w:t>, enquanto o</w:t>
      </w:r>
      <w:r w:rsidRPr="00F83A4E">
        <w:rPr>
          <w:rFonts w:ascii="Arial" w:hAnsi="Arial" w:cs="Arial"/>
        </w:rPr>
        <w:t xml:space="preserve"> hidrolisado de levedura intensifica o sabor permit</w:t>
      </w:r>
      <w:r w:rsidR="00DF51C0">
        <w:rPr>
          <w:rFonts w:ascii="Arial" w:hAnsi="Arial" w:cs="Arial"/>
        </w:rPr>
        <w:t xml:space="preserve">indo </w:t>
      </w:r>
      <w:r w:rsidRPr="00F83A4E">
        <w:rPr>
          <w:rFonts w:ascii="Arial" w:hAnsi="Arial" w:cs="Arial"/>
        </w:rPr>
        <w:t xml:space="preserve">a redução de sódio nos alimentos (BASSO </w:t>
      </w:r>
      <w:r w:rsidRPr="00F83A4E">
        <w:rPr>
          <w:rFonts w:ascii="Arial" w:hAnsi="Arial" w:cs="Arial"/>
          <w:i/>
          <w:iCs/>
        </w:rPr>
        <w:t>et al.</w:t>
      </w:r>
      <w:r w:rsidRPr="00F83A4E">
        <w:rPr>
          <w:rFonts w:ascii="Arial" w:hAnsi="Arial" w:cs="Arial"/>
        </w:rPr>
        <w:t>, 2008)</w:t>
      </w:r>
      <w:r w:rsidR="00F458C5">
        <w:rPr>
          <w:rFonts w:ascii="Arial" w:hAnsi="Arial" w:cs="Arial"/>
        </w:rPr>
        <w:t xml:space="preserve">. </w:t>
      </w:r>
      <w:r w:rsidR="00F458C5" w:rsidRPr="00F458C5">
        <w:rPr>
          <w:rFonts w:ascii="Arial" w:hAnsi="Arial" w:cs="Arial"/>
        </w:rPr>
        <w:t>Es</w:t>
      </w:r>
      <w:r w:rsidR="0073383E">
        <w:rPr>
          <w:rFonts w:ascii="Arial" w:hAnsi="Arial" w:cs="Arial"/>
        </w:rPr>
        <w:t>t</w:t>
      </w:r>
      <w:r w:rsidR="00F458C5" w:rsidRPr="00F458C5">
        <w:rPr>
          <w:rFonts w:ascii="Arial" w:hAnsi="Arial" w:cs="Arial"/>
        </w:rPr>
        <w:t xml:space="preserve">es ingredientes não </w:t>
      </w:r>
      <w:r w:rsidR="0073383E">
        <w:rPr>
          <w:rFonts w:ascii="Arial" w:hAnsi="Arial" w:cs="Arial"/>
        </w:rPr>
        <w:t xml:space="preserve">só melhoram </w:t>
      </w:r>
      <w:r w:rsidR="00F458C5" w:rsidRPr="00F458C5">
        <w:rPr>
          <w:rFonts w:ascii="Arial" w:hAnsi="Arial" w:cs="Arial"/>
        </w:rPr>
        <w:t xml:space="preserve">o valor nutricional da formulação F2, </w:t>
      </w:r>
      <w:r w:rsidR="0073383E">
        <w:rPr>
          <w:rFonts w:ascii="Arial" w:hAnsi="Arial" w:cs="Arial"/>
        </w:rPr>
        <w:t xml:space="preserve">como </w:t>
      </w:r>
      <w:r w:rsidR="00F458C5" w:rsidRPr="00F458C5">
        <w:rPr>
          <w:rFonts w:ascii="Arial" w:hAnsi="Arial" w:cs="Arial"/>
        </w:rPr>
        <w:t xml:space="preserve">também alinham o produto com as tendências de inovação na indústria alimentícia, proporcionando uma alternativa funcional e saudável para consumidores com restrições </w:t>
      </w:r>
      <w:r w:rsidR="00FD18BF">
        <w:rPr>
          <w:rFonts w:ascii="Arial" w:hAnsi="Arial" w:cs="Arial"/>
        </w:rPr>
        <w:t>ao glúten</w:t>
      </w:r>
      <w:r w:rsidR="00F458C5" w:rsidRPr="00F458C5">
        <w:rPr>
          <w:rFonts w:ascii="Arial" w:hAnsi="Arial" w:cs="Arial"/>
        </w:rPr>
        <w:t xml:space="preserve"> (STRAGLIOTTO </w:t>
      </w:r>
      <w:r w:rsidR="00F458C5" w:rsidRPr="00F458C5">
        <w:rPr>
          <w:rFonts w:ascii="Arial" w:hAnsi="Arial" w:cs="Arial"/>
          <w:i/>
          <w:iCs/>
        </w:rPr>
        <w:t>et al.</w:t>
      </w:r>
      <w:r w:rsidR="00F458C5" w:rsidRPr="00F458C5">
        <w:rPr>
          <w:rFonts w:ascii="Arial" w:hAnsi="Arial" w:cs="Arial"/>
        </w:rPr>
        <w:t>, 2022).</w:t>
      </w:r>
    </w:p>
    <w:p w14:paraId="1250A761" w14:textId="77777777" w:rsidR="00A125AC" w:rsidRDefault="00A125AC" w:rsidP="00911231">
      <w:pPr>
        <w:pStyle w:val="Corpodetexto"/>
        <w:ind w:left="0" w:firstLine="567"/>
      </w:pPr>
    </w:p>
    <w:p w14:paraId="366AFBA9" w14:textId="77777777" w:rsidR="007E5E82" w:rsidRDefault="000720EB" w:rsidP="00DE00DC">
      <w:pPr>
        <w:pStyle w:val="Ttulo1"/>
        <w:ind w:left="0"/>
      </w:pPr>
      <w:r>
        <w:t>CONCLUSÕES</w:t>
      </w:r>
    </w:p>
    <w:p w14:paraId="41455E55" w14:textId="551BFF80" w:rsidR="007E5E82" w:rsidRDefault="00566B6D" w:rsidP="00911231">
      <w:pPr>
        <w:pStyle w:val="Corpodetexto"/>
        <w:ind w:left="0" w:firstLine="567"/>
      </w:pPr>
      <w:r>
        <w:t>E</w:t>
      </w:r>
      <w:r w:rsidR="007C1D20" w:rsidRPr="007C1D20">
        <w:t>ste estudo destaca a eficácia e inovação na transformação de resíduos d</w:t>
      </w:r>
      <w:r>
        <w:t>o</w:t>
      </w:r>
      <w:r w:rsidR="007C1D20" w:rsidRPr="007C1D20">
        <w:t xml:space="preserve"> processamento d</w:t>
      </w:r>
      <w:r>
        <w:t>a</w:t>
      </w:r>
      <w:r w:rsidR="007C1D20" w:rsidRPr="007C1D20">
        <w:t xml:space="preserve"> lagosta em bolinhos funcionais, evidenciando o potencial </w:t>
      </w:r>
      <w:r w:rsidR="007068C4" w:rsidRPr="007068C4">
        <w:t xml:space="preserve">dos subprodutos da indústria </w:t>
      </w:r>
      <w:r>
        <w:t xml:space="preserve">em elaborar </w:t>
      </w:r>
      <w:r w:rsidR="007068C4" w:rsidRPr="007068C4">
        <w:t>alimentos saudáveis</w:t>
      </w:r>
      <w:r>
        <w:t>, nutritivos</w:t>
      </w:r>
      <w:r w:rsidR="007068C4" w:rsidRPr="007068C4">
        <w:t xml:space="preserve"> e sustentáveis</w:t>
      </w:r>
      <w:r w:rsidR="007C1D20" w:rsidRPr="007C1D20">
        <w:t xml:space="preserve">. A aceitação positiva das formulações, incluindo a versão sem glúten, </w:t>
      </w:r>
      <w:r w:rsidR="007C1D20" w:rsidRPr="007C1D20">
        <w:lastRenderedPageBreak/>
        <w:t xml:space="preserve">demonstra a viabilidade comercial e a capacidade de atender às necessidades de consumidores com restrições alimentares. </w:t>
      </w:r>
      <w:r>
        <w:t xml:space="preserve">Esta </w:t>
      </w:r>
      <w:r w:rsidR="007C1D20" w:rsidRPr="007C1D20">
        <w:t xml:space="preserve">pesquisa reforça </w:t>
      </w:r>
      <w:r>
        <w:t xml:space="preserve">ainda </w:t>
      </w:r>
      <w:r w:rsidR="007C1D20" w:rsidRPr="007C1D20">
        <w:t xml:space="preserve">a importância de soluções criativas para reduzir o desperdício e promover a inclusão de ingredientes </w:t>
      </w:r>
      <w:r>
        <w:t>funcionais</w:t>
      </w:r>
      <w:r w:rsidR="007C1D20" w:rsidRPr="007C1D20">
        <w:t>, alinhando-se com as tendências de mercado e as demandas por alternativas alimentares mais inclusivas e nutritivas</w:t>
      </w:r>
      <w:r w:rsidR="000720EB">
        <w:t>.</w:t>
      </w:r>
    </w:p>
    <w:p w14:paraId="1D40B7DA" w14:textId="302B4CAC" w:rsidR="007E5E82" w:rsidRDefault="007068C4" w:rsidP="00911231">
      <w:pPr>
        <w:pStyle w:val="Corpodetexto"/>
        <w:ind w:left="0" w:firstLine="567"/>
      </w:pPr>
      <w:r>
        <w:rPr>
          <w:color w:val="000099"/>
        </w:rPr>
        <w:t xml:space="preserve"> </w:t>
      </w:r>
    </w:p>
    <w:p w14:paraId="1245BA03" w14:textId="77777777" w:rsidR="007E5E82" w:rsidRDefault="000720EB" w:rsidP="00DE00DC">
      <w:pPr>
        <w:pStyle w:val="Ttulo1"/>
        <w:ind w:left="0"/>
      </w:pPr>
      <w:r>
        <w:t>REFERÊNCIAS</w:t>
      </w:r>
    </w:p>
    <w:p w14:paraId="491CE1D9" w14:textId="7777777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ALVES, E.; KUBOTA, E. H. Conteúdo de fenólicos, flavonoides totais e atividade antioxidante de amostras de própolis comerciais. </w:t>
      </w:r>
      <w:r w:rsidRPr="00A9359D">
        <w:rPr>
          <w:rFonts w:ascii="Arial" w:hAnsi="Arial" w:cs="Arial"/>
          <w:b/>
          <w:bCs/>
          <w:spacing w:val="2"/>
        </w:rPr>
        <w:t>Revista Ciências Farmacêuticas Básica e Aplicada</w:t>
      </w:r>
      <w:r w:rsidRPr="00A9359D">
        <w:rPr>
          <w:rFonts w:ascii="Arial" w:hAnsi="Arial" w:cs="Arial"/>
          <w:spacing w:val="2"/>
        </w:rPr>
        <w:t>, v. 34, n. 1, p. 37-41, 2013.</w:t>
      </w:r>
    </w:p>
    <w:p w14:paraId="74112C4D" w14:textId="7777777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BRASIL. Ministério da Agricultura, Pecuária e Abastecimento. </w:t>
      </w:r>
      <w:r w:rsidRPr="00A9359D">
        <w:rPr>
          <w:rFonts w:ascii="Arial" w:hAnsi="Arial" w:cs="Arial"/>
          <w:b/>
          <w:bCs/>
          <w:spacing w:val="2"/>
        </w:rPr>
        <w:t>Instrução Normativa nº 60, de 23 de dezembro de 2019</w:t>
      </w:r>
      <w:r w:rsidRPr="00A9359D">
        <w:rPr>
          <w:rFonts w:ascii="Arial" w:hAnsi="Arial" w:cs="Arial"/>
          <w:spacing w:val="2"/>
        </w:rPr>
        <w:t>. Estabelece os procedimentos de boas práticas de fabricação e controle de qualidade para produtos de origem animal. Diário Oficial da União, Brasília, DF, 26 dez. 2019.</w:t>
      </w:r>
    </w:p>
    <w:p w14:paraId="51DD8A72" w14:textId="77777777" w:rsidR="00CD55BF" w:rsidRPr="00281BED" w:rsidRDefault="00CD55BF" w:rsidP="006602D7">
      <w:pPr>
        <w:pStyle w:val="Corpodetexto"/>
        <w:spacing w:after="120"/>
        <w:ind w:left="0"/>
        <w:rPr>
          <w:rFonts w:ascii="Arial" w:hAnsi="Arial" w:cs="Arial"/>
          <w:lang w:val="en-US"/>
        </w:rPr>
      </w:pPr>
      <w:r w:rsidRPr="0042610C">
        <w:rPr>
          <w:rFonts w:ascii="Arial" w:hAnsi="Arial" w:cs="Arial"/>
        </w:rPr>
        <w:t xml:space="preserve">CAMPOS, J. F.; SANTOS, U. P.; MACORINI, L. F. B.; MELO, A. M. M. F.; BALESTIERI, J. B. P.; PAREDES-GAMERO, E. J.; DOS SANTOS, E. L. Antimicrobial, antioxidant and cytotoxic activities of propolis from Melipona scutellaris and Apis mellifera bees. </w:t>
      </w:r>
      <w:r w:rsidRPr="00281BED">
        <w:rPr>
          <w:rFonts w:ascii="Arial" w:hAnsi="Arial" w:cs="Arial"/>
          <w:b/>
          <w:bCs/>
          <w:lang w:val="en-US"/>
        </w:rPr>
        <w:t>Food Science and Technology</w:t>
      </w:r>
      <w:r w:rsidRPr="00281BED">
        <w:rPr>
          <w:rFonts w:ascii="Arial" w:hAnsi="Arial" w:cs="Arial"/>
          <w:lang w:val="en-US"/>
        </w:rPr>
        <w:t>, v. 34, n. 2, p. 352-357, 2014.</w:t>
      </w:r>
    </w:p>
    <w:p w14:paraId="3B1516A6" w14:textId="77777777" w:rsidR="00CD55BF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281BED">
        <w:rPr>
          <w:rFonts w:ascii="Arial" w:hAnsi="Arial" w:cs="Arial"/>
          <w:spacing w:val="2"/>
          <w:lang w:val="en-US"/>
        </w:rPr>
        <w:t xml:space="preserve">KNÖLKER, H. J. </w:t>
      </w:r>
      <w:r w:rsidRPr="00281BED">
        <w:rPr>
          <w:rFonts w:ascii="Arial" w:hAnsi="Arial" w:cs="Arial"/>
          <w:b/>
          <w:bCs/>
          <w:spacing w:val="2"/>
          <w:lang w:val="en-US"/>
        </w:rPr>
        <w:t>The Alkaloids</w:t>
      </w:r>
      <w:r w:rsidRPr="00281BED">
        <w:rPr>
          <w:rFonts w:ascii="Arial" w:hAnsi="Arial" w:cs="Arial"/>
          <w:spacing w:val="2"/>
          <w:lang w:val="en-US"/>
        </w:rPr>
        <w:t xml:space="preserve">: Volume 78. </w:t>
      </w:r>
      <w:r w:rsidRPr="00A9359D">
        <w:rPr>
          <w:rFonts w:ascii="Arial" w:hAnsi="Arial" w:cs="Arial"/>
          <w:spacing w:val="2"/>
        </w:rPr>
        <w:t>Academic Press Inc, 2017.</w:t>
      </w:r>
    </w:p>
    <w:p w14:paraId="3312B2FA" w14:textId="7777777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NAWAZ, A.; SULTANA, K.; RIZWAN, M.; SHAHID, M.; ALI, S.; HAMEED, A.; IQBAL, M. Valorização dos subprodutos da pesca: desafios e preocupações técnicas para a indústria alimentar. </w:t>
      </w:r>
      <w:r w:rsidRPr="00A9359D">
        <w:rPr>
          <w:rFonts w:ascii="Arial" w:hAnsi="Arial" w:cs="Arial"/>
          <w:b/>
          <w:bCs/>
          <w:spacing w:val="2"/>
        </w:rPr>
        <w:t>Trends in Food Science &amp; Technology</w:t>
      </w:r>
      <w:r w:rsidRPr="00A9359D">
        <w:rPr>
          <w:rFonts w:ascii="Arial" w:hAnsi="Arial" w:cs="Arial"/>
          <w:spacing w:val="2"/>
        </w:rPr>
        <w:t>, v. 99, p. 34-43, 2020.</w:t>
      </w:r>
    </w:p>
    <w:p w14:paraId="6F68DE09" w14:textId="2A6074A5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PINTO, B. V. V. O resíduo de pescado e o uso sustentável na elaboração de coprodutos. </w:t>
      </w:r>
      <w:r w:rsidRPr="00A9359D">
        <w:rPr>
          <w:rFonts w:ascii="Arial" w:hAnsi="Arial" w:cs="Arial"/>
          <w:b/>
          <w:bCs/>
          <w:spacing w:val="2"/>
        </w:rPr>
        <w:t>Revista Mundi Meio Ambiente e Agrárias</w:t>
      </w:r>
      <w:r w:rsidRPr="00A9359D">
        <w:rPr>
          <w:rFonts w:ascii="Arial" w:hAnsi="Arial" w:cs="Arial"/>
          <w:spacing w:val="2"/>
        </w:rPr>
        <w:t>, v. 2, n. 2, 2017.</w:t>
      </w:r>
    </w:p>
    <w:p w14:paraId="251AE879" w14:textId="7777777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SILVA, N. </w:t>
      </w:r>
      <w:r w:rsidRPr="00A9359D">
        <w:rPr>
          <w:rFonts w:ascii="Arial" w:hAnsi="Arial" w:cs="Arial"/>
          <w:b/>
          <w:bCs/>
          <w:spacing w:val="2"/>
        </w:rPr>
        <w:t>Manual de Métodos de análise Microbiológica de Alimentos e Água</w:t>
      </w:r>
      <w:r w:rsidRPr="00A9359D">
        <w:rPr>
          <w:rFonts w:ascii="Arial" w:hAnsi="Arial" w:cs="Arial"/>
          <w:spacing w:val="2"/>
        </w:rPr>
        <w:t>. São Paulo: Varela, 2010.</w:t>
      </w:r>
    </w:p>
    <w:p w14:paraId="14551E56" w14:textId="7777777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STEVANATO, F. B.; PETENUCCI, M. E.; MATSUSHITA, M.; MESOMO, M. C.; SOUZA, N. E. D.; VISENTAINER, J. E. L.; VISENTAINER, J. V. Avaliação química e sensorial da farinha de resíduo de tilápias na forma de sopa. </w:t>
      </w:r>
      <w:r w:rsidRPr="00A9359D">
        <w:rPr>
          <w:rFonts w:ascii="Arial" w:hAnsi="Arial" w:cs="Arial"/>
          <w:b/>
          <w:bCs/>
          <w:spacing w:val="2"/>
        </w:rPr>
        <w:t>Food Science and Technology</w:t>
      </w:r>
      <w:r w:rsidRPr="00A9359D">
        <w:rPr>
          <w:rFonts w:ascii="Arial" w:hAnsi="Arial" w:cs="Arial"/>
          <w:spacing w:val="2"/>
        </w:rPr>
        <w:t>, v. 27, p. 567-571, 2007.</w:t>
      </w:r>
    </w:p>
    <w:p w14:paraId="20797B72" w14:textId="59308F32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STORCK, C. R.; NUNES, G. L.; OLIVEIRA, B. B.; BASSO, C. Folhas, talos, cascas e sementes de vegetais: composição nutricional, aproveitamento na alimentação e análise sensorial de preparações. </w:t>
      </w:r>
      <w:r w:rsidRPr="00A9359D">
        <w:rPr>
          <w:rFonts w:ascii="Arial" w:hAnsi="Arial" w:cs="Arial"/>
          <w:b/>
          <w:bCs/>
          <w:spacing w:val="2"/>
        </w:rPr>
        <w:t>Revista Ciência Rural</w:t>
      </w:r>
      <w:r w:rsidRPr="00A9359D">
        <w:rPr>
          <w:rFonts w:ascii="Arial" w:hAnsi="Arial" w:cs="Arial"/>
          <w:spacing w:val="2"/>
        </w:rPr>
        <w:t>, v. 43, n. 3, p. 537-543, 2013.</w:t>
      </w:r>
    </w:p>
    <w:p w14:paraId="6F8192B6" w14:textId="0C85CF2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>STRAGLIOTTO, L</w:t>
      </w:r>
      <w:r w:rsidR="006602D7">
        <w:rPr>
          <w:rFonts w:ascii="Arial" w:hAnsi="Arial" w:cs="Arial"/>
          <w:spacing w:val="2"/>
        </w:rPr>
        <w:t>.</w:t>
      </w:r>
      <w:r w:rsidRPr="00A9359D">
        <w:rPr>
          <w:rFonts w:ascii="Arial" w:hAnsi="Arial" w:cs="Arial"/>
          <w:spacing w:val="2"/>
        </w:rPr>
        <w:t xml:space="preserve"> K. </w:t>
      </w:r>
      <w:r w:rsidRPr="00281BED">
        <w:rPr>
          <w:rFonts w:ascii="Arial" w:hAnsi="Arial" w:cs="Arial"/>
          <w:spacing w:val="2"/>
          <w:lang w:val="en-US"/>
        </w:rPr>
        <w:t xml:space="preserve">Green banana by-products on the chemical, technological and sensory quality of meat products. </w:t>
      </w:r>
      <w:r w:rsidRPr="00A9359D">
        <w:rPr>
          <w:rFonts w:ascii="Arial" w:hAnsi="Arial" w:cs="Arial"/>
          <w:spacing w:val="2"/>
        </w:rPr>
        <w:t xml:space="preserve">International </w:t>
      </w:r>
      <w:r w:rsidRPr="00A9359D">
        <w:rPr>
          <w:rFonts w:ascii="Arial" w:hAnsi="Arial" w:cs="Arial"/>
          <w:b/>
          <w:bCs/>
          <w:spacing w:val="2"/>
        </w:rPr>
        <w:t>Journal of Gastronomy and Food Science</w:t>
      </w:r>
      <w:r w:rsidRPr="00A9359D">
        <w:rPr>
          <w:rFonts w:ascii="Arial" w:hAnsi="Arial" w:cs="Arial"/>
          <w:spacing w:val="2"/>
        </w:rPr>
        <w:t>, v. 30, p. 100614, 2022.</w:t>
      </w:r>
    </w:p>
    <w:p w14:paraId="58E64933" w14:textId="7777777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SUCASAS, L. F. </w:t>
      </w:r>
      <w:r w:rsidRPr="00A9359D">
        <w:rPr>
          <w:rFonts w:ascii="Arial" w:hAnsi="Arial" w:cs="Arial"/>
          <w:b/>
          <w:bCs/>
          <w:spacing w:val="2"/>
        </w:rPr>
        <w:t>A. Avaliação do resíduo do processamento de pescado e desenvolvimento de co-produtos visando o incremento da sustentabilidade da cadeia produtiva.</w:t>
      </w:r>
      <w:r w:rsidRPr="00A9359D">
        <w:rPr>
          <w:rFonts w:ascii="Arial" w:hAnsi="Arial" w:cs="Arial"/>
          <w:spacing w:val="2"/>
        </w:rPr>
        <w:t xml:space="preserve"> 2011. 166 f. Tese (Doutorado em Ciências) – Universidade de São Paulo, São Paulo, 2011.</w:t>
      </w:r>
    </w:p>
    <w:p w14:paraId="159317C0" w14:textId="77777777" w:rsidR="00CD55BF" w:rsidRPr="00A9359D" w:rsidRDefault="00CD55BF" w:rsidP="006602D7">
      <w:pPr>
        <w:pStyle w:val="Corpodetexto"/>
        <w:spacing w:after="120"/>
        <w:ind w:left="0"/>
        <w:rPr>
          <w:rFonts w:ascii="Arial" w:hAnsi="Arial" w:cs="Arial"/>
          <w:spacing w:val="2"/>
        </w:rPr>
      </w:pPr>
      <w:r w:rsidRPr="00A9359D">
        <w:rPr>
          <w:rFonts w:ascii="Arial" w:hAnsi="Arial" w:cs="Arial"/>
          <w:spacing w:val="2"/>
        </w:rPr>
        <w:t xml:space="preserve">TENUTA, L. F. </w:t>
      </w:r>
      <w:r w:rsidRPr="00A9359D">
        <w:rPr>
          <w:rFonts w:ascii="Arial" w:hAnsi="Arial" w:cs="Arial"/>
          <w:b/>
          <w:bCs/>
          <w:spacing w:val="2"/>
        </w:rPr>
        <w:t>Análise da composição centesimal e perfil de ácidos graxos de crustáceos.</w:t>
      </w:r>
      <w:r w:rsidRPr="00A9359D">
        <w:rPr>
          <w:rFonts w:ascii="Arial" w:hAnsi="Arial" w:cs="Arial"/>
          <w:spacing w:val="2"/>
        </w:rPr>
        <w:t xml:space="preserve"> 2010. 49 f. Dissertação (Mestrado em Engenharia de Pesca) – Universidade Federal do Ceará, Fortaleza, 2010.</w:t>
      </w:r>
    </w:p>
    <w:p w14:paraId="1EE955D7" w14:textId="7013F7F8" w:rsidR="00DE00DC" w:rsidRDefault="00DE00DC" w:rsidP="007216E2">
      <w:pPr>
        <w:pStyle w:val="Corpodetexto"/>
        <w:ind w:left="0"/>
        <w:jc w:val="left"/>
        <w:rPr>
          <w:spacing w:val="2"/>
        </w:rPr>
      </w:pPr>
    </w:p>
    <w:sectPr w:rsidR="00DE00DC">
      <w:headerReference w:type="default" r:id="rId8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FB6F" w14:textId="77777777" w:rsidR="000946C8" w:rsidRDefault="000946C8">
      <w:r>
        <w:separator/>
      </w:r>
    </w:p>
  </w:endnote>
  <w:endnote w:type="continuationSeparator" w:id="0">
    <w:p w14:paraId="1306D97A" w14:textId="77777777" w:rsidR="000946C8" w:rsidRDefault="0009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DE56" w14:textId="77777777" w:rsidR="000946C8" w:rsidRDefault="000946C8">
      <w:r>
        <w:separator/>
      </w:r>
    </w:p>
  </w:footnote>
  <w:footnote w:type="continuationSeparator" w:id="0">
    <w:p w14:paraId="4FB73BF4" w14:textId="77777777" w:rsidR="000946C8" w:rsidRDefault="0009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37947B6" wp14:editId="23105919">
          <wp:simplePos x="0" y="0"/>
          <wp:positionH relativeFrom="margin">
            <wp:posOffset>-984250</wp:posOffset>
          </wp:positionH>
          <wp:positionV relativeFrom="page">
            <wp:posOffset>0</wp:posOffset>
          </wp:positionV>
          <wp:extent cx="7521062" cy="1455420"/>
          <wp:effectExtent l="0" t="0" r="381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062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2"/>
    <w:rsid w:val="000014B3"/>
    <w:rsid w:val="00026522"/>
    <w:rsid w:val="000418E5"/>
    <w:rsid w:val="00044FF7"/>
    <w:rsid w:val="00055722"/>
    <w:rsid w:val="000720EB"/>
    <w:rsid w:val="000830B2"/>
    <w:rsid w:val="000862C3"/>
    <w:rsid w:val="00092812"/>
    <w:rsid w:val="000946C8"/>
    <w:rsid w:val="000B380D"/>
    <w:rsid w:val="000E3A44"/>
    <w:rsid w:val="000F2067"/>
    <w:rsid w:val="00113422"/>
    <w:rsid w:val="001428CE"/>
    <w:rsid w:val="00160FA4"/>
    <w:rsid w:val="00167462"/>
    <w:rsid w:val="001717ED"/>
    <w:rsid w:val="00176317"/>
    <w:rsid w:val="00177951"/>
    <w:rsid w:val="001803EE"/>
    <w:rsid w:val="001810A9"/>
    <w:rsid w:val="001829D6"/>
    <w:rsid w:val="00183CBF"/>
    <w:rsid w:val="001A4346"/>
    <w:rsid w:val="001C3815"/>
    <w:rsid w:val="001E7D75"/>
    <w:rsid w:val="001F1B36"/>
    <w:rsid w:val="0020259D"/>
    <w:rsid w:val="00225C1D"/>
    <w:rsid w:val="0023376D"/>
    <w:rsid w:val="002454DB"/>
    <w:rsid w:val="00265A1A"/>
    <w:rsid w:val="00281BED"/>
    <w:rsid w:val="0028283D"/>
    <w:rsid w:val="002866C6"/>
    <w:rsid w:val="00292651"/>
    <w:rsid w:val="00297472"/>
    <w:rsid w:val="002B05FA"/>
    <w:rsid w:val="002B77CB"/>
    <w:rsid w:val="002C179D"/>
    <w:rsid w:val="002C3FBD"/>
    <w:rsid w:val="002E7CEF"/>
    <w:rsid w:val="002E7E0B"/>
    <w:rsid w:val="002F3E67"/>
    <w:rsid w:val="002F6437"/>
    <w:rsid w:val="00313A74"/>
    <w:rsid w:val="003165B3"/>
    <w:rsid w:val="00316BAB"/>
    <w:rsid w:val="00323A42"/>
    <w:rsid w:val="00346E42"/>
    <w:rsid w:val="00346FFD"/>
    <w:rsid w:val="00350263"/>
    <w:rsid w:val="00357025"/>
    <w:rsid w:val="00385C42"/>
    <w:rsid w:val="00392DFE"/>
    <w:rsid w:val="00396852"/>
    <w:rsid w:val="003A63FA"/>
    <w:rsid w:val="003B0DBD"/>
    <w:rsid w:val="00414FA1"/>
    <w:rsid w:val="004330CC"/>
    <w:rsid w:val="004433CA"/>
    <w:rsid w:val="00445B7E"/>
    <w:rsid w:val="00455E67"/>
    <w:rsid w:val="0046371A"/>
    <w:rsid w:val="00463D41"/>
    <w:rsid w:val="00473350"/>
    <w:rsid w:val="004766C1"/>
    <w:rsid w:val="004804C3"/>
    <w:rsid w:val="004B0D28"/>
    <w:rsid w:val="0051361C"/>
    <w:rsid w:val="00516643"/>
    <w:rsid w:val="00517F32"/>
    <w:rsid w:val="00521748"/>
    <w:rsid w:val="00554F87"/>
    <w:rsid w:val="00566B6D"/>
    <w:rsid w:val="005B304A"/>
    <w:rsid w:val="005F041B"/>
    <w:rsid w:val="005F08ED"/>
    <w:rsid w:val="00600D51"/>
    <w:rsid w:val="00604271"/>
    <w:rsid w:val="00605B59"/>
    <w:rsid w:val="006335FA"/>
    <w:rsid w:val="006410F0"/>
    <w:rsid w:val="006602D7"/>
    <w:rsid w:val="0067291A"/>
    <w:rsid w:val="00673ABE"/>
    <w:rsid w:val="006948E1"/>
    <w:rsid w:val="006A3C2C"/>
    <w:rsid w:val="006A464C"/>
    <w:rsid w:val="006B07F7"/>
    <w:rsid w:val="006C4CC3"/>
    <w:rsid w:val="006D4524"/>
    <w:rsid w:val="006E363B"/>
    <w:rsid w:val="006F2B48"/>
    <w:rsid w:val="007068C4"/>
    <w:rsid w:val="00711281"/>
    <w:rsid w:val="007216E2"/>
    <w:rsid w:val="0073383E"/>
    <w:rsid w:val="00746263"/>
    <w:rsid w:val="007605B7"/>
    <w:rsid w:val="007627CD"/>
    <w:rsid w:val="00775537"/>
    <w:rsid w:val="00792652"/>
    <w:rsid w:val="00792AD5"/>
    <w:rsid w:val="007A4AF2"/>
    <w:rsid w:val="007C1D20"/>
    <w:rsid w:val="007D392D"/>
    <w:rsid w:val="007D64A2"/>
    <w:rsid w:val="007E5E82"/>
    <w:rsid w:val="007F0881"/>
    <w:rsid w:val="007F1AFE"/>
    <w:rsid w:val="00802918"/>
    <w:rsid w:val="008052BD"/>
    <w:rsid w:val="00846951"/>
    <w:rsid w:val="008575C7"/>
    <w:rsid w:val="00864900"/>
    <w:rsid w:val="00867754"/>
    <w:rsid w:val="00870E3A"/>
    <w:rsid w:val="00872913"/>
    <w:rsid w:val="00877A84"/>
    <w:rsid w:val="0089445D"/>
    <w:rsid w:val="00894982"/>
    <w:rsid w:val="008951E6"/>
    <w:rsid w:val="008A0C9A"/>
    <w:rsid w:val="008B0B64"/>
    <w:rsid w:val="008D2EFA"/>
    <w:rsid w:val="008D55F1"/>
    <w:rsid w:val="008E09D3"/>
    <w:rsid w:val="008E2AF6"/>
    <w:rsid w:val="00911231"/>
    <w:rsid w:val="009123C5"/>
    <w:rsid w:val="00912589"/>
    <w:rsid w:val="0093143F"/>
    <w:rsid w:val="00931EB7"/>
    <w:rsid w:val="00954FCE"/>
    <w:rsid w:val="00961BC2"/>
    <w:rsid w:val="00981768"/>
    <w:rsid w:val="00983A94"/>
    <w:rsid w:val="00992A60"/>
    <w:rsid w:val="009B1F5C"/>
    <w:rsid w:val="009B7F74"/>
    <w:rsid w:val="009E13BF"/>
    <w:rsid w:val="009F1282"/>
    <w:rsid w:val="009F28CD"/>
    <w:rsid w:val="009F75A9"/>
    <w:rsid w:val="00A10EE5"/>
    <w:rsid w:val="00A125AC"/>
    <w:rsid w:val="00A2494C"/>
    <w:rsid w:val="00A25AD0"/>
    <w:rsid w:val="00A440A6"/>
    <w:rsid w:val="00A70FAB"/>
    <w:rsid w:val="00A8451C"/>
    <w:rsid w:val="00AA0EE2"/>
    <w:rsid w:val="00AB4CB4"/>
    <w:rsid w:val="00AB543E"/>
    <w:rsid w:val="00AB5E16"/>
    <w:rsid w:val="00AE4855"/>
    <w:rsid w:val="00AF7E73"/>
    <w:rsid w:val="00B23369"/>
    <w:rsid w:val="00B52E99"/>
    <w:rsid w:val="00B60A05"/>
    <w:rsid w:val="00B7616B"/>
    <w:rsid w:val="00B8361D"/>
    <w:rsid w:val="00BC55D6"/>
    <w:rsid w:val="00BF4EC5"/>
    <w:rsid w:val="00BF71D6"/>
    <w:rsid w:val="00C20B14"/>
    <w:rsid w:val="00C522B4"/>
    <w:rsid w:val="00C57785"/>
    <w:rsid w:val="00C60AA9"/>
    <w:rsid w:val="00C65153"/>
    <w:rsid w:val="00C87A5F"/>
    <w:rsid w:val="00CD55BF"/>
    <w:rsid w:val="00CD716B"/>
    <w:rsid w:val="00CE68D1"/>
    <w:rsid w:val="00CF4CED"/>
    <w:rsid w:val="00D161BB"/>
    <w:rsid w:val="00D405DA"/>
    <w:rsid w:val="00D62D53"/>
    <w:rsid w:val="00D63538"/>
    <w:rsid w:val="00D65B78"/>
    <w:rsid w:val="00D82292"/>
    <w:rsid w:val="00DA1903"/>
    <w:rsid w:val="00DA38BA"/>
    <w:rsid w:val="00DC0B5B"/>
    <w:rsid w:val="00DD03C6"/>
    <w:rsid w:val="00DE00DC"/>
    <w:rsid w:val="00DF48B5"/>
    <w:rsid w:val="00DF51C0"/>
    <w:rsid w:val="00DF71AF"/>
    <w:rsid w:val="00E35064"/>
    <w:rsid w:val="00E35C17"/>
    <w:rsid w:val="00E522D1"/>
    <w:rsid w:val="00E53DAD"/>
    <w:rsid w:val="00E552F2"/>
    <w:rsid w:val="00E65F42"/>
    <w:rsid w:val="00E67C17"/>
    <w:rsid w:val="00E84845"/>
    <w:rsid w:val="00E84A8A"/>
    <w:rsid w:val="00E857DD"/>
    <w:rsid w:val="00E86304"/>
    <w:rsid w:val="00E97DE1"/>
    <w:rsid w:val="00EA2143"/>
    <w:rsid w:val="00EB02AE"/>
    <w:rsid w:val="00EB05BF"/>
    <w:rsid w:val="00EB0F34"/>
    <w:rsid w:val="00EB7145"/>
    <w:rsid w:val="00EC413B"/>
    <w:rsid w:val="00ED0E2B"/>
    <w:rsid w:val="00ED2FE6"/>
    <w:rsid w:val="00EE6425"/>
    <w:rsid w:val="00F05931"/>
    <w:rsid w:val="00F06A28"/>
    <w:rsid w:val="00F30A5B"/>
    <w:rsid w:val="00F3748C"/>
    <w:rsid w:val="00F3772F"/>
    <w:rsid w:val="00F37812"/>
    <w:rsid w:val="00F458C5"/>
    <w:rsid w:val="00F54342"/>
    <w:rsid w:val="00F730C7"/>
    <w:rsid w:val="00F7530E"/>
    <w:rsid w:val="00F80425"/>
    <w:rsid w:val="00F82013"/>
    <w:rsid w:val="00F83A4E"/>
    <w:rsid w:val="00F93C6D"/>
    <w:rsid w:val="00FB1C06"/>
    <w:rsid w:val="00FB6167"/>
    <w:rsid w:val="00FD0DAF"/>
    <w:rsid w:val="00FD18BF"/>
    <w:rsid w:val="00FD3D91"/>
    <w:rsid w:val="00FD7607"/>
    <w:rsid w:val="00FE1314"/>
    <w:rsid w:val="00FE44FE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5366"/>
  <w15:docId w15:val="{F0EB6847-6BD6-496F-9137-620CC94C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D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7F1A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183C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554F87"/>
    <w:pPr>
      <w:spacing w:after="200"/>
    </w:pPr>
    <w:rPr>
      <w:i/>
      <w:iCs/>
      <w:color w:val="1F497D" w:themeColor="text2"/>
      <w:sz w:val="18"/>
      <w:szCs w:val="18"/>
    </w:rPr>
  </w:style>
  <w:style w:type="character" w:styleId="Refdecomentrio">
    <w:name w:val="annotation reference"/>
    <w:uiPriority w:val="99"/>
    <w:semiHidden/>
    <w:unhideWhenUsed/>
    <w:rsid w:val="007216E2"/>
    <w:rPr>
      <w:sz w:val="16"/>
      <w:szCs w:val="16"/>
    </w:rPr>
  </w:style>
  <w:style w:type="paragraph" w:styleId="Reviso">
    <w:name w:val="Revision"/>
    <w:hidden/>
    <w:uiPriority w:val="99"/>
    <w:semiHidden/>
    <w:rsid w:val="00044FF7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78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781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78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7812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55BF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9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1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ari\Downloads\resultados%20clarita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43846402761299"/>
          <c:y val="0.12204835624360515"/>
          <c:w val="0.54576457052457483"/>
          <c:h val="0.85026126688432235"/>
        </c:manualLayout>
      </c:layout>
      <c:radarChart>
        <c:radarStyle val="marker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T1 </c:v>
                </c:pt>
              </c:strCache>
            </c:strRef>
          </c:tx>
          <c:spPr>
            <a:ln w="158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Sabor</c:v>
                </c:pt>
                <c:pt idx="1">
                  <c:v>Aroma</c:v>
                </c:pt>
                <c:pt idx="2">
                  <c:v>Cor</c:v>
                </c:pt>
                <c:pt idx="3">
                  <c:v>Textura</c:v>
                </c:pt>
                <c:pt idx="4">
                  <c:v>Aspecto</c:v>
                </c:pt>
                <c:pt idx="5">
                  <c:v>Aceitação Global</c:v>
                </c:pt>
              </c:strCache>
              <c:extLst/>
            </c:strRef>
          </c:cat>
          <c:val>
            <c:numRef>
              <c:f>Plan1!$B$2:$B$8</c:f>
              <c:numCache>
                <c:formatCode>0.00%</c:formatCode>
                <c:ptCount val="6"/>
                <c:pt idx="0">
                  <c:v>0.9385</c:v>
                </c:pt>
                <c:pt idx="1">
                  <c:v>0.86150000000000004</c:v>
                </c:pt>
                <c:pt idx="2">
                  <c:v>0.89229999999999998</c:v>
                </c:pt>
                <c:pt idx="3">
                  <c:v>0.89229999999999998</c:v>
                </c:pt>
                <c:pt idx="4">
                  <c:v>0.84619999999999995</c:v>
                </c:pt>
                <c:pt idx="5">
                  <c:v>0.95379999999999998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2AE-4454-B5A6-84BE8D3478DA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T2 </c:v>
                </c:pt>
              </c:strCache>
            </c:strRef>
          </c:tx>
          <c:spPr>
            <a:ln w="158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Sabor</c:v>
                </c:pt>
                <c:pt idx="1">
                  <c:v>Aroma</c:v>
                </c:pt>
                <c:pt idx="2">
                  <c:v>Cor</c:v>
                </c:pt>
                <c:pt idx="3">
                  <c:v>Textura</c:v>
                </c:pt>
                <c:pt idx="4">
                  <c:v>Aspecto</c:v>
                </c:pt>
                <c:pt idx="5">
                  <c:v>Aceitação Global</c:v>
                </c:pt>
              </c:strCache>
              <c:extLst/>
            </c:strRef>
          </c:cat>
          <c:val>
            <c:numRef>
              <c:f>Plan1!$C$2:$C$8</c:f>
              <c:numCache>
                <c:formatCode>0.00%</c:formatCode>
                <c:ptCount val="6"/>
                <c:pt idx="0">
                  <c:v>0.8</c:v>
                </c:pt>
                <c:pt idx="1">
                  <c:v>0.83079999999999998</c:v>
                </c:pt>
                <c:pt idx="2">
                  <c:v>0.8</c:v>
                </c:pt>
                <c:pt idx="3">
                  <c:v>0.8</c:v>
                </c:pt>
                <c:pt idx="4">
                  <c:v>0.81540000000000001</c:v>
                </c:pt>
                <c:pt idx="5">
                  <c:v>0.8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2AE-4454-B5A6-84BE8D347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3180464"/>
        <c:axId val="1683170672"/>
        <c:extLst>
          <c:ext xmlns:c15="http://schemas.microsoft.com/office/drawing/2012/chart" uri="{02D57815-91ED-43cb-92C2-25804820EDAC}">
            <c15:filteredRad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Plan1!$D$1</c15:sqref>
                        </c15:formulaRef>
                      </c:ext>
                    </c:extLst>
                    <c:strCache>
                      <c:ptCount val="1"/>
                      <c:pt idx="0">
                        <c:v>T3 </c:v>
                      </c:pt>
                    </c:strCache>
                  </c:strRef>
                </c:tx>
                <c:spPr>
                  <a:ln w="158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Plan1!$A$2:$A$8</c15:sqref>
                        </c15:formulaRef>
                      </c:ext>
                    </c:extLst>
                    <c:strCache>
                      <c:ptCount val="6"/>
                      <c:pt idx="0">
                        <c:v>Sabor</c:v>
                      </c:pt>
                      <c:pt idx="1">
                        <c:v>Aroma</c:v>
                      </c:pt>
                      <c:pt idx="2">
                        <c:v>Cor</c:v>
                      </c:pt>
                      <c:pt idx="3">
                        <c:v>Textura</c:v>
                      </c:pt>
                      <c:pt idx="4">
                        <c:v>Aspecto</c:v>
                      </c:pt>
                      <c:pt idx="5">
                        <c:v>Aceitação Global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Plan1!$D$2:$D$8</c15:sqref>
                        </c15:formulaRef>
                      </c:ext>
                    </c:extLst>
                    <c:numCache>
                      <c:formatCode>0.00%</c:formatCode>
                      <c:ptCount val="6"/>
                      <c:pt idx="0">
                        <c:v>0.89229999999999998</c:v>
                      </c:pt>
                      <c:pt idx="1">
                        <c:v>0.84619999999999995</c:v>
                      </c:pt>
                      <c:pt idx="2">
                        <c:v>0.87690000000000001</c:v>
                      </c:pt>
                      <c:pt idx="3">
                        <c:v>0.75380000000000003</c:v>
                      </c:pt>
                      <c:pt idx="4">
                        <c:v>0.84619999999999995</c:v>
                      </c:pt>
                      <c:pt idx="5">
                        <c:v>0.81540000000000001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72AE-4454-B5A6-84BE8D3478DA}"/>
                  </c:ext>
                </c:extLst>
              </c15:ser>
            </c15:filteredRadarSeries>
            <c15:filteredRad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Plan1!$E$1</c15:sqref>
                        </c15:formulaRef>
                      </c:ext>
                    </c:extLst>
                    <c:strCache>
                      <c:ptCount val="1"/>
                      <c:pt idx="0">
                        <c:v>T4 </c:v>
                      </c:pt>
                    </c:strCache>
                  </c:strRef>
                </c:tx>
                <c:spPr>
                  <a:ln w="158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Plan1!$A$2:$A$8</c15:sqref>
                        </c15:formulaRef>
                      </c:ext>
                    </c:extLst>
                    <c:strCache>
                      <c:ptCount val="6"/>
                      <c:pt idx="0">
                        <c:v>Sabor</c:v>
                      </c:pt>
                      <c:pt idx="1">
                        <c:v>Aroma</c:v>
                      </c:pt>
                      <c:pt idx="2">
                        <c:v>Cor</c:v>
                      </c:pt>
                      <c:pt idx="3">
                        <c:v>Textura</c:v>
                      </c:pt>
                      <c:pt idx="4">
                        <c:v>Aspecto</c:v>
                      </c:pt>
                      <c:pt idx="5">
                        <c:v>Aceitação Global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Plan1!$E$2:$E$8</c15:sqref>
                        </c15:formulaRef>
                      </c:ext>
                    </c:extLst>
                    <c:numCache>
                      <c:formatCode>0.00%</c:formatCode>
                      <c:ptCount val="6"/>
                      <c:pt idx="0">
                        <c:v>0.8</c:v>
                      </c:pt>
                      <c:pt idx="1">
                        <c:v>0.86150000000000004</c:v>
                      </c:pt>
                      <c:pt idx="2">
                        <c:v>0.87690000000000001</c:v>
                      </c:pt>
                      <c:pt idx="3">
                        <c:v>0.89229999999999998</c:v>
                      </c:pt>
                      <c:pt idx="4">
                        <c:v>0.86150000000000004</c:v>
                      </c:pt>
                      <c:pt idx="5">
                        <c:v>0.86150000000000004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2AE-4454-B5A6-84BE8D3478DA}"/>
                  </c:ext>
                </c:extLst>
              </c15:ser>
            </c15:filteredRadarSeries>
          </c:ext>
        </c:extLst>
      </c:radarChart>
      <c:catAx>
        <c:axId val="168318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683170672"/>
        <c:crosses val="autoZero"/>
        <c:auto val="1"/>
        <c:lblAlgn val="ctr"/>
        <c:lblOffset val="100"/>
        <c:noMultiLvlLbl val="0"/>
      </c:catAx>
      <c:valAx>
        <c:axId val="1683170672"/>
        <c:scaling>
          <c:orientation val="minMax"/>
          <c:min val="0.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%" sourceLinked="1"/>
        <c:majorTickMark val="none"/>
        <c:minorTickMark val="out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683180464"/>
        <c:crosses val="autoZero"/>
        <c:crossBetween val="between"/>
        <c:majorUnit val="0.15000000000000002"/>
        <c:minorUnit val="0.15000000000000002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layout>
        <c:manualLayout>
          <c:xMode val="edge"/>
          <c:yMode val="edge"/>
          <c:x val="0.8205037580529706"/>
          <c:y val="0.40073498815696817"/>
          <c:w val="0.15318320599535448"/>
          <c:h val="0.21621480988345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24AA-30CD-4AC2-829C-01BD179E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1768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Clarita Reis</cp:lastModifiedBy>
  <cp:revision>9</cp:revision>
  <dcterms:created xsi:type="dcterms:W3CDTF">2024-08-28T17:57:00Z</dcterms:created>
  <dcterms:modified xsi:type="dcterms:W3CDTF">2024-08-28T22:39:00Z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