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Eixo 4 - Interdisciplinaridade no Enfrentamento a COVID-19</w:t>
      </w:r>
    </w:p>
    <w:p w:rsidR="00000000" w:rsidDel="00000000" w:rsidP="00000000" w:rsidRDefault="00000000" w:rsidRPr="00000000" w14:paraId="00000004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MENTORIA ONLINE COMO FORMA DE APOIO AO ESTUDANTE DE ENFERMAGEM DIANTE DA PANDEMIA</w:t>
      </w:r>
    </w:p>
    <w:p w:rsidR="00000000" w:rsidDel="00000000" w:rsidP="00000000" w:rsidRDefault="00000000" w:rsidRPr="00000000" w14:paraId="00000005">
      <w:pPr>
        <w:spacing w:after="0" w:before="0" w:line="36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Marília Pereira da Costa Carvalho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marilia.plia@gmail.com¹</w:t>
      </w:r>
    </w:p>
    <w:p w:rsidR="00000000" w:rsidDel="00000000" w:rsidP="00000000" w:rsidRDefault="00000000" w:rsidRPr="00000000" w14:paraId="00000007">
      <w:pPr>
        <w:spacing w:after="0" w:before="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Nathálya Silveira Soares, nathalya.silveira17@gmail.com¹,</w:t>
      </w:r>
    </w:p>
    <w:p w:rsidR="00000000" w:rsidDel="00000000" w:rsidP="00000000" w:rsidRDefault="00000000" w:rsidRPr="00000000" w14:paraId="00000008">
      <w:pPr>
        <w:spacing w:after="0" w:before="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Mariana André Honorato Franzoi, marifranzoiunb@gmail.com²</w:t>
      </w:r>
    </w:p>
    <w:p w:rsidR="00000000" w:rsidDel="00000000" w:rsidP="00000000" w:rsidRDefault="00000000" w:rsidRPr="00000000" w14:paraId="00000009">
      <w:pPr>
        <w:spacing w:after="0" w:before="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¹Acadêmica do Curso de Enfermagem da Universidade de Brasília (UnB);</w:t>
      </w:r>
    </w:p>
    <w:p w:rsidR="00000000" w:rsidDel="00000000" w:rsidP="00000000" w:rsidRDefault="00000000" w:rsidRPr="00000000" w14:paraId="0000000B">
      <w:pPr>
        <w:spacing w:after="0" w:before="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² Mestre em Enfermagem. Professora do Departamento de Enfermagem da Universidade de</w:t>
      </w:r>
    </w:p>
    <w:p w:rsidR="00000000" w:rsidDel="00000000" w:rsidP="00000000" w:rsidRDefault="00000000" w:rsidRPr="00000000" w14:paraId="0000000C">
      <w:pPr>
        <w:spacing w:after="0" w:before="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Brasília (UnB).</w:t>
      </w:r>
    </w:p>
    <w:p w:rsidR="00000000" w:rsidDel="00000000" w:rsidP="00000000" w:rsidRDefault="00000000" w:rsidRPr="00000000" w14:paraId="0000000D">
      <w:pPr>
        <w:spacing w:after="0" w:before="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36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Relato de Experiência</w:t>
      </w:r>
    </w:p>
    <w:p w:rsidR="00000000" w:rsidDel="00000000" w:rsidP="00000000" w:rsidRDefault="00000000" w:rsidRPr="00000000" w14:paraId="0000000F">
      <w:pPr>
        <w:spacing w:after="0" w:before="0" w:line="36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RESUMO</w:t>
      </w:r>
    </w:p>
    <w:p w:rsidR="00000000" w:rsidDel="00000000" w:rsidP="00000000" w:rsidRDefault="00000000" w:rsidRPr="00000000" w14:paraId="00000010">
      <w:pPr>
        <w:spacing w:after="0" w:before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mentoria estudantil é um instrumento de integração social e acadêmica, sendo uma ponte para o sentimento de pertencimento à graduação, como também a grupos sociais que possuam vínculos com a instituição de ensino.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(1)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programas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de mentoria no âmbito acadêmico oferecem apoio ao estudante em períodos de transição em prol de uma adaptação salutar que promove desenvolvimento de habilidades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acadêmicas e sociais, aperfeiçoamento das relações interpessoais e melhor autoestima dos universitários.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(2)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Mesmo em momentos de crise como da presente pandemia, a mentoria pode ser realizada por meio do uso de tecnologias de comunicação que mediam o engajamento e a relação de orientação e apoio entre mentores e mentorados.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(3)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Relatar a experiência de apoio vivenciada por estudantes de Enfermagem no âmbito de um projeto de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mentoring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entre pares, na modalidade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online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durante a atual pandemia de Covid-19.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Descrição da Experiência: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Por intermédio do Projeto de Extensão Mentoria Estudantil em Enfermagem, do curso de Enfermagem de uma universidade pública, foi vivenciada uma experiência de apoio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âmbito das relações sociais acadêmicas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 tempo de pandemia de Covid-19. O projeto utilizou-se da estratégia de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mentoring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entre pares, na modalidade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online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durante os meses de abril a junho de 2020 viabilizada pela criação de uma plataforma virtual própria e pela utilização de outras tecnologias de comunicação que facilitaram a troca de ideias e o apoio entre estudantes recém-chegados na graduação com veteranos mais experientes, bem como também com enfermeiros de diversas áreas que se disponibilizaram a dialogar semanalmente com os estudantes. Os dados dessa experiência são provenientes de pesquisa aprovada sob número de parecer 3.998.363 pelo Comitê de Ética da instituição responsável.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Resultados e/ou Impactos: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Mediante a plataforma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online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do projeto e de aplicativos de videochamadas, 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estudantes têm interagido e estreitado laços e vínculos afetivos entre si, além de esclarecer dúvidas acadêmicas e conversar sobre os desafios da vida pessoal ante o semestre letivo interrompido pela pandemia. Os encontros virtuais com enfermeiros fa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vorecem o conhecimento das amplas áreas que abrangem a Enfermagem, contribuindo para as futuras decisões dos estudantes, uma vez que a universidade oferece um leque de oportunidades  no que diz respeito a qual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caminho seguir durante e após a graduação.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Em tempos de incertezas, 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mentoring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apresenta-se como uma ferramenta de integração social e de suporte emocional, tão essenciais para a manutenção do vínculo e do sentimento de pertencimento à universidade.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mentoria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online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é uma estratégia que proporciona suporte aos estudantes de Enfermagem em meio ao distanciamento social que, embora se faça necessário, não exime a proximidade emocional e relacional em tempos de pandemia.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36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Descritores: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Estudantes de Enfermagem; Mentores; Apoio Social; Redes Sociais Online.</w:t>
      </w:r>
    </w:p>
    <w:p w:rsidR="00000000" w:rsidDel="00000000" w:rsidP="00000000" w:rsidRDefault="00000000" w:rsidRPr="00000000" w14:paraId="00000012">
      <w:pPr>
        <w:spacing w:after="0" w:before="0" w:line="36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36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FRANZOI, M.A.H; MARTINS, G. Experiência de mentoring entre estudantes de graduação em enfermagem: reflexões e ressonâncias dialógicas.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Interface - Comunicação, Saúde, Educação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Botucatu, v. 24 , e190772, mai. 2020. Disponível em: &lt;https://doi.org/10.1590/Interface.190772&gt;. Acesso em: 28 jun. 2020.</w:t>
      </w:r>
    </w:p>
    <w:p w:rsidR="00000000" w:rsidDel="00000000" w:rsidP="00000000" w:rsidRDefault="00000000" w:rsidRPr="00000000" w14:paraId="00000015">
      <w:pPr>
        <w:spacing w:after="0" w:before="0"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ESTEVAM, C. et al 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Programa de tutoria por pares no ensino superior: Estudo de caso.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Revista Brasileira de Orientação Profissional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Florianópolis, v. 19, n. 2, p. 185-195, dez. 2018. Disponível em: &lt;http://pepsic.bvsalud.org/scielo.php?script=sci_arttext&amp;pid=S1679-33902018000200007&amp;lng=pt&amp;nrm=iso&gt;. Acesso em: 28 jun. 2020. </w:t>
      </w:r>
    </w:p>
    <w:p w:rsidR="00000000" w:rsidDel="00000000" w:rsidP="00000000" w:rsidRDefault="00000000" w:rsidRPr="00000000" w14:paraId="00000017">
      <w:pPr>
        <w:spacing w:after="0" w:before="0"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SMITH, D. G.; JOHNSON, W. B. Social Distancing Doesn’t Have to Disrupt Mentorship.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Harvard Business Review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2020. Disponível em: &lt;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highlight w:val="white"/>
            <w:u w:val="single"/>
            <w:rtl w:val="0"/>
          </w:rPr>
          <w:t xml:space="preserve">https://hbr.org/2020/04/social-distancing-doesnt-have-to-disrupt-mentorship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&gt;. Acesso em: 30 jun.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jc w:val="left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before="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pgSz w:h="16838" w:w="11906"/>
      <w:pgMar w:bottom="1134" w:top="1701" w:left="1701" w:right="1134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0" w:line="240" w:lineRule="auto"/>
      <w:jc w:val="left"/>
      <w:rPr>
        <w:i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-2654299</wp:posOffset>
              </wp:positionH>
              <wp:positionV relativeFrom="paragraph">
                <wp:posOffset>127000</wp:posOffset>
              </wp:positionV>
              <wp:extent cx="9142096" cy="9525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803527" y="3760950"/>
                        <a:ext cx="9084946" cy="3810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15595C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-2654299</wp:posOffset>
              </wp:positionH>
              <wp:positionV relativeFrom="paragraph">
                <wp:posOffset>127000</wp:posOffset>
              </wp:positionV>
              <wp:extent cx="9142096" cy="95250"/>
              <wp:effectExtent b="0" l="0" r="0" t="0"/>
              <wp:wrapNone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2096" cy="952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7" w:line="240" w:lineRule="auto"/>
      <w:jc w:val="left"/>
      <w:rPr>
        <w:i w:val="1"/>
        <w:color w:val="000000"/>
        <w:sz w:val="17"/>
        <w:szCs w:val="17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spacing w:after="0" w:before="0" w:line="261" w:lineRule="auto"/>
      <w:jc w:val="center"/>
      <w:rPr>
        <w:rFonts w:ascii="Helvetica Neue" w:cs="Helvetica Neue" w:eastAsia="Helvetica Neue" w:hAnsi="Helvetica Neue"/>
        <w:sz w:val="22"/>
        <w:szCs w:val="22"/>
      </w:rPr>
    </w:pPr>
    <w:r w:rsidDel="00000000" w:rsidR="00000000" w:rsidRPr="00000000">
      <w:rPr>
        <w:rFonts w:ascii="Helvetica Neue" w:cs="Helvetica Neue" w:eastAsia="Helvetica Neue" w:hAnsi="Helvetica Neue"/>
        <w:sz w:val="22"/>
        <w:szCs w:val="22"/>
        <w:rtl w:val="0"/>
      </w:rPr>
      <w:t xml:space="preserve">Av. da Universidade, s/n – Dom Afonso Felipe Gregory – Imperatriz – MA - CEP 65.915-240 CNPJ: 06.279.103/0001-19 | Telefone: (99) 3529-6062</w:t>
    </w:r>
  </w:p>
  <w:p w:rsidR="00000000" w:rsidDel="00000000" w:rsidP="00000000" w:rsidRDefault="00000000" w:rsidRPr="00000000" w14:paraId="00000021">
    <w:pPr>
      <w:spacing w:after="0" w:before="0" w:line="261" w:lineRule="auto"/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Fonts w:ascii="Helvetica Neue" w:cs="Helvetica Neue" w:eastAsia="Helvetica Neue" w:hAnsi="Helvetica Neue"/>
        <w:sz w:val="22"/>
        <w:szCs w:val="22"/>
        <w:rtl w:val="0"/>
      </w:rPr>
      <w:t xml:space="preserve">E-mail: seenf.ccsst@ufma.br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before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828310" cy="828310"/>
          <wp:effectExtent b="0" l="0" r="0" t="0"/>
          <wp:docPr id="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310" cy="8283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before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before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3581400" cy="1610045"/>
          <wp:effectExtent b="0" l="0" r="0" t="0"/>
          <wp:docPr descr="C:\Users\OK\Desktop\Daniel\SENF\Logo Completa Degradê PNG.png" id="9" name="image1.png"/>
          <a:graphic>
            <a:graphicData uri="http://schemas.openxmlformats.org/drawingml/2006/picture">
              <pic:pic>
                <pic:nvPicPr>
                  <pic:cNvPr descr="C:\Users\OK\Desktop\Daniel\SENF\Logo Completa Degradê PNG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1610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440" w:before="24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9396B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54686"/>
    <w:pPr>
      <w:spacing w:after="0" w:before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54686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054686"/>
    <w:pPr>
      <w:tabs>
        <w:tab w:val="center" w:pos="4252"/>
        <w:tab w:val="right" w:pos="8504"/>
      </w:tabs>
      <w:spacing w:after="0"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468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 w:val="1"/>
    <w:rsid w:val="00054686"/>
    <w:pPr>
      <w:tabs>
        <w:tab w:val="center" w:pos="4252"/>
        <w:tab w:val="right" w:pos="8504"/>
      </w:tabs>
      <w:spacing w:after="0"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4686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 w:val="1"/>
    <w:rsid w:val="0070071B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1"/>
    <w:qFormat w:val="1"/>
    <w:rsid w:val="00330594"/>
    <w:pPr>
      <w:widowControl w:val="0"/>
      <w:autoSpaceDE w:val="0"/>
      <w:autoSpaceDN w:val="0"/>
      <w:spacing w:after="0" w:before="0" w:line="240" w:lineRule="auto"/>
      <w:jc w:val="left"/>
    </w:pPr>
    <w:rPr>
      <w:sz w:val="23"/>
      <w:szCs w:val="23"/>
      <w:lang w:bidi="pt-PT" w:eastAsia="pt-PT" w:val="pt-PT"/>
    </w:rPr>
  </w:style>
  <w:style w:type="character" w:styleId="BodyTextChar" w:customStyle="1">
    <w:name w:val="Body Text Char"/>
    <w:basedOn w:val="DefaultParagraphFont"/>
    <w:link w:val="BodyText"/>
    <w:uiPriority w:val="1"/>
    <w:rsid w:val="00330594"/>
    <w:rPr>
      <w:rFonts w:ascii="Arial" w:cs="Arial" w:eastAsia="Arial" w:hAnsi="Arial"/>
      <w:sz w:val="23"/>
      <w:szCs w:val="23"/>
      <w:lang w:bidi="pt-PT" w:eastAsia="pt-PT" w:val="pt-PT"/>
    </w:rPr>
  </w:style>
  <w:style w:type="character" w:styleId="PlaceholderText">
    <w:name w:val="Placeholder Text"/>
    <w:basedOn w:val="DefaultParagraphFont"/>
    <w:uiPriority w:val="99"/>
    <w:semiHidden w:val="1"/>
    <w:rsid w:val="001D4667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E09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4E098B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4E098B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E098B"/>
    <w:rPr>
      <w:b w:val="1"/>
      <w:bCs w:val="1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E098B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hbr.org/2020/04/social-distancing-doesnt-have-to-disrupt-mentorship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eSWfcLZnsczflKkWL/nSAADGCQ==">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2020-06-12T01:11:00Z</dcterms:created>
  <dc:creator>OK</dc:creator>
</cp:coreProperties>
</file>