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DE0E" w14:textId="77777777" w:rsidR="002278F3" w:rsidRDefault="002278F3">
      <w:pPr>
        <w:tabs>
          <w:tab w:val="right" w:pos="8307"/>
        </w:tabs>
        <w:spacing w:line="276" w:lineRule="auto"/>
        <w:ind w:left="2" w:hanging="4"/>
        <w:jc w:val="center"/>
        <w:rPr>
          <w:rFonts w:ascii="Open Sans" w:eastAsia="Open Sans" w:hAnsi="Open Sans" w:cs="Open Sans"/>
          <w:b/>
        </w:rPr>
      </w:pPr>
    </w:p>
    <w:p w14:paraId="45A67915" w14:textId="77777777" w:rsidR="002278F3" w:rsidRDefault="00E8337B">
      <w:pPr>
        <w:tabs>
          <w:tab w:val="right" w:pos="8307"/>
        </w:tabs>
        <w:spacing w:line="276" w:lineRule="auto"/>
        <w:ind w:left="2" w:hanging="4"/>
        <w:jc w:val="center"/>
        <w:rPr>
          <w:rFonts w:ascii="Open Sans" w:eastAsia="Open Sans" w:hAnsi="Open Sans" w:cs="Open Sans"/>
          <w:b/>
          <w:sz w:val="44"/>
          <w:szCs w:val="44"/>
        </w:rPr>
      </w:pPr>
      <w:r>
        <w:rPr>
          <w:rFonts w:ascii="Open Sans" w:eastAsia="Open Sans" w:hAnsi="Open Sans" w:cs="Open Sans"/>
          <w:b/>
          <w:sz w:val="40"/>
          <w:szCs w:val="40"/>
        </w:rPr>
        <w:t>Descobrindo o projeto “Sustentabilidade e Projeto de Vida Indígena”</w:t>
      </w:r>
    </w:p>
    <w:p w14:paraId="1E7FE4BC" w14:textId="77777777" w:rsidR="002278F3" w:rsidRDefault="00E8337B">
      <w:pPr>
        <w:spacing w:line="276" w:lineRule="auto"/>
        <w:ind w:hanging="2"/>
        <w:rPr>
          <w:rFonts w:ascii="Open Sans" w:eastAsia="Open Sans" w:hAnsi="Open Sans" w:cs="Open Sans"/>
          <w:b/>
          <w:sz w:val="20"/>
          <w:szCs w:val="20"/>
        </w:rPr>
      </w:pPr>
      <w:r>
        <w:rPr>
          <w:rFonts w:ascii="Open Sans" w:eastAsia="Open Sans" w:hAnsi="Open Sans" w:cs="Open Sans"/>
          <w:b/>
          <w:color w:val="000000"/>
          <w:sz w:val="20"/>
          <w:szCs w:val="20"/>
        </w:rPr>
        <w:t xml:space="preserve">Área Temática: </w:t>
      </w:r>
      <w:r>
        <w:rPr>
          <w:rFonts w:ascii="Open Sans" w:eastAsia="Open Sans" w:hAnsi="Open Sans" w:cs="Open Sans"/>
          <w:b/>
          <w:sz w:val="20"/>
          <w:szCs w:val="20"/>
        </w:rPr>
        <w:t xml:space="preserve">CIÊNCIAS HUMANAS, SOCIAIS APLICADAS E LETRAS. </w:t>
      </w:r>
    </w:p>
    <w:p w14:paraId="2B76CC6D" w14:textId="77777777" w:rsidR="002278F3" w:rsidRDefault="002278F3">
      <w:pPr>
        <w:spacing w:line="276" w:lineRule="auto"/>
        <w:ind w:left="1" w:hanging="3"/>
        <w:jc w:val="right"/>
        <w:rPr>
          <w:rFonts w:ascii="Open Sans" w:eastAsia="Open Sans" w:hAnsi="Open Sans" w:cs="Open Sans"/>
          <w:sz w:val="28"/>
          <w:szCs w:val="28"/>
        </w:rPr>
      </w:pPr>
    </w:p>
    <w:p w14:paraId="078D3A0F" w14:textId="77777777" w:rsidR="002278F3" w:rsidRDefault="00E8337B">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Ana Júlia Gomes Monteiro, UFNT, ana.monteiro@ufnt.edu.br</w:t>
      </w:r>
    </w:p>
    <w:p w14:paraId="4FF8F75D" w14:textId="77777777" w:rsidR="002278F3" w:rsidRDefault="00E8337B">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André Angelo Rodrigues, UFNT, andre.rodrigues@ufnt.edu.br</w:t>
      </w:r>
    </w:p>
    <w:p w14:paraId="1D36812E" w14:textId="77777777" w:rsidR="002278F3" w:rsidRDefault="00E8337B">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Deive Bernardes da Silva, UFNT, deive.silva@ufnt.edu.br</w:t>
      </w:r>
    </w:p>
    <w:p w14:paraId="4F0685BF" w14:textId="77777777" w:rsidR="002278F3" w:rsidRDefault="00E8337B">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Mariana da Silva Bento, UFNT, mariana.bento@ufnt.edu.br</w:t>
      </w:r>
    </w:p>
    <w:p w14:paraId="4845C787" w14:textId="77777777" w:rsidR="002278F3" w:rsidRDefault="00E8337B">
      <w:pPr>
        <w:spacing w:line="276" w:lineRule="auto"/>
        <w:ind w:left="1" w:hanging="3"/>
        <w:jc w:val="right"/>
        <w:rPr>
          <w:rFonts w:ascii="Open Sans" w:eastAsia="Open Sans" w:hAnsi="Open Sans" w:cs="Open Sans"/>
          <w:b/>
          <w:sz w:val="28"/>
          <w:szCs w:val="28"/>
        </w:rPr>
      </w:pPr>
      <w:r>
        <w:rPr>
          <w:rFonts w:ascii="Open Sans" w:eastAsia="Open Sans" w:hAnsi="Open Sans" w:cs="Open Sans"/>
          <w:b/>
          <w:sz w:val="28"/>
          <w:szCs w:val="28"/>
        </w:rPr>
        <w:t xml:space="preserve"> </w:t>
      </w:r>
    </w:p>
    <w:p w14:paraId="38046966"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1C4C425A" w14:textId="77777777" w:rsidR="002278F3" w:rsidRDefault="00E8337B">
      <w:pPr>
        <w:spacing w:after="0" w:line="360" w:lineRule="auto"/>
        <w:ind w:hanging="2"/>
        <w:jc w:val="both"/>
        <w:rPr>
          <w:rFonts w:ascii="Open Sans" w:eastAsia="Open Sans" w:hAnsi="Open Sans" w:cs="Open Sans"/>
          <w:sz w:val="20"/>
          <w:szCs w:val="20"/>
        </w:rPr>
      </w:pPr>
      <w:bookmarkStart w:id="0" w:name="_heading=h.gjdgxs" w:colFirst="0" w:colLast="0"/>
      <w:bookmarkEnd w:id="0"/>
      <w:r>
        <w:rPr>
          <w:rFonts w:ascii="Open Sans" w:eastAsia="Open Sans" w:hAnsi="Open Sans" w:cs="Open Sans"/>
          <w:sz w:val="20"/>
          <w:szCs w:val="20"/>
        </w:rPr>
        <w:t>Apresenta-se, neste estudo, uma visão geral sobre o projeto “Sustentabilidade e Projeto de Vida Indígena: Protegendo Territórios e Culturas”, financiado pelo Programa Alvorecer da Universidade Federal do Norte do Tocantins (UFNT) e associado ao curso de Di</w:t>
      </w:r>
      <w:r>
        <w:rPr>
          <w:rFonts w:ascii="Open Sans" w:eastAsia="Open Sans" w:hAnsi="Open Sans" w:cs="Open Sans"/>
          <w:sz w:val="20"/>
          <w:szCs w:val="20"/>
        </w:rPr>
        <w:t>reito da instituição. Envolve duas teorias que servem como paradigmas científicos para analisar os instrumentos pedagógicos da Escola Indígena Tekator, a saber: o Direito Humano a um Projeto de Vida e a Sustentabilidade, no intuito de saber se o componente</w:t>
      </w:r>
      <w:r>
        <w:rPr>
          <w:rFonts w:ascii="Open Sans" w:eastAsia="Open Sans" w:hAnsi="Open Sans" w:cs="Open Sans"/>
          <w:sz w:val="20"/>
          <w:szCs w:val="20"/>
        </w:rPr>
        <w:t xml:space="preserve"> curricular “projeto de vida” assumido pela Escola Tekator de fato corresponde a um projeto de vida sustentável capaz de proteger territórios e culturas do povo Apinajé. Trata-se de um projeto que se encontra em processo inicial de execução, o que justific</w:t>
      </w:r>
      <w:r>
        <w:rPr>
          <w:rFonts w:ascii="Open Sans" w:eastAsia="Open Sans" w:hAnsi="Open Sans" w:cs="Open Sans"/>
          <w:sz w:val="20"/>
          <w:szCs w:val="20"/>
        </w:rPr>
        <w:t xml:space="preserve">a a ausência de resultados finais sobre a escola indígena Tekator. Desse modo, objetiva-se apresentar o Projeto “Sustentabilidade e Projeto de Vida Indígena: Protegendo Territórios e Culturas” e as teorias </w:t>
      </w:r>
      <w:r>
        <w:rPr>
          <w:rFonts w:ascii="Open Sans" w:eastAsia="Open Sans" w:hAnsi="Open Sans" w:cs="Open Sans"/>
          <w:sz w:val="20"/>
          <w:szCs w:val="20"/>
        </w:rPr>
        <w:lastRenderedPageBreak/>
        <w:t>que o subsidiam. E, como objetivos específicos, pr</w:t>
      </w:r>
      <w:r>
        <w:rPr>
          <w:rFonts w:ascii="Open Sans" w:eastAsia="Open Sans" w:hAnsi="Open Sans" w:cs="Open Sans"/>
          <w:sz w:val="20"/>
          <w:szCs w:val="20"/>
        </w:rPr>
        <w:t>ocura-se explicar a natureza jurídica de Projeto de Vida como um Direito Humano e associá-lo ao direito ao desenvolvimento. Para tal, realizou-se uma pesquisa bibliográfica de abordagem qualitativa, utilizando-se do método lógico dedutivo para a formulação</w:t>
      </w:r>
      <w:r>
        <w:rPr>
          <w:rFonts w:ascii="Open Sans" w:eastAsia="Open Sans" w:hAnsi="Open Sans" w:cs="Open Sans"/>
          <w:sz w:val="20"/>
          <w:szCs w:val="20"/>
        </w:rPr>
        <w:t xml:space="preserve"> do raciocínio. Ao final, conclui-se que as teorias que subsidiam o projeto possibilitam uma visão mais abrangente sobre o conceito de projeto de vida, haja vista “projeto de vida” apresentar um conceito vago e abstrato que permite interpretações a partir </w:t>
      </w:r>
      <w:r>
        <w:rPr>
          <w:rFonts w:ascii="Open Sans" w:eastAsia="Open Sans" w:hAnsi="Open Sans" w:cs="Open Sans"/>
          <w:sz w:val="20"/>
          <w:szCs w:val="20"/>
        </w:rPr>
        <w:t>de diferentes perspectivas, a exemplo do modo de produção capitalista ou de uma teoria da sustentabilidade, que se revela a busca deste projeto na busca de proteção de territórios e culturas do povo Apinajé também assumida pela UFNT.</w:t>
      </w:r>
    </w:p>
    <w:p w14:paraId="349A376F" w14:textId="77777777" w:rsidR="002278F3" w:rsidRDefault="00E8337B">
      <w:pPr>
        <w:spacing w:after="0" w:line="240" w:lineRule="auto"/>
        <w:rPr>
          <w:rFonts w:ascii="Open Sans" w:eastAsia="Open Sans" w:hAnsi="Open Sans" w:cs="Open Sans"/>
          <w:sz w:val="20"/>
          <w:szCs w:val="20"/>
        </w:rPr>
      </w:pPr>
      <w:r>
        <w:rPr>
          <w:rFonts w:ascii="Open Sans" w:eastAsia="Open Sans" w:hAnsi="Open Sans" w:cs="Open Sans"/>
          <w:b/>
          <w:sz w:val="20"/>
          <w:szCs w:val="20"/>
        </w:rPr>
        <w:t>Palavras-chave:</w:t>
      </w:r>
      <w:r>
        <w:rPr>
          <w:rFonts w:ascii="Open Sans" w:eastAsia="Open Sans" w:hAnsi="Open Sans" w:cs="Open Sans"/>
          <w:sz w:val="20"/>
          <w:szCs w:val="20"/>
        </w:rPr>
        <w:t xml:space="preserve"> Projet</w:t>
      </w:r>
      <w:r>
        <w:rPr>
          <w:rFonts w:ascii="Open Sans" w:eastAsia="Open Sans" w:hAnsi="Open Sans" w:cs="Open Sans"/>
          <w:sz w:val="20"/>
          <w:szCs w:val="20"/>
        </w:rPr>
        <w:t>o de vida, Sustentabilidade, Direito ao desenvolvimento.</w:t>
      </w:r>
    </w:p>
    <w:p w14:paraId="1B4D74C5" w14:textId="77777777" w:rsidR="002278F3" w:rsidRDefault="002278F3">
      <w:pPr>
        <w:spacing w:after="0" w:line="360" w:lineRule="auto"/>
        <w:ind w:hanging="2"/>
        <w:jc w:val="both"/>
        <w:rPr>
          <w:rFonts w:ascii="Open Sans" w:eastAsia="Open Sans" w:hAnsi="Open Sans" w:cs="Open Sans"/>
          <w:sz w:val="20"/>
          <w:szCs w:val="20"/>
        </w:rPr>
      </w:pPr>
    </w:p>
    <w:p w14:paraId="05855C12"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color w:val="000000"/>
          <w:sz w:val="28"/>
          <w:szCs w:val="28"/>
        </w:rPr>
      </w:pPr>
      <w:r>
        <w:rPr>
          <w:rFonts w:ascii="Open Sans" w:eastAsia="Open Sans" w:hAnsi="Open Sans" w:cs="Open Sans"/>
          <w:b/>
          <w:color w:val="000000"/>
          <w:sz w:val="28"/>
          <w:szCs w:val="28"/>
        </w:rPr>
        <w:t>Introdução</w:t>
      </w:r>
    </w:p>
    <w:p w14:paraId="6829E259" w14:textId="77777777" w:rsidR="002278F3" w:rsidRDefault="002278F3">
      <w:pPr>
        <w:spacing w:after="0" w:line="240" w:lineRule="auto"/>
        <w:rPr>
          <w:rFonts w:ascii="Open Sans" w:eastAsia="Open Sans" w:hAnsi="Open Sans" w:cs="Open Sans"/>
        </w:rPr>
      </w:pPr>
    </w:p>
    <w:p w14:paraId="29DD58EF"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 xml:space="preserve">O presente texto apresenta uma visão geral sobre o projeto “Sustentabilidade e Projeto de Vida Indígena: Protegendo Territórios e Culturas”, </w:t>
      </w:r>
      <w:r>
        <w:rPr>
          <w:rFonts w:ascii="Open Sans" w:eastAsia="Open Sans" w:hAnsi="Open Sans" w:cs="Open Sans"/>
          <w:color w:val="00B0F0"/>
          <w:sz w:val="20"/>
          <w:szCs w:val="20"/>
        </w:rPr>
        <w:t>que</w:t>
      </w:r>
      <w:r>
        <w:rPr>
          <w:rFonts w:ascii="Open Sans" w:eastAsia="Open Sans" w:hAnsi="Open Sans" w:cs="Open Sans"/>
          <w:sz w:val="20"/>
          <w:szCs w:val="20"/>
        </w:rPr>
        <w:t xml:space="preserve"> é financiado pelo Programa Alvorecer da Universidade Federal do Norte do Tocantins (UFNT), além de estar ligado</w:t>
      </w:r>
      <w:r>
        <w:rPr>
          <w:rFonts w:ascii="Open Sans" w:eastAsia="Open Sans" w:hAnsi="Open Sans" w:cs="Open Sans"/>
          <w:sz w:val="20"/>
          <w:szCs w:val="20"/>
        </w:rPr>
        <w:t xml:space="preserve"> ao curso de Direito da mesma Universidade. De início, cabe pontuar que esse projeto ainda se encontra em execução, tendo iniciado suas atividades em 16 de setembro de 2024 com previsão de término em 15 de julho de 2025, conforme as regras do Edital Simpli</w:t>
      </w:r>
      <w:r>
        <w:rPr>
          <w:rFonts w:ascii="Open Sans" w:eastAsia="Open Sans" w:hAnsi="Open Sans" w:cs="Open Sans"/>
          <w:sz w:val="20"/>
          <w:szCs w:val="20"/>
        </w:rPr>
        <w:t>ficado nº 048/2024 do Programa Alvorecer, retificados pelos Editais nº 050/2024 e 053/2024,</w:t>
      </w:r>
    </w:p>
    <w:p w14:paraId="2BA9922E"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Em resumo, o projeto envolve duas teorias principais: o Direito Humano a um Projeto de Vida e a Sustentabilidade. Essas duas teorias servem como paradigmas científi</w:t>
      </w:r>
      <w:r>
        <w:rPr>
          <w:rFonts w:ascii="Open Sans" w:eastAsia="Open Sans" w:hAnsi="Open Sans" w:cs="Open Sans"/>
          <w:sz w:val="20"/>
          <w:szCs w:val="20"/>
        </w:rPr>
        <w:t>cos para analisar os instrumentos pedagógicos da escola indígena Tekator, em especial o componente curricular “projeto de vida” no intuito de saber se o que vem sendo gerenciado e ministrado na Escola Tekator está correspondendo a um projeto de vida susten</w:t>
      </w:r>
      <w:r>
        <w:rPr>
          <w:rFonts w:ascii="Open Sans" w:eastAsia="Open Sans" w:hAnsi="Open Sans" w:cs="Open Sans"/>
          <w:sz w:val="20"/>
          <w:szCs w:val="20"/>
        </w:rPr>
        <w:t xml:space="preserve">tável capaz de proteger territórios e culturas do povo Apinajé. O projeto conta com duas bolsistas (Mariana da Silva Bento e Ana Júlia Gomes Monteiro), além de contar com a participação de </w:t>
      </w:r>
      <w:r>
        <w:rPr>
          <w:rFonts w:ascii="Open Sans" w:eastAsia="Open Sans" w:hAnsi="Open Sans" w:cs="Open Sans"/>
          <w:sz w:val="20"/>
          <w:szCs w:val="20"/>
        </w:rPr>
        <w:lastRenderedPageBreak/>
        <w:t xml:space="preserve">dois professores do curso de Direito (Prof. André Angelo Rodrigues </w:t>
      </w:r>
      <w:r>
        <w:rPr>
          <w:rFonts w:ascii="Open Sans" w:eastAsia="Open Sans" w:hAnsi="Open Sans" w:cs="Open Sans"/>
          <w:sz w:val="20"/>
          <w:szCs w:val="20"/>
        </w:rPr>
        <w:t>e Prof. Deive Bernardes da Silva).</w:t>
      </w:r>
    </w:p>
    <w:p w14:paraId="2359C1E2"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Ocorre que o projeto ainda se encontra no seu primeiro mês de execução, não sendo possível apresentar resultados sobre a escola indígena Tekator. Desse modo, o presente texto busca apresentar uma visão geral sobre o proje</w:t>
      </w:r>
      <w:r>
        <w:rPr>
          <w:rFonts w:ascii="Open Sans" w:eastAsia="Open Sans" w:hAnsi="Open Sans" w:cs="Open Sans"/>
          <w:sz w:val="20"/>
          <w:szCs w:val="20"/>
        </w:rPr>
        <w:t xml:space="preserve">to em si e suas teorias, servindo como um relato parcial sobre a execução do projeto. </w:t>
      </w:r>
    </w:p>
    <w:p w14:paraId="456FC668" w14:textId="77777777" w:rsidR="002278F3" w:rsidRDefault="002278F3">
      <w:pPr>
        <w:spacing w:after="0" w:line="360" w:lineRule="auto"/>
        <w:ind w:hanging="2"/>
        <w:jc w:val="both"/>
        <w:rPr>
          <w:rFonts w:ascii="Open Sans" w:eastAsia="Open Sans" w:hAnsi="Open Sans" w:cs="Open Sans"/>
        </w:rPr>
      </w:pPr>
    </w:p>
    <w:p w14:paraId="6C1B4C4F"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sz w:val="28"/>
          <w:szCs w:val="28"/>
        </w:rPr>
      </w:pPr>
      <w:r>
        <w:rPr>
          <w:rFonts w:ascii="Open Sans" w:eastAsia="Open Sans" w:hAnsi="Open Sans" w:cs="Open Sans"/>
          <w:b/>
          <w:sz w:val="28"/>
          <w:szCs w:val="28"/>
        </w:rPr>
        <w:t>Objetivos</w:t>
      </w:r>
    </w:p>
    <w:p w14:paraId="6E4B6C4E" w14:textId="77777777" w:rsidR="002278F3" w:rsidRDefault="002278F3">
      <w:pPr>
        <w:spacing w:after="0" w:line="240" w:lineRule="auto"/>
        <w:rPr>
          <w:rFonts w:ascii="Open Sans" w:eastAsia="Open Sans" w:hAnsi="Open Sans" w:cs="Open Sans"/>
        </w:rPr>
      </w:pPr>
      <w:bookmarkStart w:id="1" w:name="bookmark=id.2et92p0" w:colFirst="0" w:colLast="0"/>
      <w:bookmarkEnd w:id="1"/>
    </w:p>
    <w:p w14:paraId="5E86E50B" w14:textId="77777777" w:rsidR="002278F3" w:rsidRDefault="00E8337B">
      <w:pPr>
        <w:spacing w:line="360" w:lineRule="auto"/>
        <w:ind w:hanging="2"/>
        <w:rPr>
          <w:rFonts w:ascii="Open Sans" w:eastAsia="Open Sans" w:hAnsi="Open Sans" w:cs="Open Sans"/>
          <w:b/>
        </w:rPr>
      </w:pPr>
      <w:r>
        <w:rPr>
          <w:rFonts w:ascii="Open Sans" w:eastAsia="Open Sans" w:hAnsi="Open Sans" w:cs="Open Sans"/>
          <w:b/>
        </w:rPr>
        <w:t>Objetivo geral</w:t>
      </w:r>
    </w:p>
    <w:p w14:paraId="780DC8CF" w14:textId="77777777" w:rsidR="002278F3" w:rsidRDefault="00E8337B">
      <w:pPr>
        <w:spacing w:line="360" w:lineRule="auto"/>
        <w:ind w:firstLine="850"/>
        <w:jc w:val="both"/>
        <w:rPr>
          <w:rFonts w:ascii="Open Sans" w:eastAsia="Open Sans" w:hAnsi="Open Sans" w:cs="Open Sans"/>
          <w:sz w:val="20"/>
          <w:szCs w:val="20"/>
        </w:rPr>
      </w:pPr>
      <w:r>
        <w:rPr>
          <w:rFonts w:ascii="Open Sans" w:eastAsia="Open Sans" w:hAnsi="Open Sans" w:cs="Open Sans"/>
          <w:sz w:val="20"/>
          <w:szCs w:val="20"/>
        </w:rPr>
        <w:t>Apresentar o Projeto “Sustentabilidade e Projeto de Vida Indígena: Protegendo Territórios e Culturas” e as teorias que o subsidiam.</w:t>
      </w:r>
    </w:p>
    <w:p w14:paraId="43DDAA08" w14:textId="77777777" w:rsidR="002278F3" w:rsidRDefault="00E8337B">
      <w:pPr>
        <w:spacing w:line="360" w:lineRule="auto"/>
        <w:ind w:hanging="2"/>
        <w:rPr>
          <w:rFonts w:ascii="Open Sans" w:eastAsia="Open Sans" w:hAnsi="Open Sans" w:cs="Open Sans"/>
          <w:b/>
        </w:rPr>
      </w:pPr>
      <w:r>
        <w:rPr>
          <w:rFonts w:ascii="Open Sans" w:eastAsia="Open Sans" w:hAnsi="Open Sans" w:cs="Open Sans"/>
          <w:b/>
        </w:rPr>
        <w:t xml:space="preserve">Objetivos </w:t>
      </w:r>
      <w:r>
        <w:rPr>
          <w:rFonts w:ascii="Open Sans" w:eastAsia="Open Sans" w:hAnsi="Open Sans" w:cs="Open Sans"/>
          <w:b/>
        </w:rPr>
        <w:t>específicos</w:t>
      </w:r>
    </w:p>
    <w:p w14:paraId="29D0C010" w14:textId="77777777" w:rsidR="002278F3" w:rsidRDefault="00E8337B">
      <w:pPr>
        <w:spacing w:line="360" w:lineRule="auto"/>
        <w:ind w:firstLine="850"/>
        <w:jc w:val="both"/>
        <w:rPr>
          <w:rFonts w:ascii="Open Sans" w:eastAsia="Open Sans" w:hAnsi="Open Sans" w:cs="Open Sans"/>
          <w:sz w:val="20"/>
          <w:szCs w:val="20"/>
        </w:rPr>
      </w:pPr>
      <w:r>
        <w:rPr>
          <w:rFonts w:ascii="Open Sans" w:eastAsia="Open Sans" w:hAnsi="Open Sans" w:cs="Open Sans"/>
          <w:sz w:val="20"/>
          <w:szCs w:val="20"/>
        </w:rPr>
        <w:t>Explicar a natureza jurídica de Projeto de Vida como um Direito Humano</w:t>
      </w:r>
    </w:p>
    <w:p w14:paraId="4864E068" w14:textId="77777777" w:rsidR="002278F3" w:rsidRDefault="00E8337B">
      <w:pPr>
        <w:spacing w:line="360" w:lineRule="auto"/>
        <w:ind w:firstLine="850"/>
        <w:jc w:val="both"/>
        <w:rPr>
          <w:rFonts w:ascii="Open Sans" w:eastAsia="Open Sans" w:hAnsi="Open Sans" w:cs="Open Sans"/>
          <w:sz w:val="20"/>
          <w:szCs w:val="20"/>
        </w:rPr>
      </w:pPr>
      <w:r>
        <w:rPr>
          <w:rFonts w:ascii="Open Sans" w:eastAsia="Open Sans" w:hAnsi="Open Sans" w:cs="Open Sans"/>
          <w:sz w:val="20"/>
          <w:szCs w:val="20"/>
        </w:rPr>
        <w:t>Associar o Projeto de Vida ao direito ao desenvolvimento</w:t>
      </w:r>
    </w:p>
    <w:p w14:paraId="6101D144" w14:textId="77777777" w:rsidR="002278F3" w:rsidRDefault="002278F3">
      <w:pPr>
        <w:spacing w:after="0" w:line="240" w:lineRule="auto"/>
        <w:rPr>
          <w:rFonts w:ascii="Open Sans" w:eastAsia="Open Sans" w:hAnsi="Open Sans" w:cs="Open Sans"/>
        </w:rPr>
      </w:pPr>
    </w:p>
    <w:p w14:paraId="1DC61597" w14:textId="77777777" w:rsidR="002278F3" w:rsidRDefault="002278F3">
      <w:pPr>
        <w:spacing w:after="0" w:line="240" w:lineRule="auto"/>
        <w:rPr>
          <w:rFonts w:ascii="Open Sans" w:eastAsia="Open Sans" w:hAnsi="Open Sans" w:cs="Open Sans"/>
        </w:rPr>
      </w:pPr>
    </w:p>
    <w:p w14:paraId="53370D4F"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sz w:val="28"/>
          <w:szCs w:val="28"/>
        </w:rPr>
      </w:pPr>
      <w:r>
        <w:rPr>
          <w:rFonts w:ascii="Open Sans" w:eastAsia="Open Sans" w:hAnsi="Open Sans" w:cs="Open Sans"/>
          <w:b/>
          <w:sz w:val="28"/>
          <w:szCs w:val="28"/>
        </w:rPr>
        <w:t>Material e Métodos</w:t>
      </w:r>
    </w:p>
    <w:p w14:paraId="0206662C"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No primeiro mês de execução do projeto, foram escolhidos quatro textos para leitura, discussão e debate. Os textos envolvem a temática de fundamentação dos Direitos Humanos, Corte Interamericana de Direitos Humanos e Projeto de Vida na Jurisprudência desta</w:t>
      </w:r>
      <w:r>
        <w:rPr>
          <w:rFonts w:ascii="Open Sans" w:eastAsia="Open Sans" w:hAnsi="Open Sans" w:cs="Open Sans"/>
          <w:sz w:val="20"/>
          <w:szCs w:val="20"/>
        </w:rPr>
        <w:t xml:space="preserve"> Corte. Foram realizados dois encontros por semana, onde bolsistas e professores debateram sobre as temáticas dos textos lidos. Os referidos textos serviram de subsídio para a escrita deste relato de experiência, onde é possível verificar o que já foi apre</w:t>
      </w:r>
      <w:r>
        <w:rPr>
          <w:rFonts w:ascii="Open Sans" w:eastAsia="Open Sans" w:hAnsi="Open Sans" w:cs="Open Sans"/>
          <w:sz w:val="20"/>
          <w:szCs w:val="20"/>
        </w:rPr>
        <w:t>ndido e discutido durante o primeiro mês de execução do projeto. Assim, o presente texto é resultado de uma pesquisa bibliográfica de abordagem qualitativa e se utiliza do método lógico dedutivo para a formulação do raciocínio.</w:t>
      </w:r>
    </w:p>
    <w:p w14:paraId="4A8A4AA0" w14:textId="77777777" w:rsidR="002278F3" w:rsidRDefault="002278F3">
      <w:pPr>
        <w:pBdr>
          <w:top w:val="nil"/>
          <w:left w:val="nil"/>
          <w:bottom w:val="nil"/>
          <w:right w:val="nil"/>
          <w:between w:val="nil"/>
        </w:pBdr>
        <w:spacing w:after="80" w:line="240" w:lineRule="auto"/>
        <w:jc w:val="both"/>
        <w:rPr>
          <w:rFonts w:ascii="Open Sans" w:eastAsia="Open Sans" w:hAnsi="Open Sans" w:cs="Open Sans"/>
          <w:b/>
          <w:sz w:val="28"/>
          <w:szCs w:val="28"/>
        </w:rPr>
      </w:pPr>
    </w:p>
    <w:p w14:paraId="365DAF26"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color w:val="000000"/>
          <w:sz w:val="28"/>
          <w:szCs w:val="28"/>
        </w:rPr>
      </w:pPr>
      <w:r>
        <w:rPr>
          <w:rFonts w:ascii="Open Sans" w:eastAsia="Open Sans" w:hAnsi="Open Sans" w:cs="Open Sans"/>
          <w:b/>
          <w:sz w:val="28"/>
          <w:szCs w:val="28"/>
        </w:rPr>
        <w:t>Resultados e discussão</w:t>
      </w:r>
    </w:p>
    <w:p w14:paraId="4315192D"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Juri</w:t>
      </w:r>
      <w:r>
        <w:rPr>
          <w:rFonts w:ascii="Open Sans" w:eastAsia="Open Sans" w:hAnsi="Open Sans" w:cs="Open Sans"/>
          <w:sz w:val="20"/>
          <w:szCs w:val="20"/>
        </w:rPr>
        <w:t>dicamente, “projeto de vida" pode ser entendido como um direito fundamental e intrínseco de cada pessoa: planejar e realizar seus objetivos e desejos, considerando a dignidade e a liberdade individual. O Estado tem a responsabilidade de garantir os direito</w:t>
      </w:r>
      <w:r>
        <w:rPr>
          <w:rFonts w:ascii="Open Sans" w:eastAsia="Open Sans" w:hAnsi="Open Sans" w:cs="Open Sans"/>
          <w:sz w:val="20"/>
          <w:szCs w:val="20"/>
        </w:rPr>
        <w:t xml:space="preserve">s que promovam o desenvolvimento pleno do projeto de vida. O Pacto Internacional sobre Direitos Econômicos, Sociais e Culturais, em seu artigo 6º, destaca o direito ao trabalho, fundamental para a realização dos projetos pessoais. Além disso, o art. 6º da </w:t>
      </w:r>
      <w:r>
        <w:rPr>
          <w:rFonts w:ascii="Open Sans" w:eastAsia="Open Sans" w:hAnsi="Open Sans" w:cs="Open Sans"/>
          <w:sz w:val="20"/>
          <w:szCs w:val="20"/>
        </w:rPr>
        <w:t xml:space="preserve">Constituição Brasileira, ao listar os direitos sociais, visa garantir as condições necessárias para a realização de projetos de vida dignos.  </w:t>
      </w:r>
    </w:p>
    <w:p w14:paraId="1B739B0E"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Vejamos a fala de Sessarego sobre dano ao projeto de vida: “O dano ao projeto de vida é aquele que bloqueia o alc</w:t>
      </w:r>
      <w:r>
        <w:rPr>
          <w:rFonts w:ascii="Open Sans" w:eastAsia="Open Sans" w:hAnsi="Open Sans" w:cs="Open Sans"/>
          <w:sz w:val="20"/>
          <w:szCs w:val="20"/>
        </w:rPr>
        <w:t>ance das metas e objetivos de vida traçados pela pessoa, que integram o âmago de sua existência, por causa de um fato traumático que lhe impede de atingir os seus ideais de vida” (Fernández Sessarego, 1995, p. 163).</w:t>
      </w:r>
    </w:p>
    <w:p w14:paraId="3D103B68"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A jurisprudência brasileira utiliza o co</w:t>
      </w:r>
      <w:r>
        <w:rPr>
          <w:rFonts w:ascii="Open Sans" w:eastAsia="Open Sans" w:hAnsi="Open Sans" w:cs="Open Sans"/>
          <w:sz w:val="20"/>
          <w:szCs w:val="20"/>
        </w:rPr>
        <w:t>nceito “dano ao projeto de vida”</w:t>
      </w:r>
      <w:r>
        <w:rPr>
          <w:rFonts w:ascii="Open Sans" w:eastAsia="Open Sans" w:hAnsi="Open Sans" w:cs="Open Sans"/>
          <w:color w:val="FF0000"/>
          <w:sz w:val="20"/>
          <w:szCs w:val="20"/>
          <w:highlight w:val="yellow"/>
        </w:rPr>
        <w:t>,</w:t>
      </w:r>
      <w:r>
        <w:rPr>
          <w:rFonts w:ascii="Open Sans" w:eastAsia="Open Sans" w:hAnsi="Open Sans" w:cs="Open Sans"/>
          <w:sz w:val="20"/>
          <w:szCs w:val="20"/>
        </w:rPr>
        <w:t xml:space="preserve"> como uma categoria autônoma ao dano moral e já é utilizado como aparato judicial. O "dano ao projeto de vida" refere-se à lesão que compromete ou impossibilita a concretização de planos, aspirações e realizações pessoais, </w:t>
      </w:r>
      <w:r>
        <w:rPr>
          <w:rFonts w:ascii="Open Sans" w:eastAsia="Open Sans" w:hAnsi="Open Sans" w:cs="Open Sans"/>
          <w:sz w:val="20"/>
          <w:szCs w:val="20"/>
        </w:rPr>
        <w:t>é algo irreparável ou de difícil reparação. Além disso, esse tipo de dano extrapola a simples indenização financeira, pois visa a compensar a frustração de expectativas legítimas, oriundas da confiança de si próprio que gerou impactos na qualidade de vida.</w:t>
      </w:r>
    </w:p>
    <w:p w14:paraId="32C3DE06"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A jurisprudência brasileira tem utilizado esse conceito em casos em que uma pessoa teve seu desenvolvimento pessoal e seus objetivos de vida comprometidos por um evento danoso. Por exemplo, o Superior Tribunal de Justiça (STJ) reconheceu o "dano ao projet</w:t>
      </w:r>
      <w:r>
        <w:rPr>
          <w:rFonts w:ascii="Open Sans" w:eastAsia="Open Sans" w:hAnsi="Open Sans" w:cs="Open Sans"/>
          <w:sz w:val="20"/>
          <w:szCs w:val="20"/>
        </w:rPr>
        <w:t>o de vida" em decisões relacionadas a acidentes que causaram limitações físicas permanentes, impedindo a pessoa de seguir uma carreira ou praticar atividades previamente planejadas (REsp 1.132.943/SP).</w:t>
      </w:r>
    </w:p>
    <w:p w14:paraId="1F294C78"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Além disso, o conceito tem sido aplicado em ações envo</w:t>
      </w:r>
      <w:r>
        <w:rPr>
          <w:rFonts w:ascii="Open Sans" w:eastAsia="Open Sans" w:hAnsi="Open Sans" w:cs="Open Sans"/>
          <w:sz w:val="20"/>
          <w:szCs w:val="20"/>
        </w:rPr>
        <w:t>lvendo violação de direitos humanos, que visam proteger a dignidade humana e o direito ao livre desenvolvimento pessoal, como casos de erro médico, privação injusta de liberdade e acidentes de trabalho, onde a interrupção de projetos pessoais justifica a r</w:t>
      </w:r>
      <w:r>
        <w:rPr>
          <w:rFonts w:ascii="Open Sans" w:eastAsia="Open Sans" w:hAnsi="Open Sans" w:cs="Open Sans"/>
          <w:sz w:val="20"/>
          <w:szCs w:val="20"/>
        </w:rPr>
        <w:t>eparação não apenas pelo dano material, mas também pela frustração dos objetivos de vida.</w:t>
      </w:r>
    </w:p>
    <w:p w14:paraId="0E676B97"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Com a concepção de projeto de vida devidamente elaborada, tem-se, em seguida, a necessidade de esclarecer a temática da sustentabilidade e desenvolvimento sustentável</w:t>
      </w:r>
      <w:r>
        <w:rPr>
          <w:rFonts w:ascii="Open Sans" w:eastAsia="Open Sans" w:hAnsi="Open Sans" w:cs="Open Sans"/>
          <w:sz w:val="20"/>
          <w:szCs w:val="20"/>
        </w:rPr>
        <w:t>, seus conceitos e a maneira a qual se aplica no âmbito do projeto de vida. Isso porque o Estado deve auxiliar o desenvolvimento de projetos de vida através de políticas públicas que sejam sustentáveis.</w:t>
      </w:r>
    </w:p>
    <w:p w14:paraId="30974B16"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O desenvolvimento sustentável é uma concepção que tem</w:t>
      </w:r>
      <w:r>
        <w:rPr>
          <w:rFonts w:ascii="Open Sans" w:eastAsia="Open Sans" w:hAnsi="Open Sans" w:cs="Open Sans"/>
          <w:sz w:val="20"/>
          <w:szCs w:val="20"/>
        </w:rPr>
        <w:t xml:space="preserve"> estado mais evidente nos últimos anos com a maior discussão acerca da proteção do meio ambiente, tanto natural (natureza em si), quanto artificial (a sociedade) e os cuidados que são devidos para preservá-los. Essa percepção sobre desenvolvimento versa so</w:t>
      </w:r>
      <w:r>
        <w:rPr>
          <w:rFonts w:ascii="Open Sans" w:eastAsia="Open Sans" w:hAnsi="Open Sans" w:cs="Open Sans"/>
          <w:sz w:val="20"/>
          <w:szCs w:val="20"/>
        </w:rPr>
        <w:t>bre um pensamento fora do mero economicismo que visa apenas o lucro, tendo enfoque maior na preservação da natureza, incluindo as próximas gerações que existirão no futuro, além de buscar a diminuição da desigualdade social e resgatar a diversidade cultura</w:t>
      </w:r>
      <w:r>
        <w:rPr>
          <w:rFonts w:ascii="Open Sans" w:eastAsia="Open Sans" w:hAnsi="Open Sans" w:cs="Open Sans"/>
          <w:sz w:val="20"/>
          <w:szCs w:val="20"/>
        </w:rPr>
        <w:t>l dos povos. O termo não é único na temática, podendo ser tratado como desenvolvimento viável e desenvolvimento sustentado (Montibeller Filho, 1993).</w:t>
      </w:r>
    </w:p>
    <w:p w14:paraId="37284C8E"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Com pensamento semelhante, antes de associar o projeto de vida a ideia da sustentabilidade, cita-se tão im</w:t>
      </w:r>
      <w:r>
        <w:rPr>
          <w:rFonts w:ascii="Open Sans" w:eastAsia="Open Sans" w:hAnsi="Open Sans" w:cs="Open Sans"/>
          <w:sz w:val="20"/>
          <w:szCs w:val="20"/>
        </w:rPr>
        <w:t>portante quanto a escola do Ecodesenvolvimento, introduzida por Maurice Strong, Secretário da Conferência de Estocolmo e bastante trabalhada por Ignacy Sachs após a década de 1970 (Montibeller Filho, 1993). Conforme definição de Sachs, também citada por Mo</w:t>
      </w:r>
      <w:r>
        <w:rPr>
          <w:rFonts w:ascii="Open Sans" w:eastAsia="Open Sans" w:hAnsi="Open Sans" w:cs="Open Sans"/>
          <w:sz w:val="20"/>
          <w:szCs w:val="20"/>
        </w:rPr>
        <w:t>ntibeller Filho (1993, p. 132), o Ecodesenvolvimento seria “o desenvolvimento endógeno e dependente de suas próprias forças, tendo por objetivo responder à problemática da harmonização dos objetivos sociais e econômicos do desenvolvimento com uma gestão ec</w:t>
      </w:r>
      <w:r>
        <w:rPr>
          <w:rFonts w:ascii="Open Sans" w:eastAsia="Open Sans" w:hAnsi="Open Sans" w:cs="Open Sans"/>
          <w:sz w:val="20"/>
          <w:szCs w:val="20"/>
        </w:rPr>
        <w:t>ologicamente prudente dos recursos e do meio”.</w:t>
      </w:r>
    </w:p>
    <w:p w14:paraId="200DBAF4"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Desse modo, assim como no desenvolvimento sustentável, o Ecodesenvolvimento também se preocupa com os aspectos econômicos, conjuntamente com os aspectos sociais, ambientais e culturais. É pertinente a conceitu</w:t>
      </w:r>
      <w:r>
        <w:rPr>
          <w:rFonts w:ascii="Open Sans" w:eastAsia="Open Sans" w:hAnsi="Open Sans" w:cs="Open Sans"/>
          <w:sz w:val="20"/>
          <w:szCs w:val="20"/>
        </w:rPr>
        <w:t>ação neste trabalho pelo universo de ideias que essa escola desenvolve, trazidas por Sachs, as cinco dimensões de sustentabilidade do ecodesenvolvimento (Montibeller Filho, 1993):</w:t>
      </w:r>
    </w:p>
    <w:p w14:paraId="49C9F489" w14:textId="77777777" w:rsidR="002278F3" w:rsidRDefault="00E8337B">
      <w:pPr>
        <w:numPr>
          <w:ilvl w:val="0"/>
          <w:numId w:val="1"/>
        </w:numPr>
        <w:spacing w:after="0" w:line="360" w:lineRule="auto"/>
        <w:jc w:val="both"/>
        <w:rPr>
          <w:rFonts w:ascii="Open Sans" w:eastAsia="Open Sans" w:hAnsi="Open Sans" w:cs="Open Sans"/>
          <w:sz w:val="20"/>
          <w:szCs w:val="20"/>
        </w:rPr>
      </w:pPr>
      <w:r>
        <w:rPr>
          <w:rFonts w:ascii="Open Sans" w:eastAsia="Open Sans" w:hAnsi="Open Sans" w:cs="Open Sans"/>
          <w:sz w:val="20"/>
          <w:szCs w:val="20"/>
        </w:rPr>
        <w:t>Sustentabilidade Social: focada no processo de justiça social e diminuição de desigualdades.</w:t>
      </w:r>
    </w:p>
    <w:p w14:paraId="63B71A10" w14:textId="77777777" w:rsidR="002278F3" w:rsidRDefault="00E8337B">
      <w:pPr>
        <w:numPr>
          <w:ilvl w:val="0"/>
          <w:numId w:val="1"/>
        </w:numPr>
        <w:spacing w:after="0" w:line="360" w:lineRule="auto"/>
        <w:jc w:val="both"/>
        <w:rPr>
          <w:rFonts w:ascii="Open Sans" w:eastAsia="Open Sans" w:hAnsi="Open Sans" w:cs="Open Sans"/>
          <w:sz w:val="20"/>
          <w:szCs w:val="20"/>
        </w:rPr>
      </w:pPr>
      <w:r>
        <w:rPr>
          <w:rFonts w:ascii="Open Sans" w:eastAsia="Open Sans" w:hAnsi="Open Sans" w:cs="Open Sans"/>
          <w:sz w:val="20"/>
          <w:szCs w:val="20"/>
        </w:rPr>
        <w:t>Sustentabilidade Econômica: objetiva a alocação e gestão eficiente dos recursos.</w:t>
      </w:r>
    </w:p>
    <w:p w14:paraId="026FC00B" w14:textId="77777777" w:rsidR="002278F3" w:rsidRDefault="00E8337B">
      <w:pPr>
        <w:numPr>
          <w:ilvl w:val="0"/>
          <w:numId w:val="1"/>
        </w:numPr>
        <w:spacing w:after="0" w:line="360" w:lineRule="auto"/>
        <w:jc w:val="both"/>
        <w:rPr>
          <w:rFonts w:ascii="Open Sans" w:eastAsia="Open Sans" w:hAnsi="Open Sans" w:cs="Open Sans"/>
          <w:sz w:val="20"/>
          <w:szCs w:val="20"/>
        </w:rPr>
      </w:pPr>
      <w:r>
        <w:rPr>
          <w:rFonts w:ascii="Open Sans" w:eastAsia="Open Sans" w:hAnsi="Open Sans" w:cs="Open Sans"/>
          <w:sz w:val="20"/>
          <w:szCs w:val="20"/>
        </w:rPr>
        <w:t>Sustentabilidade Ecológica: a utilização prudente e consciente dos recursos natura</w:t>
      </w:r>
      <w:r>
        <w:rPr>
          <w:rFonts w:ascii="Open Sans" w:eastAsia="Open Sans" w:hAnsi="Open Sans" w:cs="Open Sans"/>
          <w:sz w:val="20"/>
          <w:szCs w:val="20"/>
        </w:rPr>
        <w:t>is, respeitando os ecossistemas e protegendo as fontes de recursos.</w:t>
      </w:r>
    </w:p>
    <w:p w14:paraId="14270C83" w14:textId="77777777" w:rsidR="002278F3" w:rsidRDefault="00E8337B">
      <w:pPr>
        <w:numPr>
          <w:ilvl w:val="0"/>
          <w:numId w:val="1"/>
        </w:numPr>
        <w:spacing w:after="0" w:line="360" w:lineRule="auto"/>
        <w:jc w:val="both"/>
        <w:rPr>
          <w:rFonts w:ascii="Open Sans" w:eastAsia="Open Sans" w:hAnsi="Open Sans" w:cs="Open Sans"/>
          <w:sz w:val="20"/>
          <w:szCs w:val="20"/>
        </w:rPr>
      </w:pPr>
      <w:r>
        <w:rPr>
          <w:rFonts w:ascii="Open Sans" w:eastAsia="Open Sans" w:hAnsi="Open Sans" w:cs="Open Sans"/>
          <w:sz w:val="20"/>
          <w:szCs w:val="20"/>
        </w:rPr>
        <w:t>Sustentabilidade Espacial ou Geográfica: busca a democratização na relação campo- urbana.</w:t>
      </w:r>
    </w:p>
    <w:p w14:paraId="3917BF01" w14:textId="77777777" w:rsidR="002278F3" w:rsidRDefault="00E8337B">
      <w:pPr>
        <w:numPr>
          <w:ilvl w:val="0"/>
          <w:numId w:val="1"/>
        </w:numPr>
        <w:spacing w:after="0" w:line="360" w:lineRule="auto"/>
        <w:jc w:val="both"/>
        <w:rPr>
          <w:rFonts w:ascii="Open Sans" w:eastAsia="Open Sans" w:hAnsi="Open Sans" w:cs="Open Sans"/>
          <w:sz w:val="20"/>
          <w:szCs w:val="20"/>
        </w:rPr>
      </w:pPr>
      <w:r>
        <w:rPr>
          <w:rFonts w:ascii="Open Sans" w:eastAsia="Open Sans" w:hAnsi="Open Sans" w:cs="Open Sans"/>
          <w:sz w:val="20"/>
          <w:szCs w:val="20"/>
        </w:rPr>
        <w:t>Sustentabilidade Cultural: desenvolvimento com respeito às culturas diversas, e a não imposição de</w:t>
      </w:r>
      <w:r>
        <w:rPr>
          <w:rFonts w:ascii="Open Sans" w:eastAsia="Open Sans" w:hAnsi="Open Sans" w:cs="Open Sans"/>
          <w:sz w:val="20"/>
          <w:szCs w:val="20"/>
        </w:rPr>
        <w:t xml:space="preserve"> soluções que não sejam específicas para determinado ecossistema.</w:t>
      </w:r>
    </w:p>
    <w:p w14:paraId="5F0769CB"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Observando o discutido, agora no campo do projeto de vida, destaca-se que as cinco dimensões apresentadas são essenciais para a construção de políticas públicas destinadas ao auxílio ao dese</w:t>
      </w:r>
      <w:r>
        <w:rPr>
          <w:rFonts w:ascii="Open Sans" w:eastAsia="Open Sans" w:hAnsi="Open Sans" w:cs="Open Sans"/>
          <w:sz w:val="20"/>
          <w:szCs w:val="20"/>
        </w:rPr>
        <w:t>nvolvimento de um projeto de vida individual e coletivo</w:t>
      </w:r>
    </w:p>
    <w:p w14:paraId="3A72882F"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 xml:space="preserve"> É com atenção nesses aspectos que o Estado entra como garantidor do direito a um projeto de vida, com a elaboração de políticas públicas que visam tornar tangível o que se encontra somente no campo d</w:t>
      </w:r>
      <w:r>
        <w:rPr>
          <w:rFonts w:ascii="Open Sans" w:eastAsia="Open Sans" w:hAnsi="Open Sans" w:cs="Open Sans"/>
          <w:sz w:val="20"/>
          <w:szCs w:val="20"/>
        </w:rPr>
        <w:t>as ideias, fornecendo o meio ambiente ideal e sustentável para a concretização dos projetos de vida de cada indivíduo e povo e protegendo suas singularidades, tradições e cultura.</w:t>
      </w:r>
    </w:p>
    <w:p w14:paraId="56DF3B14" w14:textId="77777777" w:rsidR="002278F3" w:rsidRDefault="002278F3">
      <w:pPr>
        <w:spacing w:after="0" w:line="360" w:lineRule="auto"/>
        <w:ind w:hanging="2"/>
        <w:rPr>
          <w:rFonts w:ascii="Open Sans" w:eastAsia="Open Sans" w:hAnsi="Open Sans" w:cs="Open Sans"/>
        </w:rPr>
      </w:pPr>
    </w:p>
    <w:p w14:paraId="4CEA5D75"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color w:val="000000"/>
          <w:sz w:val="28"/>
          <w:szCs w:val="28"/>
        </w:rPr>
      </w:pPr>
      <w:r>
        <w:rPr>
          <w:rFonts w:ascii="Open Sans" w:eastAsia="Open Sans" w:hAnsi="Open Sans" w:cs="Open Sans"/>
          <w:b/>
          <w:color w:val="000000"/>
          <w:sz w:val="28"/>
          <w:szCs w:val="28"/>
        </w:rPr>
        <w:t>Considerações Finais</w:t>
      </w:r>
    </w:p>
    <w:p w14:paraId="5610409F" w14:textId="77777777" w:rsidR="002278F3" w:rsidRDefault="00E8337B">
      <w:pPr>
        <w:spacing w:after="0" w:line="360" w:lineRule="auto"/>
        <w:ind w:firstLine="850"/>
        <w:jc w:val="both"/>
        <w:rPr>
          <w:rFonts w:ascii="Open Sans" w:eastAsia="Open Sans" w:hAnsi="Open Sans" w:cs="Open Sans"/>
          <w:sz w:val="20"/>
          <w:szCs w:val="20"/>
        </w:rPr>
      </w:pPr>
      <w:r>
        <w:rPr>
          <w:rFonts w:ascii="Open Sans" w:eastAsia="Open Sans" w:hAnsi="Open Sans" w:cs="Open Sans"/>
          <w:sz w:val="20"/>
          <w:szCs w:val="20"/>
        </w:rPr>
        <w:t>Projeto de vida é um conceito vago e abstrato que pode ser interpretado a partir de diferentes perspectivas, como por exemplo, através de um modo de uma visão meramente economicista ou através de uma teoria da sustentabilidade. A teoria da sustentabilidade</w:t>
      </w:r>
      <w:r>
        <w:rPr>
          <w:rFonts w:ascii="Open Sans" w:eastAsia="Open Sans" w:hAnsi="Open Sans" w:cs="Open Sans"/>
          <w:sz w:val="20"/>
          <w:szCs w:val="20"/>
        </w:rPr>
        <w:t xml:space="preserve"> auxilia na interpretação de “projeto de vida”, principalmente no que diz respeito à criação de políticas públicas para o auxílio do desenvolvimento do projeto de vida individual e coletivo que seja sustentável em todas as suas dimensões.</w:t>
      </w:r>
    </w:p>
    <w:p w14:paraId="488BFBE9" w14:textId="77777777" w:rsidR="002278F3" w:rsidRDefault="002278F3">
      <w:pPr>
        <w:spacing w:after="0" w:line="360" w:lineRule="auto"/>
        <w:ind w:firstLine="850"/>
        <w:jc w:val="both"/>
        <w:rPr>
          <w:rFonts w:ascii="Open Sans" w:eastAsia="Open Sans" w:hAnsi="Open Sans" w:cs="Open Sans"/>
          <w:sz w:val="20"/>
          <w:szCs w:val="20"/>
        </w:rPr>
      </w:pPr>
    </w:p>
    <w:p w14:paraId="3D4C05EB" w14:textId="77777777" w:rsidR="002278F3" w:rsidRDefault="00E8337B">
      <w:pPr>
        <w:numPr>
          <w:ilvl w:val="0"/>
          <w:numId w:val="2"/>
        </w:numPr>
        <w:pBdr>
          <w:top w:val="nil"/>
          <w:left w:val="nil"/>
          <w:bottom w:val="nil"/>
          <w:right w:val="nil"/>
          <w:between w:val="nil"/>
        </w:pBdr>
        <w:spacing w:after="80" w:line="240" w:lineRule="auto"/>
        <w:ind w:left="1" w:hanging="3"/>
        <w:jc w:val="both"/>
        <w:rPr>
          <w:rFonts w:ascii="Open Sans" w:eastAsia="Open Sans" w:hAnsi="Open Sans" w:cs="Open Sans"/>
          <w:b/>
          <w:color w:val="000000"/>
          <w:sz w:val="28"/>
          <w:szCs w:val="28"/>
        </w:rPr>
      </w:pPr>
      <w:r>
        <w:rPr>
          <w:rFonts w:ascii="Open Sans" w:eastAsia="Open Sans" w:hAnsi="Open Sans" w:cs="Open Sans"/>
          <w:b/>
          <w:color w:val="000000"/>
          <w:sz w:val="28"/>
          <w:szCs w:val="28"/>
        </w:rPr>
        <w:t>Referências Bibl</w:t>
      </w:r>
      <w:r>
        <w:rPr>
          <w:rFonts w:ascii="Open Sans" w:eastAsia="Open Sans" w:hAnsi="Open Sans" w:cs="Open Sans"/>
          <w:b/>
          <w:color w:val="000000"/>
          <w:sz w:val="28"/>
          <w:szCs w:val="28"/>
        </w:rPr>
        <w:t>iográfica</w:t>
      </w:r>
    </w:p>
    <w:p w14:paraId="288BCDE8" w14:textId="77777777" w:rsidR="002278F3" w:rsidRDefault="002278F3">
      <w:pPr>
        <w:widowControl w:val="0"/>
        <w:spacing w:after="0" w:line="240" w:lineRule="auto"/>
        <w:ind w:left="-141" w:right="117"/>
        <w:jc w:val="both"/>
        <w:rPr>
          <w:rFonts w:ascii="Open Sans" w:eastAsia="Open Sans" w:hAnsi="Open Sans" w:cs="Open Sans"/>
        </w:rPr>
      </w:pPr>
    </w:p>
    <w:p w14:paraId="16670657" w14:textId="77777777" w:rsidR="002278F3" w:rsidRDefault="00E8337B">
      <w:pPr>
        <w:widowControl w:val="0"/>
        <w:spacing w:after="0" w:line="240" w:lineRule="auto"/>
        <w:ind w:left="-141" w:right="117"/>
        <w:jc w:val="both"/>
        <w:rPr>
          <w:rFonts w:ascii="Open Sans" w:eastAsia="Open Sans" w:hAnsi="Open Sans" w:cs="Open Sans"/>
          <w:sz w:val="20"/>
          <w:szCs w:val="20"/>
        </w:rPr>
      </w:pPr>
      <w:r>
        <w:rPr>
          <w:rFonts w:ascii="Open Sans" w:eastAsia="Open Sans" w:hAnsi="Open Sans" w:cs="Open Sans"/>
          <w:sz w:val="20"/>
          <w:szCs w:val="20"/>
        </w:rPr>
        <w:t>HACHEM, Daniel Wunder; BONAT, Alan. O Direito ao Desenvolvimento De um Projet De vida na jurisprudência Da corte interamericana De Direitos Humanos e a educação como elemento indispensável.</w:t>
      </w:r>
      <w:r>
        <w:rPr>
          <w:rFonts w:ascii="Open Sans" w:eastAsia="Open Sans" w:hAnsi="Open Sans" w:cs="Open Sans"/>
          <w:b/>
          <w:sz w:val="20"/>
          <w:szCs w:val="20"/>
        </w:rPr>
        <w:t xml:space="preserve"> Revista Opinião Jurídica</w:t>
      </w:r>
      <w:r>
        <w:rPr>
          <w:rFonts w:ascii="Open Sans" w:eastAsia="Open Sans" w:hAnsi="Open Sans" w:cs="Open Sans"/>
          <w:sz w:val="20"/>
          <w:szCs w:val="20"/>
        </w:rPr>
        <w:t xml:space="preserve">, vol. 15, núm. 21, diciembre, </w:t>
      </w:r>
      <w:r>
        <w:rPr>
          <w:rFonts w:ascii="Open Sans" w:eastAsia="Open Sans" w:hAnsi="Open Sans" w:cs="Open Sans"/>
          <w:sz w:val="20"/>
          <w:szCs w:val="20"/>
        </w:rPr>
        <w:t>2017, pp. 77-105.</w:t>
      </w:r>
    </w:p>
    <w:p w14:paraId="096AEEE8" w14:textId="77777777" w:rsidR="002278F3" w:rsidRDefault="002278F3">
      <w:pPr>
        <w:widowControl w:val="0"/>
        <w:spacing w:after="0" w:line="240" w:lineRule="auto"/>
        <w:ind w:left="-141" w:right="117"/>
        <w:jc w:val="both"/>
        <w:rPr>
          <w:rFonts w:ascii="Open Sans" w:eastAsia="Open Sans" w:hAnsi="Open Sans" w:cs="Open Sans"/>
          <w:sz w:val="20"/>
          <w:szCs w:val="20"/>
        </w:rPr>
      </w:pPr>
    </w:p>
    <w:p w14:paraId="665BEFB4" w14:textId="77777777" w:rsidR="002278F3" w:rsidRDefault="00E8337B">
      <w:pPr>
        <w:widowControl w:val="0"/>
        <w:spacing w:after="0" w:line="240" w:lineRule="auto"/>
        <w:ind w:left="-141" w:right="117"/>
        <w:jc w:val="both"/>
        <w:rPr>
          <w:rFonts w:ascii="Open Sans" w:eastAsia="Open Sans" w:hAnsi="Open Sans" w:cs="Open Sans"/>
          <w:sz w:val="20"/>
          <w:szCs w:val="20"/>
        </w:rPr>
      </w:pPr>
      <w:r>
        <w:rPr>
          <w:rFonts w:ascii="Open Sans" w:eastAsia="Open Sans" w:hAnsi="Open Sans" w:cs="Open Sans"/>
          <w:sz w:val="20"/>
          <w:szCs w:val="20"/>
        </w:rPr>
        <w:t xml:space="preserve">MONTIBELLER FILHO, Gilberto. Ecodesenvolvimento e desenvolvimento sustentável; conceitos e princípios. </w:t>
      </w:r>
      <w:r>
        <w:rPr>
          <w:rFonts w:ascii="Open Sans" w:eastAsia="Open Sans" w:hAnsi="Open Sans" w:cs="Open Sans"/>
          <w:b/>
          <w:sz w:val="20"/>
          <w:szCs w:val="20"/>
        </w:rPr>
        <w:t>Textos de economia</w:t>
      </w:r>
      <w:r>
        <w:rPr>
          <w:rFonts w:ascii="Open Sans" w:eastAsia="Open Sans" w:hAnsi="Open Sans" w:cs="Open Sans"/>
          <w:sz w:val="20"/>
          <w:szCs w:val="20"/>
        </w:rPr>
        <w:t>, v. 4, n. 1, p. 131-142, 1993.</w:t>
      </w:r>
    </w:p>
    <w:p w14:paraId="7007B9C9" w14:textId="77777777" w:rsidR="002278F3" w:rsidRDefault="002278F3">
      <w:pPr>
        <w:spacing w:after="0" w:line="240" w:lineRule="auto"/>
        <w:rPr>
          <w:rFonts w:ascii="Open Sans" w:eastAsia="Open Sans" w:hAnsi="Open Sans" w:cs="Open Sans"/>
          <w:sz w:val="20"/>
          <w:szCs w:val="20"/>
        </w:rPr>
      </w:pPr>
    </w:p>
    <w:p w14:paraId="736F3559" w14:textId="77777777" w:rsidR="002278F3" w:rsidRDefault="00E8337B">
      <w:pPr>
        <w:numPr>
          <w:ilvl w:val="0"/>
          <w:numId w:val="2"/>
        </w:numPr>
        <w:pBdr>
          <w:top w:val="nil"/>
          <w:left w:val="nil"/>
          <w:bottom w:val="nil"/>
          <w:right w:val="nil"/>
          <w:between w:val="nil"/>
        </w:pBdr>
        <w:spacing w:before="60" w:after="80"/>
        <w:ind w:left="1" w:hanging="3"/>
        <w:jc w:val="both"/>
        <w:rPr>
          <w:rFonts w:ascii="Open Sans" w:eastAsia="Open Sans" w:hAnsi="Open Sans" w:cs="Open Sans"/>
          <w:b/>
          <w:color w:val="000000"/>
          <w:sz w:val="28"/>
          <w:szCs w:val="28"/>
        </w:rPr>
      </w:pPr>
      <w:r>
        <w:rPr>
          <w:rFonts w:ascii="Open Sans" w:eastAsia="Open Sans" w:hAnsi="Open Sans" w:cs="Open Sans"/>
          <w:b/>
          <w:color w:val="000000"/>
          <w:sz w:val="28"/>
          <w:szCs w:val="28"/>
        </w:rPr>
        <w:t>Agradecimentos</w:t>
      </w:r>
    </w:p>
    <w:p w14:paraId="0C5E95BD" w14:textId="77777777" w:rsidR="002278F3" w:rsidRDefault="00E8337B">
      <w:pPr>
        <w:spacing w:line="276" w:lineRule="auto"/>
        <w:ind w:hanging="2"/>
        <w:jc w:val="both"/>
        <w:rPr>
          <w:rFonts w:ascii="Open Sans" w:eastAsia="Open Sans" w:hAnsi="Open Sans" w:cs="Open Sans"/>
          <w:sz w:val="20"/>
          <w:szCs w:val="20"/>
        </w:rPr>
      </w:pPr>
      <w:r>
        <w:rPr>
          <w:rFonts w:ascii="Open Sans" w:eastAsia="Open Sans" w:hAnsi="Open Sans" w:cs="Open Sans"/>
          <w:sz w:val="20"/>
          <w:szCs w:val="20"/>
        </w:rPr>
        <w:t>O presente projeto está sendo executado com o apoio do Programa Alvorecer da Universidade Federal do Norte do Tocantins, que é responsável pelo seu financiamento.</w:t>
      </w:r>
    </w:p>
    <w:p w14:paraId="23A3379F" w14:textId="77777777" w:rsidR="002278F3" w:rsidRDefault="002278F3"/>
    <w:p w14:paraId="47999EEF" w14:textId="77777777" w:rsidR="002278F3" w:rsidRDefault="002278F3">
      <w:pPr>
        <w:spacing w:after="0" w:line="360" w:lineRule="auto"/>
        <w:ind w:firstLine="850"/>
        <w:jc w:val="both"/>
        <w:rPr>
          <w:rFonts w:ascii="Open Sans" w:eastAsia="Open Sans" w:hAnsi="Open Sans" w:cs="Open Sans"/>
          <w:sz w:val="20"/>
          <w:szCs w:val="20"/>
        </w:rPr>
      </w:pPr>
    </w:p>
    <w:sectPr w:rsidR="002278F3">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96BD" w14:textId="77777777" w:rsidR="00E8337B" w:rsidRDefault="00E8337B">
      <w:pPr>
        <w:spacing w:after="0" w:line="240" w:lineRule="auto"/>
      </w:pPr>
      <w:r>
        <w:separator/>
      </w:r>
    </w:p>
  </w:endnote>
  <w:endnote w:type="continuationSeparator" w:id="0">
    <w:p w14:paraId="1C6743BA" w14:textId="77777777" w:rsidR="00E8337B" w:rsidRDefault="00E8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8F88" w14:textId="77777777" w:rsidR="00E8337B" w:rsidRDefault="00E8337B">
      <w:pPr>
        <w:spacing w:after="0" w:line="240" w:lineRule="auto"/>
      </w:pPr>
      <w:r>
        <w:separator/>
      </w:r>
    </w:p>
  </w:footnote>
  <w:footnote w:type="continuationSeparator" w:id="0">
    <w:p w14:paraId="0B984F95" w14:textId="77777777" w:rsidR="00E8337B" w:rsidRDefault="00E8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0E8B" w14:textId="77777777" w:rsidR="002278F3" w:rsidRDefault="00E8337B">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14391680" wp14:editId="6D20FADF">
          <wp:extent cx="5400040" cy="18002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1800225"/>
                  </a:xfrm>
                  <a:prstGeom prst="rect">
                    <a:avLst/>
                  </a:prstGeom>
                  <a:ln/>
                </pic:spPr>
              </pic:pic>
            </a:graphicData>
          </a:graphic>
        </wp:inline>
      </w:drawing>
    </w:r>
  </w:p>
  <w:p w14:paraId="0643C636" w14:textId="77777777" w:rsidR="002278F3" w:rsidRDefault="00E8337B">
    <w:pPr>
      <w:pBdr>
        <w:top w:val="nil"/>
        <w:left w:val="nil"/>
        <w:bottom w:val="nil"/>
        <w:right w:val="nil"/>
        <w:between w:val="nil"/>
      </w:pBdr>
      <w:tabs>
        <w:tab w:val="center" w:pos="4252"/>
        <w:tab w:val="right" w:pos="8504"/>
      </w:tabs>
      <w:spacing w:after="0" w:line="240" w:lineRule="auto"/>
      <w:ind w:left="5" w:hanging="7"/>
      <w:jc w:val="center"/>
      <w:rPr>
        <w:rFonts w:ascii="Open Sans" w:eastAsia="Open Sans" w:hAnsi="Open Sans" w:cs="Open Sans"/>
        <w:b/>
        <w:color w:val="000000"/>
        <w:sz w:val="52"/>
        <w:szCs w:val="52"/>
      </w:rPr>
    </w:pPr>
    <w:r>
      <w:rPr>
        <w:rFonts w:ascii="Open Sans" w:eastAsia="Open Sans" w:hAnsi="Open Sans" w:cs="Open Sans"/>
        <w:b/>
        <w:color w:val="000000"/>
        <w:sz w:val="52"/>
        <w:szCs w:val="52"/>
      </w:rPr>
      <w:t>Projetos Integrados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E0762"/>
    <w:multiLevelType w:val="multilevel"/>
    <w:tmpl w:val="D6F654DC"/>
    <w:lvl w:ilvl="0">
      <w:start w:val="1"/>
      <w:numFmt w:val="upperRoman"/>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ADB1B6B"/>
    <w:multiLevelType w:val="multilevel"/>
    <w:tmpl w:val="024686F2"/>
    <w:lvl w:ilvl="0">
      <w:start w:val="1"/>
      <w:numFmt w:val="lowerLetter"/>
      <w:pStyle w:val="Ttulo1"/>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F3"/>
    <w:rsid w:val="002278F3"/>
    <w:rsid w:val="00E563E4"/>
    <w:rsid w:val="00E83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78FC"/>
  <w15:docId w15:val="{4ADA15DC-6766-48BB-848E-7611B1F0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DB"/>
  </w:style>
  <w:style w:type="paragraph" w:styleId="Ttulo1">
    <w:name w:val="heading 1"/>
    <w:next w:val="Normal"/>
    <w:link w:val="Ttulo1Char"/>
    <w:uiPriority w:val="9"/>
    <w:qFormat/>
    <w:rsid w:val="00996DDB"/>
    <w:pPr>
      <w:numPr>
        <w:numId w:val="1"/>
      </w:numPr>
      <w:autoSpaceDE w:val="0"/>
      <w:spacing w:before="60" w:after="80" w:line="1" w:lineRule="atLeast"/>
      <w:ind w:leftChars="-1" w:left="-1" w:hangingChars="1" w:hanging="1"/>
      <w:jc w:val="both"/>
      <w:textDirection w:val="btLr"/>
      <w:textAlignment w:val="top"/>
      <w:outlineLvl w:val="0"/>
    </w:pPr>
    <w:rPr>
      <w:rFonts w:ascii="Century Gothic" w:eastAsia="Arial" w:hAnsi="Century Gothic" w:cs="Arial"/>
      <w:position w:val="-1"/>
      <w:sz w:val="44"/>
      <w:szCs w:val="44"/>
      <w:lang w:val="en-US" w:eastAsia="ar-SA"/>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223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7E1"/>
  </w:style>
  <w:style w:type="paragraph" w:styleId="Rodap">
    <w:name w:val="footer"/>
    <w:basedOn w:val="Normal"/>
    <w:link w:val="RodapChar"/>
    <w:uiPriority w:val="99"/>
    <w:unhideWhenUsed/>
    <w:rsid w:val="002237E1"/>
    <w:pPr>
      <w:tabs>
        <w:tab w:val="center" w:pos="4252"/>
        <w:tab w:val="right" w:pos="8504"/>
      </w:tabs>
      <w:spacing w:after="0" w:line="240" w:lineRule="auto"/>
    </w:pPr>
  </w:style>
  <w:style w:type="character" w:customStyle="1" w:styleId="RodapChar">
    <w:name w:val="Rodapé Char"/>
    <w:basedOn w:val="Fontepargpadro"/>
    <w:link w:val="Rodap"/>
    <w:uiPriority w:val="99"/>
    <w:rsid w:val="002237E1"/>
  </w:style>
  <w:style w:type="character" w:customStyle="1" w:styleId="Ttulo1Char">
    <w:name w:val="Título 1 Char"/>
    <w:basedOn w:val="Fontepargpadro"/>
    <w:link w:val="Ttulo1"/>
    <w:uiPriority w:val="9"/>
    <w:rsid w:val="00996DDB"/>
    <w:rPr>
      <w:rFonts w:ascii="Century Gothic" w:eastAsia="Arial" w:hAnsi="Century Gothic" w:cs="Arial"/>
      <w:position w:val="-1"/>
      <w:sz w:val="44"/>
      <w:szCs w:val="44"/>
      <w:lang w:val="en-US"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00632B"/>
    <w:rPr>
      <w:sz w:val="16"/>
      <w:szCs w:val="16"/>
    </w:rPr>
  </w:style>
  <w:style w:type="paragraph" w:styleId="Textodecomentrio">
    <w:name w:val="annotation text"/>
    <w:basedOn w:val="Normal"/>
    <w:link w:val="TextodecomentrioChar"/>
    <w:uiPriority w:val="99"/>
    <w:unhideWhenUsed/>
    <w:rsid w:val="0000632B"/>
    <w:pPr>
      <w:spacing w:line="240" w:lineRule="auto"/>
    </w:pPr>
    <w:rPr>
      <w:sz w:val="20"/>
      <w:szCs w:val="20"/>
    </w:rPr>
  </w:style>
  <w:style w:type="character" w:customStyle="1" w:styleId="TextodecomentrioChar">
    <w:name w:val="Texto de comentário Char"/>
    <w:basedOn w:val="Fontepargpadro"/>
    <w:link w:val="Textodecomentrio"/>
    <w:uiPriority w:val="99"/>
    <w:rsid w:val="0000632B"/>
    <w:rPr>
      <w:sz w:val="20"/>
      <w:szCs w:val="20"/>
    </w:rPr>
  </w:style>
  <w:style w:type="paragraph" w:styleId="Assuntodocomentrio">
    <w:name w:val="annotation subject"/>
    <w:basedOn w:val="Textodecomentrio"/>
    <w:next w:val="Textodecomentrio"/>
    <w:link w:val="AssuntodocomentrioChar"/>
    <w:uiPriority w:val="99"/>
    <w:semiHidden/>
    <w:unhideWhenUsed/>
    <w:rsid w:val="0000632B"/>
    <w:rPr>
      <w:b/>
      <w:bCs/>
    </w:rPr>
  </w:style>
  <w:style w:type="character" w:customStyle="1" w:styleId="AssuntodocomentrioChar">
    <w:name w:val="Assunto do comentário Char"/>
    <w:basedOn w:val="TextodecomentrioChar"/>
    <w:link w:val="Assuntodocomentrio"/>
    <w:uiPriority w:val="99"/>
    <w:semiHidden/>
    <w:rsid w:val="00006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mWRZWBqq8MRT/4tuwl1ifUZOw==">CgMxLjAyCGguZ2pkZ3hzMgppZC4yZXQ5MnAwOAByITFxc1drNjAwbE9iS3JBdDBpWjRQRHBKaGFVam8tdk8xNQ==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1848</Words>
  <Characters>9982</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2024-12-03T12:03:00Z</dcterms:created>
  <dcterms:modified xsi:type="dcterms:W3CDTF">2024-12-03T12:03:00Z</dcterms:modified>
</cp:coreProperties>
</file>