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left="0" w:right="14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rtl w:val="0"/>
        </w:rPr>
        <w:t xml:space="preserve">Linguística, Letras e Artes</w:t>
      </w:r>
    </w:p>
    <w:p w:rsidR="00000000" w:rsidDel="00000000" w:rsidP="00000000" w:rsidRDefault="00000000" w:rsidRPr="00000000" w14:paraId="00000002">
      <w:pPr>
        <w:spacing w:after="60" w:before="60" w:line="240" w:lineRule="auto"/>
        <w:ind w:left="0" w:right="14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ind w:left="1" w:hanging="3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Estudo de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poder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dever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na perspectiva da Gramática Discursivo-Funcional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40" w:lineRule="auto"/>
        <w:ind w:left="0" w:right="14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Pablo Jardel Oliveira do Rosário, Profa. Dra. Cibele Naidhig de Souza</w:t>
      </w:r>
    </w:p>
    <w:p w:rsidR="00000000" w:rsidDel="00000000" w:rsidP="00000000" w:rsidRDefault="00000000" w:rsidRPr="00000000" w14:paraId="00000006">
      <w:pPr>
        <w:spacing w:after="60" w:before="60" w:line="240" w:lineRule="auto"/>
        <w:ind w:left="0" w:right="14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estudo, em nível de iniciação científica, é vinculado ao projeto maior, intitulado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modalidade no português do Brasil: estabelecimento de contextos de ocorrência e descrição do funcionamento de verbos”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da orientadora, na Ufersa, Caraúbas.  A proposta foi examinar usos modais dos verbos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poder</w:t>
      </w:r>
      <w:r w:rsidDel="00000000" w:rsidR="00000000" w:rsidRPr="00000000">
        <w:rPr>
          <w:rFonts w:ascii="Arial" w:cs="Arial" w:eastAsia="Arial" w:hAnsi="Arial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dever</w:t>
      </w:r>
      <w:r w:rsidDel="00000000" w:rsidR="00000000" w:rsidRPr="00000000">
        <w:rPr>
          <w:rFonts w:ascii="Arial" w:cs="Arial" w:eastAsia="Arial" w:hAnsi="Arial"/>
          <w:rtl w:val="0"/>
        </w:rPr>
        <w:t xml:space="preserve"> na língua portuguesa em uma perspectiva funcionalista da linguagem. Identificam-se diferentes valores modais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dever </w:t>
      </w:r>
      <w:r w:rsidDel="00000000" w:rsidR="00000000" w:rsidRPr="00000000">
        <w:rPr>
          <w:rFonts w:ascii="Arial" w:cs="Arial" w:eastAsia="Arial" w:hAnsi="Arial"/>
          <w:rtl w:val="0"/>
        </w:rPr>
        <w:t xml:space="preserve">e busca-se fazer a análise desta polissemia relacionando-a à gramaticalização de verbos modais (HOPPER; TRAUGOTT, 2003; HENGEVELD; DALL'AGLIO HATTNHER E HENGEVELD 2016; SOUZA, 2017). Analisaram-se ocorrências retiradas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Corpus do Português </w:t>
      </w:r>
      <w:r w:rsidDel="00000000" w:rsidR="00000000" w:rsidRPr="00000000">
        <w:rPr>
          <w:rFonts w:ascii="Arial" w:cs="Arial" w:eastAsia="Arial" w:hAnsi="Arial"/>
          <w:rtl w:val="0"/>
        </w:rPr>
        <w:t xml:space="preserve">(disponível em corpusdoportugues.org), especificamente do banco de dados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Web Dialetos,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armazena material de páginas da internet da contemporaneidade. Levando em consideração estudos sobre os verbos, adotaram-se alguns parâmetros pertinentes à interpretação em um ou outro valor modal que, segundo estudiosos, revela graus diferentes de gramaticalidade. Os parâmetros adotados foram tipos de sujeito (±animado; ±humando), tipo de verbo (±dinâmico) e valores modais expressos. Como aparato teórico, utiliza-se a Gramática Discursivo-Funcional (doravante GDF) de Hengeveld e Mackenzie (2008), cujo modelo de descrição gramatical está organizado em quatro níveis hierárquicos: Nível Interpessoal, Nível Representacional, Nível Morfossintático, o Nível Fonológico. Cada um desses níveis gramaticais é hierarquicamente organizado em camadas, o que permite captar diferentes níveis de gramaticalidade dos itens em exame. A modalidade, na GDF, é  relacionada a três  camadas no Nível Representacional, que representam três orientações: para o participante, para o evento ou para a proposição (HENGELVELD, 2004). Em cada uma dessas orientações, são possíveis distinções modais em termos de facultativo, epistêmico, deôntico, volitivo, evidencial. Essa proposta serve como apoio teórico-metodológico para análise dos usos modais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poder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dever</w:t>
      </w:r>
      <w:r w:rsidDel="00000000" w:rsidR="00000000" w:rsidRPr="00000000">
        <w:rPr>
          <w:rFonts w:ascii="Arial" w:cs="Arial" w:eastAsia="Arial" w:hAnsi="Arial"/>
          <w:rtl w:val="0"/>
        </w:rPr>
        <w:t xml:space="preserve">. Nas análises baseadas em outros estudos (DALL'AGLIO HATTNHER E HENGEVELD, 206; GASPARINI-BASTOS, 2014, por exemplo), identificaram-se os valores: para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poder, </w:t>
      </w:r>
      <w:r w:rsidDel="00000000" w:rsidR="00000000" w:rsidRPr="00000000">
        <w:rPr>
          <w:rFonts w:ascii="Arial" w:cs="Arial" w:eastAsia="Arial" w:hAnsi="Arial"/>
          <w:rtl w:val="0"/>
        </w:rPr>
        <w:t xml:space="preserve">facultativos e deônticos tanto orientados para o participante quanto para o evento e epistêmico orientado para o episódio; e para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dever, </w:t>
      </w:r>
      <w:r w:rsidDel="00000000" w:rsidR="00000000" w:rsidRPr="00000000">
        <w:rPr>
          <w:rFonts w:ascii="Arial" w:cs="Arial" w:eastAsia="Arial" w:hAnsi="Arial"/>
          <w:rtl w:val="0"/>
        </w:rPr>
        <w:t xml:space="preserve">deônticos tanto orientados para o participante quanto para o evento, volitivo orientado para o evento e epistêmico orientado para o episódio.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base na proposta da consideração das relações de escopo da GDF, é possível hipotetizar um trajeto de gramaticalização que parte dos valores modais orientados para o participante em direção aos valores orientados para o episódio em um caminho unidirecional.  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before="80" w:line="24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before="8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ind w:left="0" w:right="142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verbos modais poder e dever, polissemia, gramaticalização, modalização, Gramática Discursivo-Funcional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="240" w:lineRule="auto"/>
        <w:ind w:left="0" w:right="142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Bolsista IC PIVIC – UFERSA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cs="Arial" w:eastAsia="Arial" w:hAnsi="Arial"/>
        <w:color w:val="1f4e7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1f4e7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  <w:drawing>
              <wp:inline distB="0" distT="0" distL="114300" distR="114300">
                <wp:extent cx="3400425" cy="89154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ind w:left="0" w:hanging="2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60" w:before="60" w:line="240" w:lineRule="auto"/>
      <w:ind w:left="0" w:hanging="2"/>
      <w:rPr>
        <w:rFonts w:ascii="Times New Roman" w:cs="Times New Roman" w:eastAsia="Times New Roman" w:hAnsi="Times New Roman"/>
        <w:color w:val="ed7d3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</w:pPr>
    <w:rPr>
      <w:rFonts w:ascii="Calibri Light" w:cs="Times New Roman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 w:val="1"/>
    <w:pPr>
      <w:outlineLvl w:val="9"/>
    </w:pPr>
    <w:rPr>
      <w:lang w:eastAsia="pt-BR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nn3mQXWlCjY+2w6BfCiV8o4IQ==">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2020-10-14T15:40:00Z</dcterms:created>
  <dc:creator>Thaiseany Freitas Rêgo</dc:creator>
</cp:coreProperties>
</file>