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LETRAMENTOS EM TEMPOS DE BETS: A CONSTRUÇÃO DA ARGUMENTAÇÃO NA AULA DE LÍNGUA PORTUGUESA</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Andréa Silva Moraes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Giovana de Luna Alves Câmpelo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Leanderson Bruno Santana Silva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Mateus de Oliveira Dantas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7">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Tais da Silva Lima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8">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INTRODUÇÃO</w:t>
      </w:r>
    </w:p>
    <w:p w:rsidR="00000000" w:rsidDel="00000000" w:rsidP="00000000" w:rsidRDefault="00000000" w:rsidRPr="00000000" w14:paraId="0000000A">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trabalho é uma ação formativa empregada no Programa Institucional de Bolsas de Iniciação à Docência (PIBID), referente ao projeto intitulado “Produção de texto na Educação Básica: caminhos entre a escola e a universidade", no curso de Letras-Português da Universidade Federal de Pernambuco (UFPE), coordenado pela Profa. Dra. Andréa Moraes. O projeto de ensino foi implementado em uma turma do terceiro ano do Ensino Médio da Escola Técnica Estadual Professor Agamenon Magalhães (ETEPAM), com a supervisão da professora Tais Lima da Silva. </w:t>
      </w:r>
    </w:p>
    <w:p w:rsidR="00000000" w:rsidDel="00000000" w:rsidP="00000000" w:rsidRDefault="00000000" w:rsidRPr="00000000" w14:paraId="0000000C">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relevância do projeto se justifica pela necessidade de superar o desinteresse e baixo engajamento dos alunos em atividades de leitura e escrita, propondo um projeto de letramento que utiliza situações comunicativas autênticas e de interesse dos estudantes, como a temática das apostas online ("bets"). Dessa forma, teve-se como objetivo geral  promover o engajamento dos estudantes em práticas que envolvam gêneros discursivos voltados à tipologia textual dissertativo-argumentativa, utilizando a gamificação como estratégia para fomentar a motivação. Com isso, pretendeu-se, como culminância, realizar a construção de uma coletânea de artigos de opinião, na forma de livro e de </w:t>
      </w:r>
      <w:r w:rsidDel="00000000" w:rsidR="00000000" w:rsidRPr="00000000">
        <w:rPr>
          <w:rFonts w:ascii="Times New Roman" w:cs="Times New Roman" w:eastAsia="Times New Roman" w:hAnsi="Times New Roman"/>
          <w:i w:val="1"/>
          <w:sz w:val="24"/>
          <w:szCs w:val="24"/>
          <w:rtl w:val="0"/>
        </w:rPr>
        <w:t xml:space="preserve">ebook</w:t>
      </w:r>
      <w:r w:rsidDel="00000000" w:rsidR="00000000" w:rsidRPr="00000000">
        <w:rPr>
          <w:rFonts w:ascii="Times New Roman" w:cs="Times New Roman" w:eastAsia="Times New Roman" w:hAnsi="Times New Roman"/>
          <w:sz w:val="24"/>
          <w:szCs w:val="24"/>
          <w:rtl w:val="0"/>
        </w:rPr>
        <w:t xml:space="preserve">, que reunirá as produções dos estudantes. </w:t>
      </w:r>
    </w:p>
    <w:p w:rsidR="00000000" w:rsidDel="00000000" w:rsidP="00000000" w:rsidRDefault="00000000" w:rsidRPr="00000000" w14:paraId="0000000D">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tanto, a fundamentação teórica do projeto assenta-se em uma concepção de linguagem como forma de interação humana, alinhando-se às proposições de Geraldi (1984). Nessa perspectiva, os gêneros textuais são compreendidos como "formas de vida" e "frames para a ação social", conforme Bazerman (2021). A proposta se estrutura como um projeto de letramento, conceito que, a partir do modelo ideológico de Street (1993), entende as práticas de leitura e escrita como situadas em contextos sociais e culturais específicos. Assim, busca-se criar situações reais de uso da linguagem, nas quais a escrita é utilizada para atingir um fim que vai além da simples aprendizagem técnica, como definem Kleiman (2000) e Oliveira (2010).</w:t>
      </w:r>
    </w:p>
    <w:p w:rsidR="00000000" w:rsidDel="00000000" w:rsidP="00000000" w:rsidRDefault="00000000" w:rsidRPr="00000000" w14:paraId="0000000E">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METODOLOGIA</w:t>
      </w:r>
    </w:p>
    <w:p w:rsidR="00000000" w:rsidDel="00000000" w:rsidP="00000000" w:rsidRDefault="00000000" w:rsidRPr="00000000" w14:paraId="0000001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foi desenvolvido por meio de uma abordagem qualitativa, pautada na pedagogia de projetos de letramento, que se caracterizou por organizar o ensino em torno de situações reais de uso da linguagem. Com isso,  as atividades foram estruturadas em uma sequência didática que abrangeu 30 aulas, organizadas em torno de eventos de letramento. Como estratégia central para fomentar a motivação e a colaboração, foi empregada a gamificação. As atividades foram apresentadas como “fases de um jogo”, e o desempenho dos grupos foi recompensado com uma moeda fictícia (“MEC’s”), o que incentivou o engajamento, a autoconfiança e a superação, além de fornecer </w:t>
      </w:r>
      <w:r w:rsidDel="00000000" w:rsidR="00000000" w:rsidRPr="00000000">
        <w:rPr>
          <w:rFonts w:ascii="Times New Roman" w:cs="Times New Roman" w:eastAsia="Times New Roman" w:hAnsi="Times New Roman"/>
          <w:i w:val="1"/>
          <w:sz w:val="24"/>
          <w:szCs w:val="24"/>
          <w:rtl w:val="0"/>
        </w:rPr>
        <w:t xml:space="preserve">feedback</w:t>
      </w:r>
      <w:r w:rsidDel="00000000" w:rsidR="00000000" w:rsidRPr="00000000">
        <w:rPr>
          <w:rFonts w:ascii="Times New Roman" w:cs="Times New Roman" w:eastAsia="Times New Roman" w:hAnsi="Times New Roman"/>
          <w:sz w:val="24"/>
          <w:szCs w:val="24"/>
          <w:rtl w:val="0"/>
        </w:rPr>
        <w:t xml:space="preserve"> constante aos estudantes.</w:t>
      </w:r>
    </w:p>
    <w:p w:rsidR="00000000" w:rsidDel="00000000" w:rsidP="00000000" w:rsidRDefault="00000000" w:rsidRPr="00000000" w14:paraId="00000012">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percurso metodológico iniciou-se com atividades de sensibilização, que incluíram uma roda de conversa sobre a temática e um jogo simulado para demonstrar os riscos e a manipulação envolvidos. Em seguida, os alunos analisaram a estrutura argumentativa em diferentes textos. O aprofundamento do repertório sociocultural deu-se por meio de um cine-debate sobre o documentário </w:t>
      </w:r>
      <w:r w:rsidDel="00000000" w:rsidR="00000000" w:rsidRPr="00000000">
        <w:rPr>
          <w:rFonts w:ascii="Times New Roman" w:cs="Times New Roman" w:eastAsia="Times New Roman" w:hAnsi="Times New Roman"/>
          <w:sz w:val="24"/>
          <w:szCs w:val="24"/>
          <w:u w:val="single"/>
          <w:rtl w:val="0"/>
        </w:rPr>
        <w:t xml:space="preserve">Bets: O jogo sujo que ninguém comenta</w:t>
      </w:r>
      <w:r w:rsidDel="00000000" w:rsidR="00000000" w:rsidRPr="00000000">
        <w:rPr>
          <w:rFonts w:ascii="Times New Roman" w:cs="Times New Roman" w:eastAsia="Times New Roman" w:hAnsi="Times New Roman"/>
          <w:sz w:val="24"/>
          <w:szCs w:val="24"/>
          <w:rtl w:val="0"/>
        </w:rPr>
        <w:t xml:space="preserve">, que serviu de base para a produção de resenhas críticas. Um dos pontos altos foi a realização de uma entrevista com o jornalista Rodrigo de Luna sobre o impacto das “bets”, na qual os alunos foram responsáveis pela elaboração do roteiro de perguntas. Por fim, os estudantes passaram por oficinas de planejamento, escrita e reescrita de artigos de opinião, que foram compilados em uma coletânea.</w:t>
      </w:r>
    </w:p>
    <w:p w:rsidR="00000000" w:rsidDel="00000000" w:rsidP="00000000" w:rsidRDefault="00000000" w:rsidRPr="00000000" w14:paraId="00000013">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RESULTADOS E DISCUSSÃO</w:t>
      </w:r>
    </w:p>
    <w:p w:rsidR="00000000" w:rsidDel="00000000" w:rsidP="00000000" w:rsidRDefault="00000000" w:rsidRPr="00000000" w14:paraId="00000015">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aplicação deste projeto de letramento produziu resultados significativos tanto no desenvolvimento de habilidades linguísticas quanto na formação cidadã dos estudantes. O principal deles foi a superação do quadro de desinteresse e baixo engajamento, com uma participação mais ativa e colaborativa nas aulas de Língua Portuguesa. Assim, ao trabalhar com gêneros previstos, os alunos desenvolveram a capacidade de selecionar, organizar e relacionar informações, bem como de formular teses e defendê-las com argumentos consistentes, atendendo, assim, às competências previstas nas diretrizes curriculares.</w:t>
      </w:r>
    </w:p>
    <w:p w:rsidR="00000000" w:rsidDel="00000000" w:rsidP="00000000" w:rsidRDefault="00000000" w:rsidRPr="00000000" w14:paraId="00000016">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culminância do projeto, com a produção e o lançamento de uma coletânea de artigos, materializou o aprendizado e conferiu um sentido social real à prática da escrita, posicionando os estudantes como autores e protagonistas de seu processo de formação. Ademais, ao discutir criticamente as implicações sociais das apostas online, o projeto contribuiu para a formação de cidadãos mais conscientes e capazes de se posicionar diante de fenômenos complexos do mundo contemporâneo, articulando o ensino de língua a uma dimensão emancipadora e transformadora.</w:t>
      </w:r>
    </w:p>
    <w:p w:rsidR="00000000" w:rsidDel="00000000" w:rsidP="00000000" w:rsidRDefault="00000000" w:rsidRPr="00000000" w14:paraId="00000017">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CONSIDERAÇÕES FINAIS</w:t>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de letramento foi delineado como uma proposta de intervenção pedagógica que articulou de forma consistente os pressupostos teóricos do ensino de Língua Portuguesa a uma demanda social emergente e relevante para os estudantes. Dessa forma, ao adotar uma concepção sociointeracionista da linguagem e uma metodologia pautada em eventos de letramento, buscou-se transformar a relação dos alunos com a disciplina. A proposta, por sua vez, valorizou a experiência e os conhecimentos prévios dos discentes e os posicionou como sujeitos ativos na construção do conhecimento. Com sua execução, foi possível não apenas ampliar o repertório discursivo e as habilidades linguísticas dos estudantes, mas também oferecer-lhes ferramentas para uma participação mais crítica, consciente e fundamentada na sociedade letrada.</w:t>
      </w:r>
    </w:p>
    <w:p w:rsidR="00000000" w:rsidDel="00000000" w:rsidP="00000000" w:rsidRDefault="00000000" w:rsidRPr="00000000" w14:paraId="0000001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 BIBLIOGRÁFICAS</w:t>
      </w:r>
    </w:p>
    <w:p w:rsidR="00000000" w:rsidDel="00000000" w:rsidP="00000000" w:rsidRDefault="00000000" w:rsidRPr="00000000" w14:paraId="0000001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BAZERMAN, C. A vida do gênero, a vida na sala de aula.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DIONÍSIO, A. P.; HOFFNAGEL, J. C. (org.). </w:t>
      </w:r>
      <w:r w:rsidDel="00000000" w:rsidR="00000000" w:rsidRPr="00000000">
        <w:rPr>
          <w:rFonts w:ascii="Times New Roman" w:cs="Times New Roman" w:eastAsia="Times New Roman" w:hAnsi="Times New Roman"/>
          <w:b w:val="1"/>
          <w:sz w:val="24"/>
          <w:szCs w:val="24"/>
          <w:rtl w:val="0"/>
        </w:rPr>
        <w:t xml:space="preserve">Gênero, agência e escrita</w:t>
      </w:r>
      <w:r w:rsidDel="00000000" w:rsidR="00000000" w:rsidRPr="00000000">
        <w:rPr>
          <w:rFonts w:ascii="Times New Roman" w:cs="Times New Roman" w:eastAsia="Times New Roman" w:hAnsi="Times New Roman"/>
          <w:sz w:val="24"/>
          <w:szCs w:val="24"/>
          <w:rtl w:val="0"/>
        </w:rPr>
        <w:t xml:space="preserve">. Recife, Campina Grande: Pipa Comunicação, Edufcg, 2021. Cap. 1. p. 39-55.</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GERALDI, J. W. Concepções de linguagem e ensino de português.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GERALDI, J.W.(Org.).</w:t>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 texto na sala de aula</w:t>
      </w:r>
      <w:r w:rsidDel="00000000" w:rsidR="00000000" w:rsidRPr="00000000">
        <w:rPr>
          <w:rFonts w:ascii="Times New Roman" w:cs="Times New Roman" w:eastAsia="Times New Roman" w:hAnsi="Times New Roman"/>
          <w:sz w:val="24"/>
          <w:szCs w:val="24"/>
          <w:rtl w:val="0"/>
        </w:rPr>
        <w:t xml:space="preserve">: leitura e produção. Cascavel: Assoeste, 1984. p. 41-49.</w:t>
      </w:r>
    </w:p>
    <w:p w:rsidR="00000000" w:rsidDel="00000000" w:rsidP="00000000" w:rsidRDefault="00000000" w:rsidRPr="00000000" w14:paraId="00000023">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KLEIMAN, A. B. O processo de aculturação pela escrita: ensino de forma ou aprendizagem da função?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KLEIMAN, A. B.; SIGNORINI, I. (Org.).</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 ensino e a formação do professor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alfabetização de jovens e adultos. Porto Alegre: Artes Médicas do Sul, p. 223-243, 2000.</w:t>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M. do S. O que é, como se faz e o que significa trabalhar com projeto de letramento.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OLIVEIRA, M. do S.; TINOCO, E. F.; SANTOS, G. C. O. </w:t>
      </w:r>
      <w:r w:rsidDel="00000000" w:rsidR="00000000" w:rsidRPr="00000000">
        <w:rPr>
          <w:rFonts w:ascii="Times New Roman" w:cs="Times New Roman" w:eastAsia="Times New Roman" w:hAnsi="Times New Roman"/>
          <w:b w:val="1"/>
          <w:sz w:val="24"/>
          <w:szCs w:val="24"/>
          <w:rtl w:val="0"/>
        </w:rPr>
        <w:t xml:space="preserve">Letramento e práticas pedagógicas</w:t>
      </w:r>
      <w:r w:rsidDel="00000000" w:rsidR="00000000" w:rsidRPr="00000000">
        <w:rPr>
          <w:rFonts w:ascii="Times New Roman" w:cs="Times New Roman" w:eastAsia="Times New Roman" w:hAnsi="Times New Roman"/>
          <w:sz w:val="24"/>
          <w:szCs w:val="24"/>
          <w:rtl w:val="0"/>
        </w:rPr>
        <w:t xml:space="preserve">. São Paulo: Parábola Editorial, 2010. p. 279-303.</w:t>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STREET, B. Introduction: the New Literacy Studies. In: STREET, B. (Ed.). </w:t>
      </w:r>
      <w:r w:rsidDel="00000000" w:rsidR="00000000" w:rsidRPr="00000000">
        <w:rPr>
          <w:rFonts w:ascii="Times New Roman" w:cs="Times New Roman" w:eastAsia="Times New Roman" w:hAnsi="Times New Roman"/>
          <w:b w:val="1"/>
          <w:sz w:val="24"/>
          <w:szCs w:val="24"/>
          <w:highlight w:val="white"/>
          <w:rtl w:val="0"/>
        </w:rPr>
        <w:t xml:space="preserve">Cross-Cultural</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Approaches to Literacy.</w:t>
      </w:r>
      <w:r w:rsidDel="00000000" w:rsidR="00000000" w:rsidRPr="00000000">
        <w:rPr>
          <w:rFonts w:ascii="Times New Roman" w:cs="Times New Roman" w:eastAsia="Times New Roman" w:hAnsi="Times New Roman"/>
          <w:sz w:val="24"/>
          <w:szCs w:val="24"/>
          <w:highlight w:val="white"/>
          <w:rtl w:val="0"/>
        </w:rPr>
        <w:t xml:space="preserve"> Cambridge: Cambridge University Press, 1993, p. 1-21</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Coordenadora do núcleo de Letras-Português PIBID (2024-2026) da Universidade Federal de Pernambuco (UFPE). Email: </w:t>
      </w:r>
      <w:hyperlink r:id="rId1">
        <w:r w:rsidDel="00000000" w:rsidR="00000000" w:rsidRPr="00000000">
          <w:rPr>
            <w:rFonts w:ascii="Times New Roman" w:cs="Times New Roman" w:eastAsia="Times New Roman" w:hAnsi="Times New Roman"/>
            <w:color w:val="1155cc"/>
            <w:sz w:val="20"/>
            <w:szCs w:val="20"/>
            <w:u w:val="single"/>
            <w:rtl w:val="0"/>
          </w:rPr>
          <w:t xml:space="preserve">andrea.smoraes@ufpe.br</w:t>
        </w:r>
      </w:hyperlink>
      <w:r w:rsidDel="00000000" w:rsidR="00000000" w:rsidRPr="00000000">
        <w:rPr>
          <w:rFonts w:ascii="Times New Roman" w:cs="Times New Roman" w:eastAsia="Times New Roman" w:hAnsi="Times New Roman"/>
          <w:sz w:val="20"/>
          <w:szCs w:val="20"/>
          <w:rtl w:val="0"/>
        </w:rPr>
        <w:t xml:space="preserve">. </w:t>
      </w:r>
    </w:p>
  </w:footnote>
  <w:footnote w:id="1">
    <w:p w:rsidR="00000000" w:rsidDel="00000000" w:rsidP="00000000" w:rsidRDefault="00000000" w:rsidRPr="00000000" w14:paraId="0000002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Graduanda do curso de Letras-Português e integrante do PIBID (2024-2026) da Universidade Federal de Pernambuco (UFPE). Email: </w:t>
      </w:r>
      <w:hyperlink r:id="rId2">
        <w:r w:rsidDel="00000000" w:rsidR="00000000" w:rsidRPr="00000000">
          <w:rPr>
            <w:rFonts w:ascii="Times New Roman" w:cs="Times New Roman" w:eastAsia="Times New Roman" w:hAnsi="Times New Roman"/>
            <w:color w:val="1155cc"/>
            <w:sz w:val="20"/>
            <w:szCs w:val="20"/>
            <w:u w:val="single"/>
            <w:rtl w:val="0"/>
          </w:rPr>
          <w:t xml:space="preserve">giovana.luna@ufpe.br</w:t>
        </w:r>
      </w:hyperlink>
      <w:r w:rsidDel="00000000" w:rsidR="00000000" w:rsidRPr="00000000">
        <w:rPr>
          <w:rFonts w:ascii="Times New Roman" w:cs="Times New Roman" w:eastAsia="Times New Roman" w:hAnsi="Times New Roman"/>
          <w:sz w:val="20"/>
          <w:szCs w:val="20"/>
          <w:rtl w:val="0"/>
        </w:rPr>
        <w:t xml:space="preserve">. </w:t>
      </w:r>
    </w:p>
  </w:footnote>
  <w:footnote w:id="2">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Graduado do curso de Letras-Português e integrante do PIBID (2024-2026) da Universidade Federal de Pernambuco (UFPE). Email: </w:t>
      </w:r>
      <w:hyperlink r:id="rId3">
        <w:r w:rsidDel="00000000" w:rsidR="00000000" w:rsidRPr="00000000">
          <w:rPr>
            <w:rFonts w:ascii="Times New Roman" w:cs="Times New Roman" w:eastAsia="Times New Roman" w:hAnsi="Times New Roman"/>
            <w:color w:val="1155cc"/>
            <w:sz w:val="20"/>
            <w:szCs w:val="20"/>
            <w:u w:val="single"/>
            <w:rtl w:val="0"/>
          </w:rPr>
          <w:t xml:space="preserve">leanderson.bruno@ufpe.br</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3">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Graduando do curso de Letras-Português e integrante do PIBID (2024-2026) da Universidade Federal de Pernambuco (UFPE). Email: </w:t>
      </w:r>
      <w:hyperlink r:id="rId4">
        <w:r w:rsidDel="00000000" w:rsidR="00000000" w:rsidRPr="00000000">
          <w:rPr>
            <w:rFonts w:ascii="Times New Roman" w:cs="Times New Roman" w:eastAsia="Times New Roman" w:hAnsi="Times New Roman"/>
            <w:color w:val="1155cc"/>
            <w:sz w:val="20"/>
            <w:szCs w:val="20"/>
            <w:u w:val="single"/>
            <w:rtl w:val="0"/>
          </w:rPr>
          <w:t xml:space="preserve">mateus.dantas@ufpe.br</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4">
    <w:p w:rsidR="00000000" w:rsidDel="00000000" w:rsidP="00000000" w:rsidRDefault="00000000" w:rsidRPr="00000000" w14:paraId="0000003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Professora-supervisora da Escola Técnica Estadual Professor Agamenon Magalhães (ETEPAM) e integrante do PIBID (2024-2026) da Universidade Federal de Pernambuco (UFPE). Email: </w:t>
      </w:r>
      <w:hyperlink r:id="rId5">
        <w:r w:rsidDel="00000000" w:rsidR="00000000" w:rsidRPr="00000000">
          <w:rPr>
            <w:rFonts w:ascii="Times New Roman" w:cs="Times New Roman" w:eastAsia="Times New Roman" w:hAnsi="Times New Roman"/>
            <w:color w:val="1155cc"/>
            <w:sz w:val="20"/>
            <w:szCs w:val="20"/>
            <w:u w:val="single"/>
            <w:rtl w:val="0"/>
          </w:rPr>
          <w:t xml:space="preserve">taisdelima@professor.educacao.pe.gov.br</w:t>
        </w:r>
      </w:hyperlink>
      <w:r w:rsidDel="00000000" w:rsidR="00000000" w:rsidRPr="00000000">
        <w:rPr>
          <w:rFonts w:ascii="Times New Roman" w:cs="Times New Roman" w:eastAsia="Times New Roman" w:hAnsi="Times New Roman"/>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andrea.smoraes@ufpe.br" TargetMode="External"/><Relationship Id="rId2" Type="http://schemas.openxmlformats.org/officeDocument/2006/relationships/hyperlink" Target="mailto:giovana.luna@ufpe.br" TargetMode="External"/><Relationship Id="rId3" Type="http://schemas.openxmlformats.org/officeDocument/2006/relationships/hyperlink" Target="mailto:leanderson.bruno@ufpe.br" TargetMode="External"/><Relationship Id="rId4" Type="http://schemas.openxmlformats.org/officeDocument/2006/relationships/hyperlink" Target="mailto:mateus.dantas@ufpe.br" TargetMode="External"/><Relationship Id="rId5" Type="http://schemas.openxmlformats.org/officeDocument/2006/relationships/hyperlink" Target="mailto:taisdelima@professor.educacao.pe.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