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left="1" w:hanging="3"/>
        <w:jc w:val="center"/>
        <w:rPr>
          <w:rFonts w:ascii="Arial" w:cs="Arial" w:eastAsia="Arial" w:hAnsi="Arial"/>
          <w:b w:val="1"/>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ind w:firstLine="0"/>
        <w:jc w:val="center"/>
        <w:rPr>
          <w:rFonts w:ascii="Arial" w:cs="Arial" w:eastAsia="Arial" w:hAnsi="Arial"/>
          <w:sz w:val="28"/>
          <w:szCs w:val="28"/>
        </w:rPr>
      </w:pPr>
      <w:r w:rsidDel="00000000" w:rsidR="00000000" w:rsidRPr="00000000">
        <w:rPr>
          <w:rFonts w:ascii="Arial" w:cs="Arial" w:eastAsia="Arial" w:hAnsi="Arial"/>
          <w:b w:val="1"/>
          <w:smallCaps w:val="1"/>
          <w:sz w:val="28"/>
          <w:szCs w:val="28"/>
          <w:rtl w:val="0"/>
        </w:rPr>
        <w:t xml:space="preserve">DO DIAGNÓSTICO À POLÍTICA: </w:t>
      </w:r>
      <w:r w:rsidDel="00000000" w:rsidR="00000000" w:rsidRPr="00000000">
        <w:rPr>
          <w:rFonts w:ascii="Arial" w:cs="Arial" w:eastAsia="Arial" w:hAnsi="Arial"/>
          <w:b w:val="1"/>
          <w:sz w:val="28"/>
          <w:szCs w:val="28"/>
          <w:rtl w:val="0"/>
        </w:rPr>
        <w:t xml:space="preserve">Propostas para Gestão e Preservação de Documentos Digitais no Centro Cultural São Paulo</w:t>
      </w:r>
      <w:r w:rsidDel="00000000" w:rsidR="00000000" w:rsidRPr="00000000">
        <w:rPr>
          <w:rtl w:val="0"/>
        </w:rPr>
      </w:r>
    </w:p>
    <w:p w:rsidR="00000000" w:rsidDel="00000000" w:rsidP="00000000" w:rsidRDefault="00000000" w:rsidRPr="00000000" w14:paraId="00000003">
      <w:pPr>
        <w:spacing w:after="0" w:line="360" w:lineRule="auto"/>
        <w:ind w:left="1" w:hanging="3"/>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FROM ASSESSMENT TO POLICY: proposals for digital records management and preservation at São Paulo Cultural Center</w:t>
      </w:r>
    </w:p>
    <w:p w:rsidR="00000000" w:rsidDel="00000000" w:rsidP="00000000" w:rsidRDefault="00000000" w:rsidRPr="00000000" w14:paraId="00000004">
      <w:pPr>
        <w:spacing w:after="0" w:line="360" w:lineRule="auto"/>
        <w:ind w:left="1" w:hanging="3"/>
        <w:jc w:val="center"/>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60" w:lineRule="auto"/>
        <w:ind w:left="0" w:hanging="2"/>
        <w:jc w:val="right"/>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Bruno Lopes Chbane Bosso, Fundação Escola de Sociologia e Política de São Paulo (FESPSP)/Centro Cultural São Paulo (CCSP), bruno.bosso@alumni.usp.br/brunobosso@prefeitura.sp.gov.br</w:t>
      </w:r>
    </w:p>
    <w:p w:rsidR="00000000" w:rsidDel="00000000" w:rsidP="00000000" w:rsidRDefault="00000000" w:rsidRPr="00000000" w14:paraId="00000006">
      <w:pPr>
        <w:spacing w:after="0" w:line="36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6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24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Resumo</w:t>
      </w:r>
    </w:p>
    <w:p w:rsidR="00000000" w:rsidDel="00000000" w:rsidP="00000000" w:rsidRDefault="00000000" w:rsidRPr="00000000" w14:paraId="00000009">
      <w:pPr>
        <w:spacing w:line="240" w:lineRule="auto"/>
        <w:ind w:firstLine="0"/>
        <w:jc w:val="both"/>
        <w:rPr>
          <w:rFonts w:ascii="Arial" w:cs="Arial" w:eastAsia="Arial" w:hAnsi="Arial"/>
        </w:rPr>
      </w:pPr>
      <w:r w:rsidDel="00000000" w:rsidR="00000000" w:rsidRPr="00000000">
        <w:rPr>
          <w:rFonts w:ascii="Arial" w:cs="Arial" w:eastAsia="Arial" w:hAnsi="Arial"/>
          <w:rtl w:val="0"/>
        </w:rPr>
        <w:t xml:space="preserve">Este trabalho apresenta um diagnóstico arquivístico da produção documental digital do Centro Cultural São Paulo, focando especificamente na transformação digital desta instituição pública municipal e suas implicações para a gestão e preservação do patrimônio documental contemporâneo. O objetivo central consiste em diagnosticar a produção documental digital de valor permanente do Centro Cultural São Paulo, concentrando-se na análise da produção documental do Núcleo de Curadoria e da Supervisão de Informação, além de examinar uma amostra representativa da massa documental acumulada digital, com ênfase em fotografias e vídeos nato digitais preservados no Núcleo Memória, unidade de informação e arquivo da instituição. A metodologia empregada baseou-se no desenvolvimento de questionários de diagnóstico arquivístico específi</w:t>
      </w:r>
      <w:r w:rsidDel="00000000" w:rsidR="00000000" w:rsidRPr="00000000">
        <w:rPr>
          <w:rFonts w:ascii="Arial" w:cs="Arial" w:eastAsia="Arial" w:hAnsi="Arial"/>
          <w:highlight w:val="white"/>
          <w:rtl w:val="0"/>
        </w:rPr>
        <w:t xml:space="preserve">cos para estes setores elencados da organização e na realização de entrevistas estruturadas e semiestruturadas para aprofundar questões emergentes dos dados coletados, complementada pela elaboração de uma estrutura inventário da massa documental acumulada digital (legado digital) proveniente das atividades dos setores analisados visando o que foi analisado nos objetos digitais em questão assim como ações de preservação propostas. Os principais resultados evidenciam que o Centro Cultural São Paulo aprofundou significativamente </w:t>
      </w:r>
      <w:r w:rsidDel="00000000" w:rsidR="00000000" w:rsidRPr="00000000">
        <w:rPr>
          <w:rFonts w:ascii="Arial" w:cs="Arial" w:eastAsia="Arial" w:hAnsi="Arial"/>
          <w:rtl w:val="0"/>
        </w:rPr>
        <w:t xml:space="preserve">sua transformação digital nos últimos anos, principalmente a partir de 2019, sendo possível constatar que o acervo institucional de valor permanente é atualmente nato digital de maneira preponderante, superando a documentação analógica tradicional. O estudo permitiu determinar os níveis de maturidade arquivística da amostra institucional analisada e identificar as principais lacunas existentes na gestão documental digital. Como contribuição principal, propõe-se um plano de ação abrangente para atender às necessidades específicas de gestão e preservação da produção documental digital do Centro Cultural São Paulo, incluindo instrumentos de planejamento estratégico visando a preservação sustentável do patrimônio documental futuro da instituição.</w:t>
      </w:r>
      <w:r w:rsidDel="00000000" w:rsidR="00000000" w:rsidRPr="00000000">
        <w:rPr>
          <w:rtl w:val="0"/>
        </w:rPr>
      </w:r>
    </w:p>
    <w:p w:rsidR="00000000" w:rsidDel="00000000" w:rsidP="00000000" w:rsidRDefault="00000000" w:rsidRPr="00000000" w14:paraId="0000000A">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Palavras-chave: Gestão documental digital; Centro Cultural São Paulo; Preservação digital.</w:t>
      </w:r>
    </w:p>
    <w:p w:rsidR="00000000" w:rsidDel="00000000" w:rsidP="00000000" w:rsidRDefault="00000000" w:rsidRPr="00000000" w14:paraId="0000000C">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240" w:lineRule="auto"/>
        <w:ind w:left="0" w:hanging="2"/>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Abstract</w:t>
      </w:r>
    </w:p>
    <w:p w:rsidR="00000000" w:rsidDel="00000000" w:rsidP="00000000" w:rsidRDefault="00000000" w:rsidRPr="00000000" w14:paraId="0000000E">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This work presents an archival assessment of the digital document production at the São Paulo Cultural Center, focusing specifically on the digital transformation of this municipal public institution and its implications for the management and preservation of contemporary documentary heritage. The central objective is to assess the digital document production of permanent value at the São Paulo Cultural Center, concentrating on the analysis of document production from the Curatorial Unit and the Information Supervision Unit, in addition to examining a representative sample of the accumulated digital documentary mass, with an emphasis on born-digital photographs and videos preserved at the Memory Nucleus, the institution's information and archive unit. The methodology employed was based on the development of specific archival assessment questionnaires for these listed sectors of the organization and on conducting structured and semi-structured interviews to deepen emerging issues from the collected data, complemented by the elaboration of an inventory structure for the accumulated digital documentary mass (digital legacy) originating from the activities of the analyzed sectors, aiming at what was analyzed in the digital objects in question as well as proposed preservation actions. The main results show that the São Paulo Cultural Center has significantly deepened its digital transformation in recent years, mainly from 2019 onward, making it possible to observe that the institutional collection of permanent value is currently predominantly born-digital, surpassing traditional analog documentation. The study allowed for determining the levels of archival maturity of the analyzed institutional sample and identifying the main gaps in digital document management. As the main contribution, a comprehensive action plan is proposed to address the specific needs for management and preservation of the digital document production at the São Paulo Cultural Center, including strategic planning instruments aimed at the sustainable preservation of the institution's future documentary heritage.</w:t>
      </w:r>
    </w:p>
    <w:p w:rsidR="00000000" w:rsidDel="00000000" w:rsidP="00000000" w:rsidRDefault="00000000" w:rsidRPr="00000000" w14:paraId="0000000F">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rPr>
      </w:pPr>
      <w:r w:rsidDel="00000000" w:rsidR="00000000" w:rsidRPr="00000000">
        <w:rPr>
          <w:rFonts w:ascii="Arial" w:cs="Arial" w:eastAsia="Arial" w:hAnsi="Arial"/>
          <w:rtl w:val="0"/>
        </w:rPr>
        <w:t xml:space="preserve">Keywords: Digital records management; São Paulo Cultural Center; Digital preservation.</w:t>
      </w:r>
    </w:p>
    <w:p w:rsidR="00000000" w:rsidDel="00000000" w:rsidP="00000000" w:rsidRDefault="00000000" w:rsidRPr="00000000" w14:paraId="00000011">
      <w:pPr>
        <w:spacing w:after="0" w:line="360" w:lineRule="auto"/>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360" w:lineRule="auto"/>
        <w:ind w:left="0" w:right="9.133858267716732" w:firstLine="7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INTRODUÇÃO</w:t>
      </w:r>
    </w:p>
    <w:p w:rsidR="00000000" w:rsidDel="00000000" w:rsidP="00000000" w:rsidRDefault="00000000" w:rsidRPr="00000000" w14:paraId="00000013">
      <w:pPr>
        <w:spacing w:after="0" w:line="360" w:lineRule="auto"/>
        <w:ind w:left="0" w:right="9.133858267716732" w:firstLine="70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360" w:lineRule="auto"/>
        <w:ind w:left="0" w:right="9.133858267716732" w:firstLine="7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trabalho tem como objetivo geral analisar a complexa realidade da gestão documental digital no Centro Cultural São Paulo (CCSP), investigando os desafios e oportunidades da transformação digital em instituições culturais brasileiras. Os objetivos específicos incluem: diagnosticar quantitativa e qualitativamente o estado de preservação e produção documental digital no CCSP durante 2024-2025; analisar uma amostra representativa da massa documental acumulada digital, com ênfase em fotografias e vídeos nato digitais preservados no Núcleo Memória, unidade de informação e arquivo da instituição; identificar riscos e ameaças nos processos de gestão e preservação documental; e propor recomendações estratégicas para implementação de práticas sustentáveis de preservação digital.</w:t>
      </w:r>
    </w:p>
    <w:p w:rsidR="00000000" w:rsidDel="00000000" w:rsidP="00000000" w:rsidRDefault="00000000" w:rsidRPr="00000000" w14:paraId="00000015">
      <w:pPr>
        <w:spacing w:after="0" w:line="360" w:lineRule="auto"/>
        <w:ind w:left="0" w:right="9.133858267716732" w:firstLine="7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pesquisa justifica-se pela urgente necessidade de compreender os impactos da transformação digital em instituições culturais de referência como o CCSP, primeiro centro cultural do Brasil. A crescente produção de documentos nato digitais, intensificada após 2019 e durante a pandemia COVID-19 de 2020, demanda análise sistemática dos desafios de preservação e gestão. Além disso, a fragmentação das práticas de tratamento documental entre setores produtores e custodiadores e a ausência de políticas integradas de gestão documental comprometem a preservação da memória institucional, tornando essencial o desenvolvimento de soluções baseadas em evidências empíricas.</w:t>
      </w:r>
    </w:p>
    <w:p w:rsidR="00000000" w:rsidDel="00000000" w:rsidP="00000000" w:rsidRDefault="00000000" w:rsidRPr="00000000" w14:paraId="00000016">
      <w:pPr>
        <w:spacing w:after="0" w:line="360" w:lineRule="auto"/>
        <w:ind w:left="0" w:right="9.133858267716732" w:firstLine="7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hipóteses de pesquisa formuladas são: (1) a transformação digital do CCSP intensificou-se significativamente a partir de 2019, com marcos na gestão da diretora Erika Palomino (2019-2021) e no advento da pandemia COVID-19 (2020); (2) há diferentes aspectos de gestão e produção documental que evidenciam uma fragmentação crítica nas práticas de tratamento documental entre diferentes setores da instituição, resultando em arquivos em estado de emergência permanente; e (3) a predominância de formatos proprietários e metadados incompletos compromete a sustentabilidade da preservação digital de longo prazo.</w:t>
      </w:r>
    </w:p>
    <w:p w:rsidR="00000000" w:rsidDel="00000000" w:rsidP="00000000" w:rsidRDefault="00000000" w:rsidRPr="00000000" w14:paraId="00000017">
      <w:pPr>
        <w:spacing w:after="0" w:line="360" w:lineRule="auto"/>
        <w:ind w:left="0" w:right="9.133858267716732" w:firstLine="7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embasamento teórico fundamenta-se nos princípios da Arquivologia contemporânea e da preservação digital, apoiando-se em autores como Rondinelli (2013) sobre documentos arquivísticos digitais, Innarelli (2015) sobre gestão da preservação digital, e Santos e Flores (2015) sobre políticas de preservação. O referencial também incorpora as diretrizes do e-ARQ Brasil e RDC-Arq do Arquivo Nacional, bem como os estudos de Sayão (2010) sobre metadados para preservação digital, estabelecendo </w:t>
      </w:r>
      <w:r w:rsidDel="00000000" w:rsidR="00000000" w:rsidRPr="00000000">
        <w:rPr>
          <w:rFonts w:ascii="Arial" w:cs="Arial" w:eastAsia="Arial" w:hAnsi="Arial"/>
          <w:i w:val="1"/>
          <w:sz w:val="24"/>
          <w:szCs w:val="24"/>
          <w:rtl w:val="0"/>
        </w:rPr>
        <w:t xml:space="preserve">framework</w:t>
      </w:r>
      <w:r w:rsidDel="00000000" w:rsidR="00000000" w:rsidRPr="00000000">
        <w:rPr>
          <w:rFonts w:ascii="Arial" w:cs="Arial" w:eastAsia="Arial" w:hAnsi="Arial"/>
          <w:sz w:val="24"/>
          <w:szCs w:val="24"/>
          <w:rtl w:val="0"/>
        </w:rPr>
        <w:t xml:space="preserve"> teórico-metodológico robusto para análise da realidade institucional do CCSP.</w:t>
      </w:r>
    </w:p>
    <w:p w:rsidR="00000000" w:rsidDel="00000000" w:rsidP="00000000" w:rsidRDefault="00000000" w:rsidRPr="00000000" w14:paraId="00000018">
      <w:pPr>
        <w:spacing w:after="0" w:line="360" w:lineRule="auto"/>
        <w:ind w:left="0" w:right="9.13385826771673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360" w:lineRule="auto"/>
        <w:ind w:left="0" w:right="9.133858267716732" w:firstLine="7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DESENVOLVIMENTO</w:t>
      </w:r>
    </w:p>
    <w:p w:rsidR="00000000" w:rsidDel="00000000" w:rsidP="00000000" w:rsidRDefault="00000000" w:rsidRPr="00000000" w14:paraId="0000001A">
      <w:pPr>
        <w:spacing w:after="0" w:line="360" w:lineRule="auto"/>
        <w:ind w:left="0" w:right="9.133858267716732" w:firstLine="70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360" w:lineRule="auto"/>
        <w:ind w:left="0" w:right="9.133858267716732" w:firstLine="7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metodologia de análise do estado de preservação digital e suas práticas contemporâneas nos setores elencados do Centro Cultural foram principalmente baseados no que Clarissa Schmidt (2012) coloca como o “saber” e “fazer” da Arquivística, ao citar Heloísa Belotto (2007)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360" w:lineRule="auto"/>
        <w:ind w:left="0" w:right="9.133858267716732" w:firstLine="70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360" w:lineRule="auto"/>
        <w:ind w:left="2267.71653543307" w:right="9.133858267716732" w:firstLine="0"/>
        <w:jc w:val="both"/>
        <w:rPr>
          <w:rFonts w:ascii="Arial" w:cs="Arial" w:eastAsia="Arial" w:hAnsi="Arial"/>
        </w:rPr>
      </w:pPr>
      <w:r w:rsidDel="00000000" w:rsidR="00000000" w:rsidRPr="00000000">
        <w:rPr>
          <w:rFonts w:ascii="Arial" w:cs="Arial" w:eastAsia="Arial" w:hAnsi="Arial"/>
          <w:rtl w:val="0"/>
        </w:rPr>
        <w:t xml:space="preserve">[...] que a construção e o desenvolvimento da Arquivologia enquanto ciência, sendo esta originada de um Fazer, deva considerar a definição de termos numa sistemática permanente que relaciona sua aplicação prática, sua constatação empírica e sua validade teórica, sempre com objetivo de significar a realidade em conhecimento.</w:t>
      </w:r>
      <w:r w:rsidDel="00000000" w:rsidR="00000000" w:rsidRPr="00000000">
        <w:rPr>
          <w:rFonts w:ascii="Arial" w:cs="Arial" w:eastAsia="Arial" w:hAnsi="Arial"/>
          <w:rtl w:val="0"/>
        </w:rPr>
        <w:t xml:space="preserve"> (SCHIMDT, 2012, p. 68)</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360" w:lineRule="auto"/>
        <w:ind w:left="0" w:right="9.133858267716732" w:firstLine="70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360" w:lineRule="auto"/>
        <w:ind w:left="0" w:right="9.13385826771673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assim como também se basearam na bibliografia consagrada da Arquivologia e Preservação Digital e em estudos mais recentes de diagnósticos de ecossistemas de produção e preservação de documentos digitais, casos de LUZ e MARINGELLI (2018) e LUZ e KUROKI (2019 ). Em paralelo também foram realizados estudos sobre a bibliografia organizacional específica sobre o CCSP - leis, decretos, portarias, relatórios e documentos internos. O referencial teórico, portanto abrange literatura acadêmica e cinzenta sobre preservação digital de documentos arquivísticos, gestão documental e o debate acadêmico sobre centros de memória no Brasil.</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360" w:lineRule="auto"/>
        <w:ind w:left="0" w:right="9.133858267716732" w:firstLine="7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recorte temporal do biênio 2023-2025 foi determinado por coincidir com mudança da gestão municipal, permitindo análise da realidade contemporânea de produção documental sob uma nova administração - fim e início da gestão Bruno Covas-Ricardo Nunes à frente da Prefeitura de São Paulo.</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360" w:lineRule="auto"/>
        <w:ind w:left="0" w:right="9.133858267716732" w:firstLine="7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hipótese central postula que a transformação digital do CCSP intensificou-se a partir de 2019, tendo dois marcos históricos fundamentais: a gestão de Erika Palomino (iniciada em 2019) e o advento da pandemia COVID-19 (2020). Esta hipótese baseia-se na observação de que a divulgação cultural passou a ocorrer principalmente em ambientes de redes sociais (Instagram, Facebook, Twitter, LinkedIn), modificando substancialmente os padrões de produção documental.</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360" w:lineRule="auto"/>
        <w:ind w:left="0" w:right="9.133858267716732" w:firstLine="7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amostragem da massa acumulada documental digital concentra-se em duas tipologias específicas: fotografias nato digitais e vídeos nato digitais produzidos pelo Núcleo de Curadoria e pela Supervisão de Informação. Esta escolha justifica-se pela análise das atribuições principais do CCSP conforme Decreto nº 58.207/2018: “planejar, promover, incentivar e documentar as criações culturais e artísticas”, alinhando-se à tabela de temporalidade da SMC para “PRODUÇÃO E DIFUSÃO DA CULTURA” como subfunção “PROMOÇÃO E ACESSO À CULTURA NA CIDADE”.</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360" w:lineRule="auto"/>
        <w:ind w:left="0" w:right="9.133858267716732" w:firstLine="7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conceito de “entorno digital” orienta a análise, definido como “conjunto de plataformas e modelos responsável por custodiar os documentos arquivísticos registrados em cadeia binária”, reconhecendo que não é possível compreender documentos digitais sem compreender os sistemas informatizados que os produziram, seus requisitos, metadados e ambientes de tramitação.</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360" w:lineRule="auto"/>
        <w:ind w:left="0" w:right="9.133858267716732" w:firstLine="7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Foi desenvolvido padrão específico de inventário com campos específicos para análise da massa documental acumulada digital, utilizando metodologia </w:t>
      </w:r>
      <w:r w:rsidDel="00000000" w:rsidR="00000000" w:rsidRPr="00000000">
        <w:rPr>
          <w:rFonts w:ascii="Arial" w:cs="Arial" w:eastAsia="Arial" w:hAnsi="Arial"/>
          <w:i w:val="1"/>
          <w:sz w:val="24"/>
          <w:szCs w:val="24"/>
          <w:rtl w:val="0"/>
        </w:rPr>
        <w:t xml:space="preserve">BPMN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Business Process Model and Notation</w:t>
      </w:r>
      <w:r w:rsidDel="00000000" w:rsidR="00000000" w:rsidRPr="00000000">
        <w:rPr>
          <w:rFonts w:ascii="Arial" w:cs="Arial" w:eastAsia="Arial" w:hAnsi="Arial"/>
          <w:sz w:val="24"/>
          <w:szCs w:val="24"/>
          <w:rtl w:val="0"/>
        </w:rPr>
        <w:t xml:space="preserve">) para mapeamento de processos e fluxos documentais. A metodologia incluiu também estudo comparativo com nove instituições: Centro de Memória Amélia Império Hamburger (SBPC), Centro de Pesquisa do MASP, Biblioteca de Artes Visuais da Pinacoteca, Theatro Municipal, Centro de Memória do Circo, Arquivo Histórico Municipal, Centro Sérgio Buarque de Holanda, Centro de Documentação do Museu da Cidade e Acervo Histórico da Biblioteca Mário de Andrade.</w:t>
      </w:r>
    </w:p>
    <w:p w:rsidR="00000000" w:rsidDel="00000000" w:rsidP="00000000" w:rsidRDefault="00000000" w:rsidRPr="00000000" w14:paraId="00000025">
      <w:pPr>
        <w:spacing w:after="0" w:line="360" w:lineRule="auto"/>
        <w:ind w:left="0" w:right="9.133858267716732" w:firstLine="70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360" w:lineRule="auto"/>
        <w:ind w:left="0" w:right="9.133858267716732" w:firstLine="7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CONSIDERAÇÕES FINAIS</w:t>
      </w:r>
    </w:p>
    <w:p w:rsidR="00000000" w:rsidDel="00000000" w:rsidP="00000000" w:rsidRDefault="00000000" w:rsidRPr="00000000" w14:paraId="00000027">
      <w:pPr>
        <w:spacing w:after="0" w:line="360" w:lineRule="auto"/>
        <w:ind w:left="0" w:right="9.133858267716732" w:firstLine="70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after="0" w:line="360" w:lineRule="auto"/>
        <w:ind w:left="0" w:right="9.133858267716732" w:firstLine="7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análise dos processos do CCSP revelou um cenário complexo com potencialidades e desafios significativos. Os principais problemas identificados incluem fragmentação da informação, ausência de política de gestão documental integrada e comprometimento da autenticidade devido à desconexão entre contexto de produção e armazenamento dos documentos.</w:t>
      </w:r>
    </w:p>
    <w:p w:rsidR="00000000" w:rsidDel="00000000" w:rsidP="00000000" w:rsidRDefault="00000000" w:rsidRPr="00000000" w14:paraId="00000029">
      <w:pPr>
        <w:spacing w:after="0" w:line="360" w:lineRule="auto"/>
        <w:ind w:left="0" w:right="9.133858267716732" w:firstLine="7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estudo propõe cinco recomendações estratégicas integradas: (1) Implementação de Política de Gestão Documental Integrada definindo responsabilidades claras e procedimentos padronizados; (2) Programa de Enriquecimento de Metadados priorizando documentos de alto valor institucional; (3) Estratégia de Migração para Formatos Abertos baseada em valor institucional e risco de obsolescência; (4) Programa de Capacitação em Competências Digitais; (5) Implementação de Repositório Digital Confiável (RDC-Arq) centralizando preservação de documentos permanentes.</w:t>
      </w:r>
    </w:p>
    <w:p w:rsidR="00000000" w:rsidDel="00000000" w:rsidP="00000000" w:rsidRDefault="00000000" w:rsidRPr="00000000" w14:paraId="0000002A">
      <w:pPr>
        <w:spacing w:after="0" w:line="360" w:lineRule="auto"/>
        <w:ind w:left="0" w:right="9.133858267716732" w:firstLine="7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limitações metodológicas incluem o recorte temporal específico, dependência de informações autodeclaradas e ausência de entrevistas com ex-funcionários. Como perspectivas futuras, sugere-se monitoramento contínuo das práticas documentais e desenvolvimento de indicadores de maturidade digital.</w:t>
      </w:r>
    </w:p>
    <w:p w:rsidR="00000000" w:rsidDel="00000000" w:rsidP="00000000" w:rsidRDefault="00000000" w:rsidRPr="00000000" w14:paraId="0000002B">
      <w:pPr>
        <w:spacing w:after="0" w:line="360" w:lineRule="auto"/>
        <w:ind w:left="0" w:right="9.133858267716732" w:firstLine="7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pesquisa confirma que o CCSP aprofundou sua transformação digital a partir de 2019, sendo hoje o acervo de valor permanente sobretudo nato digital. Como instituição cultural de referência, o CCSP tem oportunidade de transformar-se em caso exemplar de gestão documental integrada para instituições culturais brasileiras.</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360" w:lineRule="auto"/>
        <w:ind w:left="0" w:right="9.13385826771673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360" w:lineRule="auto"/>
        <w:ind w:left="0" w:hanging="2"/>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REFERÊNCIAS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after="0" w:line="24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ARQUIVO NACIONAL (Brasil). </w:t>
      </w:r>
      <w:r w:rsidDel="00000000" w:rsidR="00000000" w:rsidRPr="00000000">
        <w:rPr>
          <w:rFonts w:ascii="Arial" w:cs="Arial" w:eastAsia="Arial" w:hAnsi="Arial"/>
          <w:b w:val="1"/>
          <w:sz w:val="24"/>
          <w:szCs w:val="24"/>
          <w:rtl w:val="0"/>
        </w:rPr>
        <w:t xml:space="preserve">Conselho Nacional de Arquivos. e-ARQ Brasil: Modelo de Requisitos para Sistemas Informatizados de Gestão Arquivística de Documentos</w:t>
      </w:r>
      <w:r w:rsidDel="00000000" w:rsidR="00000000" w:rsidRPr="00000000">
        <w:rPr>
          <w:rFonts w:ascii="Arial" w:cs="Arial" w:eastAsia="Arial" w:hAnsi="Arial"/>
          <w:sz w:val="24"/>
          <w:szCs w:val="24"/>
          <w:rtl w:val="0"/>
        </w:rPr>
        <w:t xml:space="preserve">. Rio de Janeiro: Arquivo Nacional, 2020.</w:t>
      </w:r>
    </w:p>
    <w:p w:rsidR="00000000" w:rsidDel="00000000" w:rsidP="00000000" w:rsidRDefault="00000000" w:rsidRPr="00000000" w14:paraId="00000030">
      <w:pPr>
        <w:spacing w:after="0" w:line="24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spacing w:after="0" w:line="24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ARQUIVO NACIONAL (Brasil). </w:t>
      </w:r>
      <w:r w:rsidDel="00000000" w:rsidR="00000000" w:rsidRPr="00000000">
        <w:rPr>
          <w:rFonts w:ascii="Arial" w:cs="Arial" w:eastAsia="Arial" w:hAnsi="Arial"/>
          <w:b w:val="1"/>
          <w:sz w:val="24"/>
          <w:szCs w:val="24"/>
          <w:rtl w:val="0"/>
        </w:rPr>
        <w:t xml:space="preserve">Conselho Nacional de Arquivos. Resolução nº 43, de 04 de setembro de 2015</w:t>
      </w:r>
      <w:r w:rsidDel="00000000" w:rsidR="00000000" w:rsidRPr="00000000">
        <w:rPr>
          <w:rFonts w:ascii="Arial" w:cs="Arial" w:eastAsia="Arial" w:hAnsi="Arial"/>
          <w:sz w:val="24"/>
          <w:szCs w:val="24"/>
          <w:rtl w:val="0"/>
        </w:rPr>
        <w:t xml:space="preserve">. Diretrizes para a implementação de repositórios arquivísticos digitais confiáveis - RDC-Arq.</w:t>
      </w:r>
    </w:p>
    <w:p w:rsidR="00000000" w:rsidDel="00000000" w:rsidP="00000000" w:rsidRDefault="00000000" w:rsidRPr="00000000" w14:paraId="00000032">
      <w:pPr>
        <w:spacing w:after="0" w:line="24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after="0" w:line="24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BELLOTTO, Heloísa Liberalli. </w:t>
      </w:r>
      <w:r w:rsidDel="00000000" w:rsidR="00000000" w:rsidRPr="00000000">
        <w:rPr>
          <w:rFonts w:ascii="Arial" w:cs="Arial" w:eastAsia="Arial" w:hAnsi="Arial"/>
          <w:b w:val="1"/>
          <w:sz w:val="24"/>
          <w:szCs w:val="24"/>
          <w:rtl w:val="0"/>
        </w:rPr>
        <w:t xml:space="preserve">Arquivos permanentes</w:t>
      </w:r>
      <w:r w:rsidDel="00000000" w:rsidR="00000000" w:rsidRPr="00000000">
        <w:rPr>
          <w:rFonts w:ascii="Arial" w:cs="Arial" w:eastAsia="Arial" w:hAnsi="Arial"/>
          <w:sz w:val="24"/>
          <w:szCs w:val="24"/>
          <w:rtl w:val="0"/>
        </w:rPr>
        <w:t xml:space="preserve">: tratamento documental. 4. ed. Rio de Janeiro: Editora FGV, 2006.</w:t>
      </w:r>
    </w:p>
    <w:p w:rsidR="00000000" w:rsidDel="00000000" w:rsidP="00000000" w:rsidRDefault="00000000" w:rsidRPr="00000000" w14:paraId="00000034">
      <w:pPr>
        <w:spacing w:after="0" w:line="24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spacing w:after="0" w:line="24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BOSSO, Bruno Lopes Chbane; RAMOS, Victor Henrique Orlandi.</w:t>
      </w:r>
      <w:r w:rsidDel="00000000" w:rsidR="00000000" w:rsidRPr="00000000">
        <w:rPr>
          <w:rFonts w:ascii="Arial" w:cs="Arial" w:eastAsia="Arial" w:hAnsi="Arial"/>
          <w:b w:val="1"/>
          <w:sz w:val="24"/>
          <w:szCs w:val="24"/>
          <w:rtl w:val="0"/>
        </w:rPr>
        <w:t xml:space="preserve"> Relatório de diagnóstico da preservação digital do Núcleo Memória do Centro Cultural São Paulo (NMCCSP)</w:t>
      </w:r>
      <w:r w:rsidDel="00000000" w:rsidR="00000000" w:rsidRPr="00000000">
        <w:rPr>
          <w:rFonts w:ascii="Arial" w:cs="Arial" w:eastAsia="Arial" w:hAnsi="Arial"/>
          <w:sz w:val="24"/>
          <w:szCs w:val="24"/>
          <w:rtl w:val="0"/>
        </w:rPr>
        <w:t xml:space="preserve">. São Paulo: FESPSP, 2024. Disponível em: https://drive.google.com/file/d/1VPvK7rHcjAxUQTrfDV5nfsQuRkKJzC7v/view?usp=s haring.</w:t>
      </w:r>
    </w:p>
    <w:p w:rsidR="00000000" w:rsidDel="00000000" w:rsidP="00000000" w:rsidRDefault="00000000" w:rsidRPr="00000000" w14:paraId="00000036">
      <w:pPr>
        <w:spacing w:after="0" w:line="24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0" w:line="24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CAMARGO, Ana Maria de Almeida; GOULART, Silvana. </w:t>
      </w:r>
      <w:r w:rsidDel="00000000" w:rsidR="00000000" w:rsidRPr="00000000">
        <w:rPr>
          <w:rFonts w:ascii="Arial" w:cs="Arial" w:eastAsia="Arial" w:hAnsi="Arial"/>
          <w:b w:val="1"/>
          <w:sz w:val="24"/>
          <w:szCs w:val="24"/>
          <w:rtl w:val="0"/>
        </w:rPr>
        <w:t xml:space="preserve">Centros de memória</w:t>
      </w:r>
      <w:r w:rsidDel="00000000" w:rsidR="00000000" w:rsidRPr="00000000">
        <w:rPr>
          <w:rFonts w:ascii="Arial" w:cs="Arial" w:eastAsia="Arial" w:hAnsi="Arial"/>
          <w:sz w:val="24"/>
          <w:szCs w:val="24"/>
          <w:rtl w:val="0"/>
        </w:rPr>
        <w:t xml:space="preserve">: uma proposta de definição. São Paulo: Edições Sesc São Paulo, 2015.</w:t>
      </w:r>
    </w:p>
    <w:p w:rsidR="00000000" w:rsidDel="00000000" w:rsidP="00000000" w:rsidRDefault="00000000" w:rsidRPr="00000000" w14:paraId="00000038">
      <w:pPr>
        <w:spacing w:after="0" w:line="24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line="24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DIGITAL PRESERVATION COALITION. </w:t>
      </w:r>
      <w:r w:rsidDel="00000000" w:rsidR="00000000" w:rsidRPr="00000000">
        <w:rPr>
          <w:rFonts w:ascii="Arial" w:cs="Arial" w:eastAsia="Arial" w:hAnsi="Arial"/>
          <w:b w:val="1"/>
          <w:i w:val="1"/>
          <w:sz w:val="24"/>
          <w:szCs w:val="24"/>
          <w:rtl w:val="0"/>
        </w:rPr>
        <w:t xml:space="preserve">Digital Preservation Handbook</w:t>
      </w:r>
      <w:r w:rsidDel="00000000" w:rsidR="00000000" w:rsidRPr="00000000">
        <w:rPr>
          <w:rFonts w:ascii="Arial" w:cs="Arial" w:eastAsia="Arial" w:hAnsi="Arial"/>
          <w:sz w:val="24"/>
          <w:szCs w:val="24"/>
          <w:rtl w:val="0"/>
        </w:rPr>
        <w:t xml:space="preserve">. 2nd Edition. Glasgow: DPC, 2015.</w:t>
      </w:r>
    </w:p>
    <w:p w:rsidR="00000000" w:rsidDel="00000000" w:rsidP="00000000" w:rsidRDefault="00000000" w:rsidRPr="00000000" w14:paraId="0000003A">
      <w:pPr>
        <w:spacing w:after="0" w:line="24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24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FERREIRA, Miguel. </w:t>
      </w:r>
      <w:r w:rsidDel="00000000" w:rsidR="00000000" w:rsidRPr="00000000">
        <w:rPr>
          <w:rFonts w:ascii="Arial" w:cs="Arial" w:eastAsia="Arial" w:hAnsi="Arial"/>
          <w:b w:val="1"/>
          <w:sz w:val="24"/>
          <w:szCs w:val="24"/>
          <w:rtl w:val="0"/>
        </w:rPr>
        <w:t xml:space="preserve">Introdução à preservação digital</w:t>
      </w:r>
      <w:r w:rsidDel="00000000" w:rsidR="00000000" w:rsidRPr="00000000">
        <w:rPr>
          <w:rFonts w:ascii="Arial" w:cs="Arial" w:eastAsia="Arial" w:hAnsi="Arial"/>
          <w:sz w:val="24"/>
          <w:szCs w:val="24"/>
          <w:rtl w:val="0"/>
        </w:rPr>
        <w:t xml:space="preserve">: conceitos, estratégias e actuais consensos. Guimarães, Portugal: Escola de Engenharia da Universidade do Minho, 2006.</w:t>
      </w:r>
    </w:p>
    <w:p w:rsidR="00000000" w:rsidDel="00000000" w:rsidP="00000000" w:rsidRDefault="00000000" w:rsidRPr="00000000" w14:paraId="0000003C">
      <w:pPr>
        <w:spacing w:after="0" w:line="24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after="0" w:line="24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FLORES, Daniel; ROCCO, Brenda Couto de Brito; SANTOS, Henrique Machado dos. Cadeia de custódia para documentos arquivísticos digitais. </w:t>
      </w:r>
      <w:r w:rsidDel="00000000" w:rsidR="00000000" w:rsidRPr="00000000">
        <w:rPr>
          <w:rFonts w:ascii="Arial" w:cs="Arial" w:eastAsia="Arial" w:hAnsi="Arial"/>
          <w:b w:val="1"/>
          <w:sz w:val="24"/>
          <w:szCs w:val="24"/>
          <w:rtl w:val="0"/>
        </w:rPr>
        <w:t xml:space="preserve">Acervo</w:t>
      </w:r>
      <w:r w:rsidDel="00000000" w:rsidR="00000000" w:rsidRPr="00000000">
        <w:rPr>
          <w:rFonts w:ascii="Arial" w:cs="Arial" w:eastAsia="Arial" w:hAnsi="Arial"/>
          <w:sz w:val="24"/>
          <w:szCs w:val="24"/>
          <w:rtl w:val="0"/>
        </w:rPr>
        <w:t xml:space="preserve">, Rio de Janeiro, v. 29, n. 2, p. 117-132, jul./dez. 2016.</w:t>
      </w:r>
    </w:p>
    <w:p w:rsidR="00000000" w:rsidDel="00000000" w:rsidP="00000000" w:rsidRDefault="00000000" w:rsidRPr="00000000" w14:paraId="0000003E">
      <w:pPr>
        <w:spacing w:after="0" w:line="24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24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INNARELLI, Humberto Celeste. </w:t>
      </w:r>
      <w:r w:rsidDel="00000000" w:rsidR="00000000" w:rsidRPr="00000000">
        <w:rPr>
          <w:rFonts w:ascii="Arial" w:cs="Arial" w:eastAsia="Arial" w:hAnsi="Arial"/>
          <w:b w:val="1"/>
          <w:sz w:val="24"/>
          <w:szCs w:val="24"/>
          <w:rtl w:val="0"/>
        </w:rPr>
        <w:t xml:space="preserve">Gestão da preservação de documentos arquivísticos digitais: proposta de um modelo conceitual</w:t>
      </w:r>
      <w:r w:rsidDel="00000000" w:rsidR="00000000" w:rsidRPr="00000000">
        <w:rPr>
          <w:rFonts w:ascii="Arial" w:cs="Arial" w:eastAsia="Arial" w:hAnsi="Arial"/>
          <w:sz w:val="24"/>
          <w:szCs w:val="24"/>
          <w:rtl w:val="0"/>
        </w:rPr>
        <w:t xml:space="preserve">. 2015. Tese (Doutorado em Ciência da Informação) - Escola de Comunicações e Artes, Universidade de São Paulo, São Paulo, 2015.</w:t>
      </w:r>
    </w:p>
    <w:p w:rsidR="00000000" w:rsidDel="00000000" w:rsidP="00000000" w:rsidRDefault="00000000" w:rsidRPr="00000000" w14:paraId="00000040">
      <w:pPr>
        <w:spacing w:after="0" w:line="24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after="0" w:line="24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LEITE, Andréa Andira. </w:t>
      </w:r>
      <w:r w:rsidDel="00000000" w:rsidR="00000000" w:rsidRPr="00000000">
        <w:rPr>
          <w:rFonts w:ascii="Arial" w:cs="Arial" w:eastAsia="Arial" w:hAnsi="Arial"/>
          <w:b w:val="1"/>
          <w:sz w:val="24"/>
          <w:szCs w:val="24"/>
          <w:rtl w:val="0"/>
        </w:rPr>
        <w:t xml:space="preserve">A experiência do Departamento de Informação e Documentação Artísticas (IDART) em São Paulo</w:t>
      </w:r>
      <w:r w:rsidDel="00000000" w:rsidR="00000000" w:rsidRPr="00000000">
        <w:rPr>
          <w:rFonts w:ascii="Arial" w:cs="Arial" w:eastAsia="Arial" w:hAnsi="Arial"/>
          <w:sz w:val="24"/>
          <w:szCs w:val="24"/>
          <w:rtl w:val="0"/>
        </w:rPr>
        <w:t xml:space="preserve">: uma revisão crítica. 2017. Dissertação (Mestrado em Museologia) - Programa de Pós-Graduação Interunidades em Museologia, Universidade de São Paulo, São Paulo, 2017.</w:t>
      </w:r>
    </w:p>
    <w:p w:rsidR="00000000" w:rsidDel="00000000" w:rsidP="00000000" w:rsidRDefault="00000000" w:rsidRPr="00000000" w14:paraId="00000042">
      <w:pPr>
        <w:spacing w:after="0" w:line="24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after="0" w:line="24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LUZ, Charlley dos Santos; MARINGELI, Isabel Cristina Ayres da Silva. Política de preservação digital: caso Pinacoteca de São Paulo. </w:t>
      </w:r>
      <w:r w:rsidDel="00000000" w:rsidR="00000000" w:rsidRPr="00000000">
        <w:rPr>
          <w:rFonts w:ascii="Arial" w:cs="Arial" w:eastAsia="Arial" w:hAnsi="Arial"/>
          <w:b w:val="1"/>
          <w:sz w:val="24"/>
          <w:szCs w:val="24"/>
          <w:rtl w:val="0"/>
        </w:rPr>
        <w:t xml:space="preserve">Perspectivas em Ciência da Informação</w:t>
      </w:r>
      <w:r w:rsidDel="00000000" w:rsidR="00000000" w:rsidRPr="00000000">
        <w:rPr>
          <w:rFonts w:ascii="Arial" w:cs="Arial" w:eastAsia="Arial" w:hAnsi="Arial"/>
          <w:sz w:val="24"/>
          <w:szCs w:val="24"/>
          <w:rtl w:val="0"/>
        </w:rPr>
        <w:t xml:space="preserve">, Belo Horizonte, v. 23, n. 2, p. 7-15, abr./jun. 2018.</w:t>
      </w:r>
    </w:p>
    <w:p w:rsidR="00000000" w:rsidDel="00000000" w:rsidP="00000000" w:rsidRDefault="00000000" w:rsidRPr="00000000" w14:paraId="00000044">
      <w:pPr>
        <w:spacing w:after="0" w:line="24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after="0" w:line="24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LUZ, Charlley dos Santos; KUROKI, Ivina Flores Melo. Diagnóstico em acervos digitais: estudo de caso em um órgão do Poder Executivo Federal. In: </w:t>
      </w:r>
      <w:r w:rsidDel="00000000" w:rsidR="00000000" w:rsidRPr="00000000">
        <w:rPr>
          <w:rFonts w:ascii="Arial" w:cs="Arial" w:eastAsia="Arial" w:hAnsi="Arial"/>
          <w:b w:val="1"/>
          <w:sz w:val="24"/>
          <w:szCs w:val="24"/>
          <w:rtl w:val="0"/>
        </w:rPr>
        <w:t xml:space="preserve">ENCONTRO CATARINENSE DE ARQUIVOS</w:t>
      </w:r>
      <w:r w:rsidDel="00000000" w:rsidR="00000000" w:rsidRPr="00000000">
        <w:rPr>
          <w:rFonts w:ascii="Arial" w:cs="Arial" w:eastAsia="Arial" w:hAnsi="Arial"/>
          <w:sz w:val="24"/>
          <w:szCs w:val="24"/>
          <w:rtl w:val="0"/>
        </w:rPr>
        <w:t xml:space="preserve">, 14., 2019, Florianópolis. Anais […]. Florianópolis: Associação dos Arquivistas do Estado de Santa Catarina, 2020. p. 7‑15</w:t>
      </w:r>
    </w:p>
    <w:p w:rsidR="00000000" w:rsidDel="00000000" w:rsidP="00000000" w:rsidRDefault="00000000" w:rsidRPr="00000000" w14:paraId="00000046">
      <w:pPr>
        <w:spacing w:after="0" w:line="24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after="0" w:line="24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MANZONI, Francis. </w:t>
      </w:r>
      <w:r w:rsidDel="00000000" w:rsidR="00000000" w:rsidRPr="00000000">
        <w:rPr>
          <w:rFonts w:ascii="Arial" w:cs="Arial" w:eastAsia="Arial" w:hAnsi="Arial"/>
          <w:b w:val="1"/>
          <w:sz w:val="24"/>
          <w:szCs w:val="24"/>
          <w:rtl w:val="0"/>
        </w:rPr>
        <w:t xml:space="preserve">A criação do Centro Cultural São Paulo (1975-1985)</w:t>
      </w:r>
      <w:r w:rsidDel="00000000" w:rsidR="00000000" w:rsidRPr="00000000">
        <w:rPr>
          <w:rFonts w:ascii="Arial" w:cs="Arial" w:eastAsia="Arial" w:hAnsi="Arial"/>
          <w:sz w:val="24"/>
          <w:szCs w:val="24"/>
          <w:rtl w:val="0"/>
        </w:rPr>
        <w:t xml:space="preserve">. São Paulo: Alameda, 2023.</w:t>
      </w:r>
    </w:p>
    <w:p w:rsidR="00000000" w:rsidDel="00000000" w:rsidP="00000000" w:rsidRDefault="00000000" w:rsidRPr="00000000" w14:paraId="00000048">
      <w:pPr>
        <w:spacing w:after="0" w:line="24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spacing w:after="0" w:line="24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RONDINELLI, Rosely Curi. </w:t>
      </w:r>
      <w:r w:rsidDel="00000000" w:rsidR="00000000" w:rsidRPr="00000000">
        <w:rPr>
          <w:rFonts w:ascii="Arial" w:cs="Arial" w:eastAsia="Arial" w:hAnsi="Arial"/>
          <w:b w:val="1"/>
          <w:sz w:val="24"/>
          <w:szCs w:val="24"/>
          <w:rtl w:val="0"/>
        </w:rPr>
        <w:t xml:space="preserve">O documento arquivístico ante a realidade digital</w:t>
      </w:r>
      <w:r w:rsidDel="00000000" w:rsidR="00000000" w:rsidRPr="00000000">
        <w:rPr>
          <w:rFonts w:ascii="Arial" w:cs="Arial" w:eastAsia="Arial" w:hAnsi="Arial"/>
          <w:sz w:val="24"/>
          <w:szCs w:val="24"/>
          <w:rtl w:val="0"/>
        </w:rPr>
        <w:t xml:space="preserve">: uma revisão conceitual necessária. Rio de Janeiro: Editora FGV, 2013.</w:t>
      </w:r>
    </w:p>
    <w:p w:rsidR="00000000" w:rsidDel="00000000" w:rsidP="00000000" w:rsidRDefault="00000000" w:rsidRPr="00000000" w14:paraId="0000004A">
      <w:pPr>
        <w:spacing w:after="0" w:line="24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after="0" w:line="24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SANTOS, Henrique Machado dos; FLORES, Daniel. Políticas de preservação digital para documentos arquivísticos. </w:t>
      </w:r>
      <w:r w:rsidDel="00000000" w:rsidR="00000000" w:rsidRPr="00000000">
        <w:rPr>
          <w:rFonts w:ascii="Arial" w:cs="Arial" w:eastAsia="Arial" w:hAnsi="Arial"/>
          <w:b w:val="1"/>
          <w:sz w:val="24"/>
          <w:szCs w:val="24"/>
          <w:rtl w:val="0"/>
        </w:rPr>
        <w:t xml:space="preserve">Perspectivas em Ciência da Informação</w:t>
      </w:r>
      <w:r w:rsidDel="00000000" w:rsidR="00000000" w:rsidRPr="00000000">
        <w:rPr>
          <w:rFonts w:ascii="Arial" w:cs="Arial" w:eastAsia="Arial" w:hAnsi="Arial"/>
          <w:sz w:val="24"/>
          <w:szCs w:val="24"/>
          <w:rtl w:val="0"/>
        </w:rPr>
        <w:t xml:space="preserve">, v. 20, n. 4, p. 197-217, out./dez. 2015.</w:t>
      </w:r>
    </w:p>
    <w:p w:rsidR="00000000" w:rsidDel="00000000" w:rsidP="00000000" w:rsidRDefault="00000000" w:rsidRPr="00000000" w14:paraId="0000004C">
      <w:pPr>
        <w:spacing w:after="0" w:line="24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after="0" w:line="24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SAYÃO, Luís Fernando. Uma outra face dos metadados: informações para a gestão da preservação digital.</w:t>
      </w:r>
      <w:r w:rsidDel="00000000" w:rsidR="00000000" w:rsidRPr="00000000">
        <w:rPr>
          <w:rFonts w:ascii="Arial" w:cs="Arial" w:eastAsia="Arial" w:hAnsi="Arial"/>
          <w:b w:val="1"/>
          <w:sz w:val="24"/>
          <w:szCs w:val="24"/>
          <w:rtl w:val="0"/>
        </w:rPr>
        <w:t xml:space="preserve"> Encontros Bibli: revista eletrônica de biblioteconomia e ciência da informação</w:t>
      </w:r>
      <w:r w:rsidDel="00000000" w:rsidR="00000000" w:rsidRPr="00000000">
        <w:rPr>
          <w:rFonts w:ascii="Arial" w:cs="Arial" w:eastAsia="Arial" w:hAnsi="Arial"/>
          <w:sz w:val="24"/>
          <w:szCs w:val="24"/>
          <w:rtl w:val="0"/>
        </w:rPr>
        <w:t xml:space="preserve">, Florianópolis/SC, Brasil, v. 15, n. 30, p. 1–31, 2010. DOI: 10.5007/1518-2924.2010v15n30p1. Disponível em: </w:t>
      </w:r>
      <w:hyperlink r:id="rId7">
        <w:r w:rsidDel="00000000" w:rsidR="00000000" w:rsidRPr="00000000">
          <w:rPr>
            <w:rFonts w:ascii="Arial" w:cs="Arial" w:eastAsia="Arial" w:hAnsi="Arial"/>
            <w:color w:val="1155cc"/>
            <w:sz w:val="24"/>
            <w:szCs w:val="24"/>
            <w:u w:val="single"/>
            <w:rtl w:val="0"/>
          </w:rPr>
          <w:t xml:space="preserve">https://periodicos.ufsc.br/index.php/eb/article/view/1518-2924.2010v15n30p1</w:t>
        </w:r>
      </w:hyperlink>
      <w:r w:rsidDel="00000000" w:rsidR="00000000" w:rsidRPr="00000000">
        <w:rPr>
          <w:rFonts w:ascii="Arial" w:cs="Arial" w:eastAsia="Arial" w:hAnsi="Arial"/>
          <w:sz w:val="24"/>
          <w:szCs w:val="24"/>
          <w:rtl w:val="0"/>
        </w:rPr>
        <w:t xml:space="preserve">. Acesso em: 21set. 2025.</w:t>
      </w:r>
    </w:p>
    <w:p w:rsidR="00000000" w:rsidDel="00000000" w:rsidP="00000000" w:rsidRDefault="00000000" w:rsidRPr="00000000" w14:paraId="0000004E">
      <w:pPr>
        <w:spacing w:after="0" w:line="24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pacing w:after="0" w:line="24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VACCARO, Leonardo. </w:t>
      </w:r>
      <w:r w:rsidDel="00000000" w:rsidR="00000000" w:rsidRPr="00000000">
        <w:rPr>
          <w:rFonts w:ascii="Arial" w:cs="Arial" w:eastAsia="Arial" w:hAnsi="Arial"/>
          <w:b w:val="1"/>
          <w:sz w:val="24"/>
          <w:szCs w:val="24"/>
          <w:rtl w:val="0"/>
        </w:rPr>
        <w:t xml:space="preserve">A gestão pública de arquivísticos digitais</w:t>
      </w:r>
      <w:r w:rsidDel="00000000" w:rsidR="00000000" w:rsidRPr="00000000">
        <w:rPr>
          <w:rFonts w:ascii="Arial" w:cs="Arial" w:eastAsia="Arial" w:hAnsi="Arial"/>
          <w:sz w:val="24"/>
          <w:szCs w:val="24"/>
          <w:rtl w:val="0"/>
        </w:rPr>
        <w:t xml:space="preserve">: a implantação do SEI na Prefeitura Municipal de São Paulo. 2023. Dissertação (Mestrado em História Social) - Faculdade de Filosofia, Letras e Ciências Humanas, Universidade de São Paulo, São Paulo, 2023.</w:t>
      </w:r>
    </w:p>
    <w:p w:rsidR="00000000" w:rsidDel="00000000" w:rsidP="00000000" w:rsidRDefault="00000000" w:rsidRPr="00000000" w14:paraId="00000050">
      <w:pPr>
        <w:spacing w:after="0" w:line="240" w:lineRule="auto"/>
        <w:ind w:left="0" w:hanging="2"/>
        <w:rPr>
          <w:rFonts w:ascii="Arial" w:cs="Arial" w:eastAsia="Arial" w:hAnsi="Arial"/>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971.7716535433078" w:top="1700" w:left="1700" w:right="1133"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252"/>
        <w:tab w:val="right" w:leader="none" w:pos="8504"/>
      </w:tabs>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252"/>
        <w:tab w:val="right" w:leader="none" w:pos="8504"/>
      </w:tabs>
      <w:ind w:left="0" w:hanging="2"/>
      <w:jc w:val="right"/>
      <w:rPr>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252"/>
        <w:tab w:val="right" w:leader="none" w:pos="8504"/>
      </w:tabs>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252"/>
        <w:tab w:val="right" w:leader="none" w:pos="8504"/>
      </w:tabs>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252"/>
        <w:tab w:val="right" w:leader="none" w:pos="8504"/>
      </w:tabs>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252"/>
        <w:tab w:val="right" w:leader="none" w:pos="8504"/>
      </w:tabs>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tabs>
        <w:tab w:val="center" w:leader="none" w:pos="4252"/>
        <w:tab w:val="right" w:leader="none" w:pos="8504"/>
      </w:tabs>
      <w:ind w:left="0" w:hanging="2"/>
      <w:jc w:val="center"/>
      <w:rPr>
        <w:color w:val="000000"/>
      </w:rPr>
    </w:pPr>
    <w:r w:rsidDel="00000000" w:rsidR="00000000" w:rsidRPr="00000000">
      <w:rPr/>
      <w:drawing>
        <wp:inline distB="0" distT="0" distL="0" distR="0">
          <wp:extent cx="4602953" cy="1941208"/>
          <wp:effectExtent b="0" l="0" r="0" t="0"/>
          <wp:docPr descr="Placa vermelha com letras brancas em fundo preto&#10;&#10;O conteúdo gerado por IA pode estar incorreto." id="1850071209" name="image1.png"/>
          <a:graphic>
            <a:graphicData uri="http://schemas.openxmlformats.org/drawingml/2006/picture">
              <pic:pic>
                <pic:nvPicPr>
                  <pic:cNvPr descr="Placa vermelha com letras brancas em fundo preto&#10;&#10;O conteúdo gerado por IA pode estar incorreto." id="0" name="image1.png"/>
                  <pic:cNvPicPr preferRelativeResize="0"/>
                </pic:nvPicPr>
                <pic:blipFill>
                  <a:blip r:embed="rId1"/>
                  <a:srcRect b="5578" l="0" r="0" t="9939"/>
                  <a:stretch>
                    <a:fillRect/>
                  </a:stretch>
                </pic:blipFill>
                <pic:spPr>
                  <a:xfrm>
                    <a:off x="0" y="0"/>
                    <a:ext cx="4602953" cy="19412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40" w:lineRule="auto"/>
      <w:ind w:left="0" w:hanging="1"/>
    </w:pPr>
    <w:rPr>
      <w:rFonts w:ascii="Cambria" w:cs="Cambria" w:eastAsia="Cambria" w:hAnsi="Cambria"/>
      <w:b w:val="1"/>
      <w:sz w:val="32"/>
      <w:szCs w:val="32"/>
    </w:rPr>
  </w:style>
  <w:style w:type="paragraph" w:styleId="Heading2">
    <w:name w:val="heading 2"/>
    <w:basedOn w:val="Normal"/>
    <w:next w:val="Normal"/>
    <w:pPr>
      <w:keepNext w:val="1"/>
      <w:spacing w:after="60" w:before="240" w:line="240" w:lineRule="auto"/>
      <w:ind w:left="0" w:hanging="1"/>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240" w:lineRule="auto"/>
      <w:ind w:left="0" w:hanging="1"/>
    </w:pPr>
    <w:rPr>
      <w:rFonts w:ascii="Cambria" w:cs="Cambria" w:eastAsia="Cambria" w:hAnsi="Cambria"/>
      <w:b w:val="1"/>
      <w:sz w:val="26"/>
      <w:szCs w:val="26"/>
    </w:rPr>
  </w:style>
  <w:style w:type="paragraph" w:styleId="Heading4">
    <w:name w:val="heading 4"/>
    <w:basedOn w:val="Normal"/>
    <w:next w:val="Normal"/>
    <w:pPr>
      <w:keepNext w:val="1"/>
      <w:spacing w:after="60" w:before="240" w:line="240" w:lineRule="auto"/>
      <w:ind w:left="0" w:hanging="1"/>
    </w:pPr>
    <w:rPr>
      <w:b w:val="1"/>
      <w:sz w:val="28"/>
      <w:szCs w:val="28"/>
    </w:rPr>
  </w:style>
  <w:style w:type="paragraph" w:styleId="Heading5">
    <w:name w:val="heading 5"/>
    <w:basedOn w:val="Normal"/>
    <w:next w:val="Normal"/>
    <w:pPr>
      <w:spacing w:after="60" w:before="240" w:line="240" w:lineRule="auto"/>
      <w:ind w:left="0" w:hanging="1"/>
    </w:pPr>
    <w:rPr>
      <w:b w:val="1"/>
      <w:i w:val="1"/>
      <w:sz w:val="26"/>
      <w:szCs w:val="26"/>
    </w:rPr>
  </w:style>
  <w:style w:type="paragraph" w:styleId="Heading6">
    <w:name w:val="heading 6"/>
    <w:basedOn w:val="Normal"/>
    <w:next w:val="Normal"/>
    <w:pPr>
      <w:spacing w:after="60" w:before="240" w:line="240" w:lineRule="auto"/>
      <w:ind w:left="0" w:hanging="1"/>
    </w:pPr>
    <w:rPr>
      <w:rFonts w:ascii="Times New Roman" w:cs="Times New Roman" w:eastAsia="Times New Roman" w:hAnsi="Times New Roman"/>
      <w:b w:val="1"/>
    </w:rPr>
  </w:style>
  <w:style w:type="paragraph" w:styleId="Title">
    <w:name w:val="Title"/>
    <w:basedOn w:val="Normal"/>
    <w:next w:val="Normal"/>
    <w:pPr>
      <w:keepNext w:val="1"/>
      <w:keepLines w:val="1"/>
      <w:spacing w:after="120" w:before="480" w:lineRule="auto"/>
    </w:pPr>
    <w:rPr>
      <w:b w:val="1"/>
      <w:sz w:val="72"/>
      <w:szCs w:val="72"/>
    </w:rPr>
  </w:style>
  <w:style w:type="paragraph" w:styleId="Ttulo7">
    <w:name w:val="heading 7"/>
    <w:basedOn w:val="Normal"/>
    <w:next w:val="Normal"/>
    <w:qFormat w:val="1"/>
    <w:pPr>
      <w:numPr>
        <w:ilvl w:val="6"/>
        <w:numId w:val="1"/>
      </w:numPr>
      <w:spacing w:after="60" w:before="240" w:line="240" w:lineRule="auto"/>
      <w:ind w:left="-1" w:hanging="1"/>
      <w:outlineLvl w:val="6"/>
    </w:pPr>
    <w:rPr>
      <w:sz w:val="24"/>
      <w:szCs w:val="24"/>
      <w:lang w:eastAsia="en-US" w:val="en-US"/>
    </w:rPr>
  </w:style>
  <w:style w:type="paragraph" w:styleId="Ttulo8">
    <w:name w:val="heading 8"/>
    <w:basedOn w:val="Normal"/>
    <w:next w:val="Normal"/>
    <w:qFormat w:val="1"/>
    <w:pPr>
      <w:numPr>
        <w:ilvl w:val="7"/>
        <w:numId w:val="1"/>
      </w:numPr>
      <w:spacing w:after="60" w:before="240" w:line="240" w:lineRule="auto"/>
      <w:ind w:left="-1" w:hanging="1"/>
      <w:outlineLvl w:val="7"/>
    </w:pPr>
    <w:rPr>
      <w:i w:val="1"/>
      <w:iCs w:val="1"/>
      <w:sz w:val="24"/>
      <w:szCs w:val="24"/>
      <w:lang w:eastAsia="en-US" w:val="en-US"/>
    </w:rPr>
  </w:style>
  <w:style w:type="paragraph" w:styleId="Ttulo9">
    <w:name w:val="heading 9"/>
    <w:basedOn w:val="Normal"/>
    <w:next w:val="Normal"/>
    <w:qFormat w:val="1"/>
    <w:pPr>
      <w:numPr>
        <w:ilvl w:val="8"/>
        <w:numId w:val="1"/>
      </w:numPr>
      <w:spacing w:after="60" w:before="240" w:line="240" w:lineRule="auto"/>
      <w:ind w:left="-1" w:hanging="1"/>
      <w:outlineLvl w:val="8"/>
    </w:pPr>
    <w:rPr>
      <w:rFonts w:ascii="Cambria" w:eastAsia="Times New Roman" w:hAnsi="Cambria"/>
      <w:lang w:eastAsia="en-US" w:val="en-US"/>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Remissivo6">
    <w:name w:val="index 6"/>
    <w:basedOn w:val="Normal"/>
    <w:qFormat w:val="1"/>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Fontepargpadro"/>
    <w:rPr>
      <w:w w:val="100"/>
      <w:position w:val="-1"/>
      <w:effect w:val="none"/>
      <w:vertAlign w:val="baseline"/>
      <w:cs w:val="0"/>
      <w:em w:val="none"/>
    </w:rPr>
  </w:style>
  <w:style w:type="character" w:styleId="Remissivo81" w:customStyle="1">
    <w:name w:val="Remissivo 81"/>
    <w:rPr>
      <w:b w:val="1"/>
      <w:bCs w:val="1"/>
      <w:w w:val="100"/>
      <w:position w:val="-1"/>
      <w:effect w:val="none"/>
      <w:vertAlign w:val="baseline"/>
      <w:cs w:val="0"/>
      <w:em w:val="none"/>
    </w:rPr>
  </w:style>
  <w:style w:type="paragraph" w:styleId="Remissivo9">
    <w:name w:val="index 9"/>
    <w:basedOn w:val="Normal"/>
    <w:qFormat w:val="1"/>
    <w:pPr>
      <w:spacing w:line="240" w:lineRule="auto"/>
    </w:pPr>
    <w:rPr>
      <w:sz w:val="20"/>
      <w:szCs w:val="20"/>
    </w:rPr>
  </w:style>
  <w:style w:type="character" w:styleId="CommentTextChar" w:customStyle="1">
    <w:name w:val="Comment Text Char"/>
    <w:rPr>
      <w:w w:val="100"/>
      <w:position w:val="-1"/>
      <w:sz w:val="20"/>
      <w:szCs w:val="20"/>
      <w:effect w:val="none"/>
      <w:vertAlign w:val="baseline"/>
      <w:cs w:val="0"/>
      <w:em w:val="none"/>
    </w:rPr>
  </w:style>
  <w:style w:type="paragraph" w:styleId="Sumrio2">
    <w:name w:val="toc 2"/>
    <w:pPr>
      <w:suppressAutoHyphens w:val="1"/>
      <w:spacing w:line="1" w:lineRule="atLeast"/>
      <w:ind w:left="-1" w:leftChars="-1" w:hangingChars="1"/>
      <w:textDirection w:val="btLr"/>
      <w:textAlignment w:val="top"/>
      <w:outlineLvl w:val="0"/>
    </w:pPr>
    <w:rPr>
      <w:position w:val="-1"/>
    </w:rPr>
  </w:style>
  <w:style w:type="paragraph" w:styleId="Sumrio3">
    <w:name w:val="toc 3"/>
    <w:basedOn w:val="Normal"/>
    <w:qFormat w:val="1"/>
    <w:pPr>
      <w:spacing w:after="0" w:line="240" w:lineRule="auto"/>
    </w:pPr>
    <w:rPr>
      <w:rFonts w:ascii="Segoe UI" w:cs="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rPr>
  </w:style>
  <w:style w:type="paragraph" w:styleId="Cabealho">
    <w:name w:val="header"/>
    <w:basedOn w:val="Normal"/>
    <w:qFormat w:val="1"/>
    <w:pPr>
      <w:tabs>
        <w:tab w:val="center" w:pos="4252"/>
        <w:tab w:val="right" w:pos="8504"/>
      </w:tabs>
    </w:pPr>
  </w:style>
  <w:style w:type="character" w:styleId="CabealhoChar" w:customStyle="1">
    <w:name w:val="Cabeçalho Char"/>
    <w:rPr>
      <w:w w:val="100"/>
      <w:position w:val="-1"/>
      <w:sz w:val="22"/>
      <w:szCs w:val="22"/>
      <w:effect w:val="none"/>
      <w:vertAlign w:val="baseline"/>
      <w:cs w:val="0"/>
      <w:em w:val="none"/>
    </w:rPr>
  </w:style>
  <w:style w:type="paragraph" w:styleId="Rodap">
    <w:name w:val="footer"/>
    <w:basedOn w:val="Normal"/>
    <w:qFormat w:val="1"/>
    <w:pPr>
      <w:tabs>
        <w:tab w:val="center" w:pos="4252"/>
        <w:tab w:val="right" w:pos="8504"/>
      </w:tabs>
    </w:pPr>
  </w:style>
  <w:style w:type="character" w:styleId="RodapChar" w:customStyle="1">
    <w:name w:val="Rodapé Char"/>
    <w:rPr>
      <w:w w:val="100"/>
      <w:position w:val="-1"/>
      <w:sz w:val="22"/>
      <w:szCs w:val="22"/>
      <w:effect w:val="none"/>
      <w:vertAlign w:val="baseline"/>
      <w:cs w:val="0"/>
      <w:em w:val="none"/>
    </w:rPr>
  </w:style>
  <w:style w:type="character" w:styleId="Ttulo1Char" w:customStyle="1">
    <w:name w:val="Título 1 Char"/>
    <w:rPr>
      <w:rFonts w:ascii="Cambria" w:eastAsia="Times New Roman" w:hAnsi="Cambria"/>
      <w:b w:val="1"/>
      <w:bCs w:val="1"/>
      <w:w w:val="100"/>
      <w:kern w:val="32"/>
      <w:position w:val="-1"/>
      <w:sz w:val="32"/>
      <w:szCs w:val="32"/>
      <w:effect w:val="none"/>
      <w:vertAlign w:val="baseline"/>
      <w:cs w:val="0"/>
      <w:em w:val="none"/>
      <w:lang w:eastAsia="en-US" w:val="en-US"/>
    </w:rPr>
  </w:style>
  <w:style w:type="character" w:styleId="Ttulo2Char" w:customStyle="1">
    <w:name w:val="Título 2 Char"/>
    <w:rPr>
      <w:rFonts w:ascii="Cambria" w:eastAsia="Times New Roman" w:hAnsi="Cambria"/>
      <w:b w:val="1"/>
      <w:bCs w:val="1"/>
      <w:i w:val="1"/>
      <w:iCs w:val="1"/>
      <w:w w:val="100"/>
      <w:position w:val="-1"/>
      <w:sz w:val="28"/>
      <w:szCs w:val="28"/>
      <w:effect w:val="none"/>
      <w:vertAlign w:val="baseline"/>
      <w:cs w:val="0"/>
      <w:em w:val="none"/>
      <w:lang w:eastAsia="en-US" w:val="en-US"/>
    </w:rPr>
  </w:style>
  <w:style w:type="character" w:styleId="Ttulo3Char" w:customStyle="1">
    <w:name w:val="Título 3 Char"/>
    <w:rPr>
      <w:rFonts w:ascii="Cambria" w:eastAsia="Times New Roman" w:hAnsi="Cambria"/>
      <w:b w:val="1"/>
      <w:bCs w:val="1"/>
      <w:w w:val="100"/>
      <w:position w:val="-1"/>
      <w:sz w:val="26"/>
      <w:szCs w:val="26"/>
      <w:effect w:val="none"/>
      <w:vertAlign w:val="baseline"/>
      <w:cs w:val="0"/>
      <w:em w:val="none"/>
      <w:lang w:eastAsia="en-US" w:val="en-US"/>
    </w:rPr>
  </w:style>
  <w:style w:type="character" w:styleId="Ttulo4Char" w:customStyle="1">
    <w:name w:val="Título 4 Char"/>
    <w:rPr>
      <w:b w:val="1"/>
      <w:bCs w:val="1"/>
      <w:w w:val="100"/>
      <w:position w:val="-1"/>
      <w:sz w:val="28"/>
      <w:szCs w:val="28"/>
      <w:effect w:val="none"/>
      <w:vertAlign w:val="baseline"/>
      <w:cs w:val="0"/>
      <w:em w:val="none"/>
      <w:lang w:eastAsia="en-US" w:val="en-US"/>
    </w:rPr>
  </w:style>
  <w:style w:type="character" w:styleId="Ttulo5Char" w:customStyle="1">
    <w:name w:val="Título 5 Char"/>
    <w:rPr>
      <w:b w:val="1"/>
      <w:bCs w:val="1"/>
      <w:i w:val="1"/>
      <w:iCs w:val="1"/>
      <w:w w:val="100"/>
      <w:position w:val="-1"/>
      <w:sz w:val="26"/>
      <w:szCs w:val="26"/>
      <w:effect w:val="none"/>
      <w:vertAlign w:val="baseline"/>
      <w:cs w:val="0"/>
      <w:em w:val="none"/>
      <w:lang w:eastAsia="en-US" w:val="en-US"/>
    </w:rPr>
  </w:style>
  <w:style w:type="character" w:styleId="Ttulo6Char" w:customStyle="1">
    <w:name w:val="Título 6 Char"/>
    <w:rPr>
      <w:rFonts w:ascii="Times New Roman" w:eastAsia="Times New Roman" w:hAnsi="Times New Roman"/>
      <w:b w:val="1"/>
      <w:bCs w:val="1"/>
      <w:w w:val="100"/>
      <w:position w:val="-1"/>
      <w:sz w:val="22"/>
      <w:szCs w:val="22"/>
      <w:effect w:val="none"/>
      <w:vertAlign w:val="baseline"/>
      <w:cs w:val="0"/>
      <w:em w:val="none"/>
      <w:lang w:eastAsia="en-US" w:val="en-US"/>
    </w:rPr>
  </w:style>
  <w:style w:type="character" w:styleId="Ttulo7Char" w:customStyle="1">
    <w:name w:val="Título 7 Char"/>
    <w:rPr>
      <w:w w:val="100"/>
      <w:position w:val="-1"/>
      <w:sz w:val="24"/>
      <w:szCs w:val="24"/>
      <w:effect w:val="none"/>
      <w:vertAlign w:val="baseline"/>
      <w:cs w:val="0"/>
      <w:em w:val="none"/>
      <w:lang w:eastAsia="en-US" w:val="en-US"/>
    </w:rPr>
  </w:style>
  <w:style w:type="character" w:styleId="Ttulo8Char" w:customStyle="1">
    <w:name w:val="Título 8 Char"/>
    <w:rPr>
      <w:i w:val="1"/>
      <w:iCs w:val="1"/>
      <w:w w:val="100"/>
      <w:position w:val="-1"/>
      <w:sz w:val="24"/>
      <w:szCs w:val="24"/>
      <w:effect w:val="none"/>
      <w:vertAlign w:val="baseline"/>
      <w:cs w:val="0"/>
      <w:em w:val="none"/>
      <w:lang w:eastAsia="en-US" w:val="en-US"/>
    </w:rPr>
  </w:style>
  <w:style w:type="character" w:styleId="Ttulo9Char" w:customStyle="1">
    <w:name w:val="Título 9 Char"/>
    <w:rPr>
      <w:rFonts w:ascii="Cambria" w:eastAsia="Times New Roman" w:hAnsi="Cambria"/>
      <w:w w:val="100"/>
      <w:position w:val="-1"/>
      <w:sz w:val="22"/>
      <w:szCs w:val="22"/>
      <w:effect w:val="none"/>
      <w:vertAlign w:val="baseline"/>
      <w:cs w:val="0"/>
      <w:em w:val="none"/>
      <w:lang w:eastAsia="en-US" w:val="en-US"/>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rFonts w:ascii="Times New Roman" w:eastAsia="Times New Roman" w:hAnsi="Times New Roman"/>
      <w:color w:val="000000"/>
      <w:position w:val="-1"/>
      <w:sz w:val="24"/>
      <w:szCs w:val="24"/>
      <w:lang w:eastAsia="en-US"/>
    </w:rPr>
  </w:style>
  <w:style w:type="paragraph" w:styleId="Textodebalo">
    <w:name w:val="Balloon Text"/>
    <w:basedOn w:val="Normal"/>
    <w:qFormat w:val="1"/>
    <w:pPr>
      <w:spacing w:after="0" w:line="240" w:lineRule="auto"/>
    </w:pPr>
    <w:rPr>
      <w:rFonts w:ascii="Tahoma" w:cs="Tahoma" w:eastAsia="Times New Roman" w:hAnsi="Tahoma"/>
      <w:sz w:val="16"/>
      <w:szCs w:val="16"/>
      <w:lang w:eastAsia="en-US" w:val="en-US"/>
    </w:rPr>
  </w:style>
  <w:style w:type="character" w:styleId="TextodebaloChar" w:customStyle="1">
    <w:name w:val="Texto de balão Char"/>
    <w:rPr>
      <w:rFonts w:ascii="Tahoma" w:cs="Tahoma" w:eastAsia="Times New Roman" w:hAnsi="Tahoma"/>
      <w:w w:val="100"/>
      <w:position w:val="-1"/>
      <w:sz w:val="16"/>
      <w:szCs w:val="16"/>
      <w:effect w:val="none"/>
      <w:vertAlign w:val="baseline"/>
      <w:cs w:val="0"/>
      <w:em w:val="none"/>
      <w:lang w:eastAsia="en-US" w:val="en-US"/>
    </w:rPr>
  </w:style>
  <w:style w:type="character" w:styleId="Hyperlink">
    <w:name w:val="Hyperlink"/>
    <w:qFormat w:val="1"/>
    <w:rPr>
      <w:color w:val="0000ff"/>
      <w:w w:val="100"/>
      <w:position w:val="-1"/>
      <w:u w:val="single"/>
      <w:effect w:val="none"/>
      <w:vertAlign w:val="baseline"/>
      <w:cs w:val="0"/>
      <w:em w:val="none"/>
    </w:rPr>
  </w:style>
  <w:style w:type="character" w:styleId="s1ppyq" w:customStyle="1">
    <w:name w:val="s1ppyq"/>
    <w:basedOn w:val="Fontepargpadro"/>
    <w:rsid w:val="00C34395"/>
  </w:style>
  <w:style w:type="paragraph" w:styleId="NormalWeb">
    <w:name w:val="Normal (Web)"/>
    <w:basedOn w:val="Normal"/>
    <w:uiPriority w:val="99"/>
    <w:semiHidden w:val="1"/>
    <w:unhideWhenUsed w:val="1"/>
    <w:rsid w:val="008956E4"/>
    <w:pPr>
      <w:suppressAutoHyphens w:val="0"/>
      <w:spacing w:after="100" w:afterAutospacing="1" w:before="100" w:beforeAutospacing="1" w:line="240" w:lineRule="auto"/>
      <w:ind w:left="0" w:leftChars="0" w:firstLine="0" w:firstLineChars="0"/>
      <w:textDirection w:val="lrTb"/>
      <w:textAlignment w:val="auto"/>
      <w:outlineLvl w:val="9"/>
    </w:pPr>
    <w:rPr>
      <w:rFonts w:ascii="Times New Roman" w:cs="Times New Roman" w:eastAsia="Times New Roman" w:hAnsi="Times New Roman"/>
      <w:position w:val="0"/>
      <w:sz w:val="24"/>
      <w:szCs w:val="24"/>
    </w:rPr>
  </w:style>
  <w:style w:type="paragraph" w:styleId="PargrafodaLista">
    <w:name w:val="List Paragraph"/>
    <w:basedOn w:val="Normal"/>
    <w:uiPriority w:val="34"/>
    <w:qFormat w:val="1"/>
    <w:rsid w:val="0070089F"/>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eriodicos.ufsc.br/index.php/eb/article/view/1518-2924.2010v15n30p1" TargetMode="External"/><Relationship Id="rId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GIQhSTFS8BSEbYYItb/mhEADuQ==">CgMxLjAyCGguZ2pkZ3hzOAByITFpY2l0Yk1ZS25CWk9wcEtjNHM2ZWV5VzNkTF8yZ3dpOA==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2023-04-07T01:32:00Z</dcterms:created>
  <dc:creator>Biblioteca</dc:creator>
</cp:coreProperties>
</file>