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20B9D5CA" w:rsidR="0027518C" w:rsidRDefault="000E617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5CC728AA">
                    <wp:simplePos x="0" y="0"/>
                    <wp:positionH relativeFrom="column">
                      <wp:posOffset>1334292</wp:posOffset>
                    </wp:positionH>
                    <wp:positionV relativeFrom="paragraph">
                      <wp:posOffset>6844416</wp:posOffset>
                    </wp:positionV>
                    <wp:extent cx="3694430" cy="791110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791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F2A9F5" w14:textId="77777777" w:rsidR="000E6170" w:rsidRPr="000E6170" w:rsidRDefault="000E6170" w:rsidP="000E6170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0E6170">
                                  <w:rPr>
                                    <w:rFonts w:ascii="Antonio" w:hAnsi="Antonio"/>
                                    <w:b/>
                                    <w:color w:val="1A9B3C"/>
                                    <w:sz w:val="36"/>
                                    <w:szCs w:val="36"/>
                                  </w:rPr>
                                  <w:t>GT 1:</w:t>
                                </w:r>
                                <w:r w:rsidRPr="000E6170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 xml:space="preserve"> ESTADO, POLÍTICAS PÚBLICAS E SISTEMAS ALIMENTARES</w:t>
                                </w:r>
                              </w:p>
                              <w:p w14:paraId="638EDCFA" w14:textId="7ED14FE3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5.05pt;margin-top:538.95pt;width:290.9pt;height:6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" filled="f" stroked="f" strokeweight=".5pt">
                    <v:textbox>
                      <w:txbxContent>
                        <w:p w14:paraId="3EF2A9F5" w14:textId="77777777" w:rsidR="000E6170" w:rsidRPr="000E6170" w:rsidRDefault="000E6170" w:rsidP="000E6170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0E6170">
                            <w:rPr>
                              <w:rFonts w:ascii="Antonio" w:hAnsi="Antonio"/>
                              <w:b/>
                              <w:color w:val="1A9B3C"/>
                              <w:sz w:val="36"/>
                              <w:szCs w:val="36"/>
                            </w:rPr>
                            <w:t>GT 1:</w:t>
                          </w:r>
                          <w:r w:rsidRPr="000E6170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 xml:space="preserve"> ESTADO, POLÍTICAS PÚBLICAS E SISTEMAS ALIMENTARES</w:t>
                          </w:r>
                        </w:p>
                        <w:p w14:paraId="638EDCFA" w14:textId="7ED14FE3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53021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CC4DA92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3823D2FE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" fillcolor="#1a9b3c" stroked="f" strokeweight="1pt">
                    <v:stroke joinstyle="miter"/>
                  </v:roundrect>
                </w:pict>
              </mc:Fallback>
            </mc:AlternateContent>
          </w:r>
          <w:r w:rsidR="0053021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2FA295FA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" filled="f" stroked="f" strokeweight=".5pt">
                    <v:textbox>
                      <w:txbxContent>
                        <w:p w14:paraId="7AC046C5" w14:textId="2FA295FA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>
            <w:br w:type="page"/>
          </w:r>
        </w:p>
      </w:sdtContent>
    </w:sdt>
    <w:p w14:paraId="4569F68F" w14:textId="73A63434" w:rsidR="00216EFF" w:rsidRPr="00B86AA8" w:rsidRDefault="008D5098" w:rsidP="00B86AA8">
      <w:pPr>
        <w:spacing w:after="240" w:line="360" w:lineRule="auto"/>
        <w:jc w:val="center"/>
        <w:rPr>
          <w:rFonts w:eastAsia="Arial"/>
          <w:b/>
          <w:bCs/>
        </w:rPr>
      </w:pPr>
      <w:r w:rsidRPr="008D5098">
        <w:rPr>
          <w:rFonts w:eastAsia="Arial"/>
          <w:b/>
          <w:bCs/>
        </w:rPr>
        <w:lastRenderedPageBreak/>
        <w:t xml:space="preserve">O MERCADO PÚBLICO DE ARAÇUAÍ </w:t>
      </w:r>
      <w:r>
        <w:rPr>
          <w:rFonts w:eastAsia="Arial"/>
          <w:b/>
          <w:bCs/>
        </w:rPr>
        <w:t xml:space="preserve">(MINAS GERAIS) </w:t>
      </w:r>
      <w:r w:rsidRPr="008D5098">
        <w:rPr>
          <w:rFonts w:eastAsia="Arial"/>
          <w:b/>
          <w:bCs/>
        </w:rPr>
        <w:t>COMO ESPAÇO DE ABASTECIMENTO, COMÉRCIO E CONVIVÊNCIA</w:t>
      </w:r>
      <w:r w:rsidR="00B46B56">
        <w:rPr>
          <w:rStyle w:val="Refdenotaderodap"/>
          <w:rFonts w:eastAsia="Arial"/>
          <w:b/>
          <w:bCs/>
        </w:rPr>
        <w:footnoteReference w:id="1"/>
      </w: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50A5D750" w14:textId="1FE0FF2F" w:rsidR="00216EFF" w:rsidRPr="00216EFF" w:rsidRDefault="00A902D0" w:rsidP="00216EFF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>
        <w:rPr>
          <w:rFonts w:eastAsia="Arial" w:cs="Arial"/>
        </w:rPr>
        <w:t>Pedro Pinto Godoy</w:t>
      </w:r>
      <w:r w:rsidR="00216EFF" w:rsidRPr="00216EFF">
        <w:rPr>
          <w:rStyle w:val="Refdenotaderodap"/>
          <w:rFonts w:eastAsia="Arial" w:cs="Arial"/>
        </w:rPr>
        <w:footnoteReference w:id="2"/>
      </w:r>
    </w:p>
    <w:p w14:paraId="05420B62" w14:textId="38E8C0DE" w:rsidR="00216EFF" w:rsidRDefault="004723B3" w:rsidP="00216EFF">
      <w:pPr>
        <w:spacing w:line="360" w:lineRule="auto"/>
        <w:ind w:hanging="2"/>
        <w:jc w:val="center"/>
        <w:rPr>
          <w:rFonts w:eastAsia="Arial" w:cs="Arial"/>
        </w:rPr>
      </w:pPr>
      <w:r>
        <w:rPr>
          <w:rFonts w:eastAsia="Arial" w:cs="Arial"/>
        </w:rPr>
        <w:t>Marivaldo Aparecido de Carvalho</w:t>
      </w:r>
      <w:r w:rsidR="00216EFF" w:rsidRPr="00216EFF">
        <w:rPr>
          <w:rStyle w:val="Refdenotaderodap"/>
          <w:rFonts w:eastAsia="Arial" w:cs="Arial"/>
        </w:rPr>
        <w:footnoteReference w:id="3"/>
      </w:r>
    </w:p>
    <w:p w14:paraId="1A10A913" w14:textId="1E5286F6" w:rsidR="00216EFF" w:rsidRPr="00B86AA8" w:rsidRDefault="00A902D0" w:rsidP="00B86AA8">
      <w:pPr>
        <w:spacing w:line="360" w:lineRule="auto"/>
        <w:ind w:hanging="2"/>
        <w:jc w:val="center"/>
        <w:rPr>
          <w:rFonts w:eastAsia="Arial" w:cs="Arial"/>
        </w:rPr>
      </w:pPr>
      <w:r>
        <w:rPr>
          <w:rFonts w:eastAsia="Arial" w:cs="Arial"/>
        </w:rPr>
        <w:t>Rosana Passos Cambraia</w:t>
      </w:r>
      <w:r w:rsidR="004D51F3">
        <w:rPr>
          <w:rFonts w:eastAsia="Arial" w:cs="Arial"/>
          <w:vertAlign w:val="superscript"/>
        </w:rPr>
        <w:t>4</w:t>
      </w:r>
    </w:p>
    <w:p w14:paraId="4E392193" w14:textId="77777777" w:rsidR="00B86AA8" w:rsidRPr="00216EFF" w:rsidRDefault="00B86AA8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62E1680C" w14:textId="4BC7A898" w:rsidR="00216EFF" w:rsidRPr="00B86AA8" w:rsidRDefault="00216EFF" w:rsidP="00B86AA8">
      <w:pPr>
        <w:spacing w:line="360" w:lineRule="auto"/>
        <w:ind w:hanging="2"/>
        <w:rPr>
          <w:rFonts w:eastAsia="Arial" w:cs="Arial"/>
        </w:rPr>
      </w:pPr>
      <w:r w:rsidRPr="00F059F3">
        <w:rPr>
          <w:rFonts w:eastAsia="Arial" w:cs="Arial"/>
          <w:bCs/>
        </w:rPr>
        <w:t xml:space="preserve">GT </w:t>
      </w:r>
      <w:r w:rsidR="000E6170" w:rsidRPr="00F059F3">
        <w:rPr>
          <w:rFonts w:eastAsia="Arial" w:cs="Arial"/>
          <w:bCs/>
        </w:rPr>
        <w:t>1</w:t>
      </w:r>
      <w:r w:rsidRPr="00F059F3">
        <w:rPr>
          <w:rFonts w:eastAsia="Arial" w:cs="Arial"/>
          <w:bCs/>
        </w:rPr>
        <w:t xml:space="preserve">: </w:t>
      </w:r>
      <w:r w:rsidR="00F059F3">
        <w:rPr>
          <w:rFonts w:eastAsia="Arial" w:cs="Arial"/>
        </w:rPr>
        <w:t>E</w:t>
      </w:r>
      <w:r w:rsidR="00F059F3" w:rsidRPr="000E6170">
        <w:rPr>
          <w:rFonts w:eastAsia="Arial" w:cs="Arial"/>
        </w:rPr>
        <w:t>stado, políticas públicas e sistemas alimentares</w:t>
      </w:r>
    </w:p>
    <w:p w14:paraId="75A28E5F" w14:textId="77777777" w:rsidR="00B86AA8" w:rsidRPr="00216EFF" w:rsidRDefault="00B86AA8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216EFF">
        <w:rPr>
          <w:rFonts w:eastAsia="Arial" w:cs="Arial"/>
          <w:b/>
        </w:rPr>
        <w:t xml:space="preserve">RESUMO </w:t>
      </w:r>
    </w:p>
    <w:p w14:paraId="176142DD" w14:textId="600810BF" w:rsidR="000E6170" w:rsidRPr="00B86AA8" w:rsidRDefault="00B86AA8" w:rsidP="00B86AA8">
      <w:pPr>
        <w:ind w:hanging="2"/>
        <w:jc w:val="both"/>
        <w:rPr>
          <w:rFonts w:eastAsia="Arial" w:cs="Arial"/>
          <w:color w:val="000000"/>
        </w:rPr>
      </w:pPr>
      <w:r w:rsidRPr="00B86AA8">
        <w:rPr>
          <w:rFonts w:eastAsia="Arial" w:cs="Arial"/>
          <w:color w:val="000000"/>
        </w:rPr>
        <w:t xml:space="preserve">Este trabalho busca </w:t>
      </w:r>
      <w:r>
        <w:rPr>
          <w:rFonts w:eastAsia="Arial" w:cs="Arial"/>
          <w:color w:val="000000"/>
        </w:rPr>
        <w:t xml:space="preserve">a </w:t>
      </w:r>
      <w:r w:rsidRPr="00B86AA8">
        <w:rPr>
          <w:rFonts w:eastAsia="Arial" w:cs="Arial"/>
          <w:color w:val="000000"/>
        </w:rPr>
        <w:t>compreen</w:t>
      </w:r>
      <w:r>
        <w:rPr>
          <w:rFonts w:eastAsia="Arial" w:cs="Arial"/>
          <w:color w:val="000000"/>
        </w:rPr>
        <w:t>são</w:t>
      </w:r>
      <w:r w:rsidRPr="00B86AA8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t>d</w:t>
      </w:r>
      <w:r w:rsidRPr="00B86AA8">
        <w:rPr>
          <w:rFonts w:eastAsia="Arial" w:cs="Arial"/>
          <w:color w:val="000000"/>
        </w:rPr>
        <w:t>o funcionamento do mercado municipal de Araçuaí (M</w:t>
      </w:r>
      <w:r>
        <w:rPr>
          <w:rFonts w:eastAsia="Arial" w:cs="Arial"/>
          <w:color w:val="000000"/>
        </w:rPr>
        <w:t xml:space="preserve">inas </w:t>
      </w:r>
      <w:r w:rsidRPr="00B86AA8">
        <w:rPr>
          <w:rFonts w:eastAsia="Arial" w:cs="Arial"/>
          <w:color w:val="000000"/>
        </w:rPr>
        <w:t>G</w:t>
      </w:r>
      <w:r>
        <w:rPr>
          <w:rFonts w:eastAsia="Arial" w:cs="Arial"/>
          <w:color w:val="000000"/>
        </w:rPr>
        <w:t>erais</w:t>
      </w:r>
      <w:r w:rsidRPr="00B86AA8">
        <w:rPr>
          <w:rFonts w:eastAsia="Arial" w:cs="Arial"/>
          <w:color w:val="000000"/>
        </w:rPr>
        <w:t xml:space="preserve">), destacando-o como espaço estratégico de abastecimento, comercialização e convivência no semiárido mineiro. A pesquisa, desenvolvida no âmbito da Rede de </w:t>
      </w:r>
      <w:r w:rsidR="009623CC">
        <w:rPr>
          <w:rFonts w:eastAsia="Arial" w:cs="Arial"/>
          <w:color w:val="000000"/>
        </w:rPr>
        <w:t>Pesquisa</w:t>
      </w:r>
      <w:r w:rsidRPr="00B86AA8">
        <w:rPr>
          <w:rFonts w:eastAsia="Arial" w:cs="Arial"/>
          <w:color w:val="000000"/>
        </w:rPr>
        <w:t xml:space="preserve"> do Semiárido Mineiro</w:t>
      </w:r>
      <w:r>
        <w:rPr>
          <w:rFonts w:eastAsia="Arial" w:cs="Arial"/>
          <w:color w:val="000000"/>
        </w:rPr>
        <w:t xml:space="preserve">, </w:t>
      </w:r>
      <w:r w:rsidRPr="00B86AA8">
        <w:rPr>
          <w:rFonts w:eastAsia="Arial" w:cs="Arial"/>
          <w:color w:val="000000"/>
        </w:rPr>
        <w:t xml:space="preserve">foi conduzida por meio de observação direta e coleta de dados junto a gestores, comerciantes e frequentadores do mercado. O objetivo foi compreender seu funcionamento enquanto equipamento público que articula dinâmicas econômicas, culturais e institucionais. Foram identificados desafios estruturais no saneamento, gestão de resíduos e manutenção, além de limitações na regulação do uso dos boxes. A presença de políticas públicas se mostra importante, embora ainda restrita. O mercado também se destaca como espaço de sociabilidade, cultura e memória, expressando tensões e potencialidades dos sistemas alimentares locais. A análise contribui para </w:t>
      </w:r>
      <w:r>
        <w:rPr>
          <w:rFonts w:eastAsia="Arial" w:cs="Arial"/>
          <w:color w:val="000000"/>
        </w:rPr>
        <w:t xml:space="preserve">a </w:t>
      </w:r>
      <w:r w:rsidRPr="00B86AA8">
        <w:rPr>
          <w:rFonts w:eastAsia="Arial" w:cs="Arial"/>
          <w:color w:val="000000"/>
        </w:rPr>
        <w:t>refle</w:t>
      </w:r>
      <w:r>
        <w:rPr>
          <w:rFonts w:eastAsia="Arial" w:cs="Arial"/>
          <w:color w:val="000000"/>
        </w:rPr>
        <w:t>xão</w:t>
      </w:r>
      <w:r w:rsidRPr="00B86AA8">
        <w:rPr>
          <w:rFonts w:eastAsia="Arial" w:cs="Arial"/>
          <w:color w:val="000000"/>
        </w:rPr>
        <w:t xml:space="preserve"> sobre o papel do Estado na mediaç</w:t>
      </w:r>
      <w:bookmarkStart w:id="0" w:name="_GoBack"/>
      <w:bookmarkEnd w:id="0"/>
      <w:r w:rsidRPr="00B86AA8">
        <w:rPr>
          <w:rFonts w:eastAsia="Arial" w:cs="Arial"/>
          <w:color w:val="000000"/>
        </w:rPr>
        <w:t>ão entre inclusão produtiva, abastecimento e organização territorial.</w:t>
      </w:r>
    </w:p>
    <w:p w14:paraId="2EE8E9A4" w14:textId="77777777" w:rsidR="000E6170" w:rsidRDefault="000E6170" w:rsidP="00A902D0">
      <w:pPr>
        <w:spacing w:line="360" w:lineRule="auto"/>
        <w:ind w:hanging="2"/>
        <w:jc w:val="both"/>
        <w:rPr>
          <w:rFonts w:eastAsia="Arial" w:cs="Arial"/>
        </w:rPr>
      </w:pPr>
    </w:p>
    <w:p w14:paraId="5023EC32" w14:textId="08E34688" w:rsidR="00A902D0" w:rsidRPr="00A902D0" w:rsidRDefault="00216EFF" w:rsidP="00B86AA8">
      <w:pPr>
        <w:ind w:hanging="2"/>
        <w:jc w:val="both"/>
        <w:rPr>
          <w:rFonts w:eastAsia="Arial" w:cs="Arial"/>
        </w:rPr>
      </w:pPr>
      <w:r w:rsidRPr="00216EFF">
        <w:rPr>
          <w:rFonts w:eastAsia="Arial" w:cs="Arial"/>
        </w:rPr>
        <w:t xml:space="preserve">Palavras-chave: </w:t>
      </w:r>
      <w:r w:rsidR="00A902D0" w:rsidRPr="00A902D0">
        <w:rPr>
          <w:rFonts w:eastAsia="Arial" w:cs="Arial"/>
        </w:rPr>
        <w:t>agricultura familiar</w:t>
      </w:r>
      <w:r w:rsidR="00A902D0">
        <w:rPr>
          <w:rFonts w:eastAsia="Arial" w:cs="Arial"/>
        </w:rPr>
        <w:t xml:space="preserve">, </w:t>
      </w:r>
      <w:r w:rsidR="00A902D0" w:rsidRPr="00A902D0">
        <w:rPr>
          <w:rFonts w:eastAsia="Arial" w:cs="Arial"/>
        </w:rPr>
        <w:t>dinâmicas territoriais</w:t>
      </w:r>
      <w:r w:rsidR="00A902D0">
        <w:rPr>
          <w:rFonts w:eastAsia="Arial" w:cs="Arial"/>
        </w:rPr>
        <w:t xml:space="preserve">, </w:t>
      </w:r>
      <w:r w:rsidR="00A902D0" w:rsidRPr="00A902D0">
        <w:rPr>
          <w:rFonts w:eastAsia="Arial" w:cs="Arial"/>
        </w:rPr>
        <w:t>mercado</w:t>
      </w:r>
      <w:r w:rsidR="00A902D0">
        <w:rPr>
          <w:rFonts w:eastAsia="Arial" w:cs="Arial"/>
        </w:rPr>
        <w:t xml:space="preserve"> </w:t>
      </w:r>
      <w:r w:rsidR="00A902D0" w:rsidRPr="00A902D0">
        <w:rPr>
          <w:rFonts w:eastAsia="Arial" w:cs="Arial"/>
        </w:rPr>
        <w:t>municipal</w:t>
      </w:r>
      <w:r w:rsidR="00A902D0">
        <w:rPr>
          <w:rFonts w:eastAsia="Arial" w:cs="Arial"/>
        </w:rPr>
        <w:t xml:space="preserve">, </w:t>
      </w:r>
      <w:r w:rsidR="00A902D0" w:rsidRPr="00A902D0">
        <w:rPr>
          <w:rFonts w:eastAsia="Arial" w:cs="Arial"/>
        </w:rPr>
        <w:t>semiárido mineiro</w:t>
      </w:r>
      <w:r w:rsidR="00A902D0">
        <w:rPr>
          <w:rFonts w:eastAsia="Arial" w:cs="Arial"/>
        </w:rPr>
        <w:t>.</w:t>
      </w:r>
      <w:r w:rsidR="000E6170">
        <w:rPr>
          <w:rFonts w:eastAsia="Arial" w:cs="Arial"/>
        </w:rPr>
        <w:t xml:space="preserve"> </w:t>
      </w:r>
    </w:p>
    <w:p w14:paraId="5B5D3998" w14:textId="22DE95C2" w:rsidR="00A902D0" w:rsidRPr="00A902D0" w:rsidRDefault="00A902D0" w:rsidP="00A902D0">
      <w:pPr>
        <w:spacing w:line="360" w:lineRule="auto"/>
        <w:ind w:hanging="2"/>
        <w:jc w:val="both"/>
        <w:rPr>
          <w:rFonts w:eastAsia="Arial" w:cs="Arial"/>
        </w:rPr>
      </w:pPr>
    </w:p>
    <w:p w14:paraId="22775F0D" w14:textId="77777777" w:rsidR="00A902D0" w:rsidRPr="00A902D0" w:rsidRDefault="00A902D0" w:rsidP="00A902D0">
      <w:pPr>
        <w:spacing w:line="360" w:lineRule="auto"/>
        <w:ind w:hanging="2"/>
        <w:jc w:val="both"/>
        <w:rPr>
          <w:rFonts w:eastAsia="Arial" w:cs="Arial"/>
        </w:rPr>
      </w:pPr>
    </w:p>
    <w:p w14:paraId="25F4F952" w14:textId="77777777" w:rsidR="00216EFF" w:rsidRPr="00934534" w:rsidRDefault="00216EFF" w:rsidP="00216EFF">
      <w:pPr>
        <w:spacing w:line="360" w:lineRule="auto"/>
        <w:jc w:val="both"/>
        <w:rPr>
          <w:rFonts w:eastAsia="Arial" w:cs="Arial"/>
          <w:bCs/>
        </w:rPr>
      </w:pPr>
      <w:r w:rsidRPr="00934534">
        <w:rPr>
          <w:rFonts w:eastAsia="Arial" w:cs="Arial"/>
          <w:bCs/>
        </w:rPr>
        <w:t>INTRODUÇÃO</w:t>
      </w:r>
    </w:p>
    <w:p w14:paraId="2FD02289" w14:textId="6FC7739F" w:rsidR="008D5098" w:rsidRPr="008D5098" w:rsidRDefault="008D5098" w:rsidP="008D5098">
      <w:pPr>
        <w:spacing w:line="360" w:lineRule="auto"/>
        <w:jc w:val="both"/>
        <w:rPr>
          <w:rFonts w:eastAsia="Arial" w:cs="Arial"/>
        </w:rPr>
      </w:pPr>
      <w:r w:rsidRPr="008D5098">
        <w:rPr>
          <w:rFonts w:eastAsia="Arial" w:cs="Arial"/>
        </w:rPr>
        <w:t xml:space="preserve">O mercado municipal de Araçuaí, no médio Jequitinhonha, configura-se como um espaço estratégico de abastecimento, sociabilidade e circulação de bens e saberes na região semiárida </w:t>
      </w:r>
      <w:r w:rsidR="00A07206">
        <w:rPr>
          <w:rFonts w:eastAsia="Arial" w:cs="Arial"/>
        </w:rPr>
        <w:t xml:space="preserve">no nordeste </w:t>
      </w:r>
      <w:r w:rsidRPr="008D5098">
        <w:rPr>
          <w:rFonts w:eastAsia="Arial" w:cs="Arial"/>
        </w:rPr>
        <w:t>de Minas Gerais</w:t>
      </w:r>
      <w:r w:rsidR="00A07206">
        <w:rPr>
          <w:rFonts w:eastAsia="Arial" w:cs="Arial"/>
        </w:rPr>
        <w:t xml:space="preserve">, no </w:t>
      </w:r>
      <w:r w:rsidR="000E6170">
        <w:rPr>
          <w:rFonts w:eastAsia="Arial" w:cs="Arial"/>
        </w:rPr>
        <w:t>Nordeste do estado</w:t>
      </w:r>
      <w:r w:rsidRPr="008D5098">
        <w:rPr>
          <w:rFonts w:eastAsia="Arial" w:cs="Arial"/>
        </w:rPr>
        <w:t>. Inserido em uma paisagem sociocultural rica, marcada pela presença de comunidades tradicionais e povos indígenas, o mercado transcende sua função comercial, funcionando como um elo entre a produção agrícola familiar e os circuitos urbanos de consumo.</w:t>
      </w:r>
    </w:p>
    <w:p w14:paraId="5EC9BD41" w14:textId="77777777" w:rsidR="008D5098" w:rsidRPr="008D5098" w:rsidRDefault="008D5098" w:rsidP="008D5098">
      <w:pPr>
        <w:spacing w:line="360" w:lineRule="auto"/>
        <w:jc w:val="both"/>
        <w:rPr>
          <w:rFonts w:eastAsia="Arial" w:cs="Arial"/>
        </w:rPr>
      </w:pPr>
    </w:p>
    <w:p w14:paraId="7C6E5E7F" w14:textId="4B3B7624" w:rsidR="008D5098" w:rsidRDefault="008D5098" w:rsidP="008D5098">
      <w:pPr>
        <w:spacing w:line="360" w:lineRule="auto"/>
        <w:jc w:val="both"/>
        <w:rPr>
          <w:rFonts w:eastAsia="Arial" w:cs="Arial"/>
        </w:rPr>
      </w:pPr>
      <w:r w:rsidRPr="008D5098">
        <w:rPr>
          <w:rFonts w:eastAsia="Arial" w:cs="Arial"/>
        </w:rPr>
        <w:t xml:space="preserve">Este </w:t>
      </w:r>
      <w:r w:rsidR="00A07206">
        <w:rPr>
          <w:rFonts w:eastAsia="Arial" w:cs="Arial"/>
        </w:rPr>
        <w:t>texto</w:t>
      </w:r>
      <w:r w:rsidRPr="008D5098">
        <w:rPr>
          <w:rFonts w:eastAsia="Arial" w:cs="Arial"/>
        </w:rPr>
        <w:t xml:space="preserve"> apresenta parte dos resultados de uma investigação de campo desenvolvida no âmbito do subprojeto </w:t>
      </w:r>
      <w:r w:rsidR="0003139B">
        <w:rPr>
          <w:rFonts w:eastAsia="Arial" w:cs="Arial"/>
        </w:rPr>
        <w:t xml:space="preserve">da </w:t>
      </w:r>
      <w:r w:rsidR="0003139B" w:rsidRPr="008D5098">
        <w:rPr>
          <w:rFonts w:eastAsia="Arial" w:cs="Arial"/>
        </w:rPr>
        <w:t>Rede de Pesquisa Semiárido Mineiro (</w:t>
      </w:r>
      <w:r w:rsidR="004300C6">
        <w:rPr>
          <w:rFonts w:eastAsia="Arial" w:cs="Arial"/>
        </w:rPr>
        <w:t>Fapemig</w:t>
      </w:r>
      <w:r w:rsidR="0003139B" w:rsidRPr="008D5098">
        <w:rPr>
          <w:rFonts w:eastAsia="Arial" w:cs="Arial"/>
        </w:rPr>
        <w:t>)</w:t>
      </w:r>
      <w:r w:rsidR="0003139B">
        <w:rPr>
          <w:rFonts w:eastAsia="Arial" w:cs="Arial"/>
        </w:rPr>
        <w:t xml:space="preserve"> </w:t>
      </w:r>
      <w:r w:rsidR="00A07206">
        <w:rPr>
          <w:rFonts w:eastAsia="Arial" w:cs="Arial"/>
        </w:rPr>
        <w:t>n</w:t>
      </w:r>
      <w:r w:rsidRPr="008D5098">
        <w:rPr>
          <w:rFonts w:eastAsia="Arial" w:cs="Arial"/>
        </w:rPr>
        <w:t xml:space="preserve">a Universidade Federal dos Vales do Jequitinhonha e Mucuri (UFVJM), </w:t>
      </w:r>
      <w:r w:rsidR="0003139B">
        <w:rPr>
          <w:rFonts w:eastAsia="Arial" w:cs="Arial"/>
        </w:rPr>
        <w:t>sob liderança da Universidade Federal de Viçosa</w:t>
      </w:r>
      <w:r w:rsidRPr="008D5098">
        <w:rPr>
          <w:rFonts w:eastAsia="Arial" w:cs="Arial"/>
        </w:rPr>
        <w:t xml:space="preserve">, cujo foco é analisar a inclusão produtiva de agricultores familiares no semiárido e sua inserção em mercados locais e regionais. Buscamos </w:t>
      </w:r>
      <w:r w:rsidR="00A07206">
        <w:rPr>
          <w:rFonts w:eastAsia="Arial" w:cs="Arial"/>
        </w:rPr>
        <w:t xml:space="preserve">especificamente </w:t>
      </w:r>
      <w:r w:rsidR="0003139B">
        <w:rPr>
          <w:rFonts w:eastAsia="Arial" w:cs="Arial"/>
        </w:rPr>
        <w:t>no presente</w:t>
      </w:r>
      <w:r w:rsidR="00A07206">
        <w:rPr>
          <w:rFonts w:eastAsia="Arial" w:cs="Arial"/>
        </w:rPr>
        <w:t xml:space="preserve"> trabalho </w:t>
      </w:r>
      <w:r w:rsidRPr="008D5098">
        <w:rPr>
          <w:rFonts w:eastAsia="Arial" w:cs="Arial"/>
        </w:rPr>
        <w:t>compreender o papel do mercado municipal de Araçuaí como vetor de integração econômica e cultural, bem como os desafios enfrentados por comerciantes, consumidores e gestores públicos.</w:t>
      </w:r>
    </w:p>
    <w:p w14:paraId="6B1B957D" w14:textId="1C42CC6E" w:rsidR="00A07206" w:rsidRDefault="00A07206" w:rsidP="008D5098">
      <w:pPr>
        <w:spacing w:line="360" w:lineRule="auto"/>
        <w:jc w:val="both"/>
        <w:rPr>
          <w:rFonts w:eastAsia="Arial" w:cs="Arial"/>
        </w:rPr>
      </w:pPr>
    </w:p>
    <w:p w14:paraId="06A07380" w14:textId="050D82FC" w:rsidR="00A07206" w:rsidRPr="00A07206" w:rsidRDefault="00A07206" w:rsidP="00A07206">
      <w:pPr>
        <w:spacing w:line="360" w:lineRule="auto"/>
        <w:jc w:val="both"/>
        <w:rPr>
          <w:rFonts w:eastAsia="Arial" w:cs="Arial"/>
        </w:rPr>
      </w:pPr>
      <w:r w:rsidRPr="00A07206">
        <w:rPr>
          <w:rFonts w:eastAsia="Arial" w:cs="Arial"/>
        </w:rPr>
        <w:t>Justificativa de adesão ao GT1 – Estado, políticas públicas e sistemas alimentares</w:t>
      </w:r>
      <w:r>
        <w:rPr>
          <w:rFonts w:eastAsia="Arial" w:cs="Arial"/>
        </w:rPr>
        <w:t xml:space="preserve">: </w:t>
      </w:r>
      <w:r w:rsidRPr="00A07206">
        <w:rPr>
          <w:rFonts w:eastAsia="Arial" w:cs="Arial"/>
        </w:rPr>
        <w:t xml:space="preserve">O trabalho propõe uma análise do funcionamento do mercado municipal de Araçuaí (MG), destacando sua relevância como equipamento público de abastecimento, sociabilidade e circulação de produtos da agricultura familiar no semiárido mineiro. A partir de observações de campo e dados institucionais, examina-se como o Estado, por meio da gestão municipal e de políticas públicas atua — ou se omite — na organização, manutenção e regulação </w:t>
      </w:r>
      <w:r w:rsidRPr="00A07206">
        <w:rPr>
          <w:rFonts w:eastAsia="Arial" w:cs="Arial"/>
        </w:rPr>
        <w:lastRenderedPageBreak/>
        <w:t>desse espaço. O estudo também evidencia as contradições entre as normativas oficiais (como as licitações para ocupação de boxes) e as práticas informais de comercialização, típicas dos circuitos populares.</w:t>
      </w:r>
    </w:p>
    <w:p w14:paraId="547BA108" w14:textId="77777777" w:rsidR="00A07206" w:rsidRPr="00A07206" w:rsidRDefault="00A07206" w:rsidP="00A07206">
      <w:pPr>
        <w:spacing w:line="360" w:lineRule="auto"/>
        <w:jc w:val="both"/>
        <w:rPr>
          <w:rFonts w:eastAsia="Arial" w:cs="Arial"/>
        </w:rPr>
      </w:pPr>
    </w:p>
    <w:p w14:paraId="49A960B7" w14:textId="1708DCBA" w:rsidR="00A07206" w:rsidRPr="008D5098" w:rsidRDefault="00A07206" w:rsidP="008D5098">
      <w:pPr>
        <w:spacing w:line="360" w:lineRule="auto"/>
        <w:jc w:val="both"/>
        <w:rPr>
          <w:rFonts w:eastAsia="Arial" w:cs="Arial"/>
        </w:rPr>
      </w:pPr>
      <w:r w:rsidRPr="00A07206">
        <w:rPr>
          <w:rFonts w:eastAsia="Arial" w:cs="Arial"/>
        </w:rPr>
        <w:t>Ao articular questões de infraestrutura, acesso a recursos públicos e políticas de abastecimento alimentar com a vivência cotidiana de comerciantes e consumidores, o trabalho dialoga com os objetivos do GT1. Contribui para o debate sobre como as ações e inações estatais moldam os sistemas alimentares nos territórios, além de iluminar tensões entre inclusão produtiva, gestão urbana e soberania alimentar. A pesquisa reforça o vínculo entre análise territorial e políticas públicas voltadas à sustentabilidade e equidade nos sistemas alimentares.</w:t>
      </w:r>
    </w:p>
    <w:p w14:paraId="1AE7F53A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0F22481A" w14:textId="15F3B2E6" w:rsidR="009535F2" w:rsidRDefault="00521DB2" w:rsidP="00A902D0">
      <w:pPr>
        <w:spacing w:line="360" w:lineRule="auto"/>
        <w:jc w:val="both"/>
        <w:rPr>
          <w:rFonts w:eastAsia="Arial" w:cs="Arial"/>
        </w:rPr>
      </w:pPr>
      <w:r w:rsidRPr="00521DB2">
        <w:rPr>
          <w:rFonts w:eastAsia="Arial" w:cs="Arial"/>
        </w:rPr>
        <w:t>A análise dos mercados populares enquanto espaços entre o rural e o urbano tem sido objeto de crescente atenção nas ciências sociais. Para além da lógica puramente econômica, mercados como o de Araçuaí incorporam práticas culturais, vínculos de confiança, sistemas morais de troca e saberes tradicionais</w:t>
      </w:r>
      <w:r>
        <w:rPr>
          <w:rFonts w:eastAsia="Arial" w:cs="Arial"/>
        </w:rPr>
        <w:t xml:space="preserve">. </w:t>
      </w:r>
      <w:r w:rsidRPr="00521DB2">
        <w:rPr>
          <w:rFonts w:eastAsia="Arial" w:cs="Arial"/>
        </w:rPr>
        <w:t>Nesse sentido, a valorização de estudos de caso que revelem a articulação entre políticas públicas, produção familiar e sustentabilidade tem sido central para o avanço das discussões teórico-metodológicas sobre o tema</w:t>
      </w:r>
      <w:r>
        <w:rPr>
          <w:rFonts w:eastAsia="Arial" w:cs="Arial"/>
        </w:rPr>
        <w:t xml:space="preserve"> (LEITE, </w:t>
      </w:r>
      <w:r w:rsidRPr="00521DB2">
        <w:rPr>
          <w:rFonts w:eastAsia="Arial" w:cs="Arial"/>
        </w:rPr>
        <w:t>2021)</w:t>
      </w:r>
      <w:r>
        <w:rPr>
          <w:rFonts w:eastAsia="Arial" w:cs="Arial"/>
        </w:rPr>
        <w:t>.</w:t>
      </w:r>
      <w:r w:rsidRPr="00521DB2">
        <w:rPr>
          <w:rFonts w:eastAsia="Arial" w:cs="Arial"/>
        </w:rPr>
        <w:t xml:space="preserve"> </w:t>
      </w:r>
      <w:r>
        <w:rPr>
          <w:rFonts w:eastAsia="Arial" w:cs="Arial"/>
        </w:rPr>
        <w:t>P</w:t>
      </w:r>
      <w:r w:rsidRPr="00521DB2">
        <w:rPr>
          <w:rFonts w:eastAsia="Arial" w:cs="Arial"/>
        </w:rPr>
        <w:t>ela relevância das temáticas abordadas e da análise e avaliação de políticas públicas para o aprimoramento dessas, as discussões teórico-metodológicas a respeito das políticas públicas voltadas à agricultura familiar e com vistas à sustentabilidade</w:t>
      </w:r>
      <w:r>
        <w:rPr>
          <w:rFonts w:eastAsia="Arial" w:cs="Arial"/>
        </w:rPr>
        <w:t xml:space="preserve">, </w:t>
      </w:r>
      <w:r w:rsidRPr="00521DB2">
        <w:rPr>
          <w:rFonts w:eastAsia="Arial" w:cs="Arial"/>
        </w:rPr>
        <w:t>possibilita</w:t>
      </w:r>
      <w:r>
        <w:rPr>
          <w:rFonts w:eastAsia="Arial" w:cs="Arial"/>
        </w:rPr>
        <w:t>m</w:t>
      </w:r>
      <w:r w:rsidRPr="00521DB2">
        <w:rPr>
          <w:rFonts w:eastAsia="Arial" w:cs="Arial"/>
        </w:rPr>
        <w:t xml:space="preserve"> uma visão da implantação destas políticas, a partir dos estudos de casos</w:t>
      </w:r>
      <w:r>
        <w:rPr>
          <w:rFonts w:eastAsia="Arial" w:cs="Arial"/>
        </w:rPr>
        <w:t>.</w:t>
      </w:r>
    </w:p>
    <w:p w14:paraId="56FCFFDA" w14:textId="77777777" w:rsidR="00521DB2" w:rsidRPr="00A902D0" w:rsidRDefault="00521DB2" w:rsidP="00A902D0">
      <w:pPr>
        <w:spacing w:line="360" w:lineRule="auto"/>
        <w:jc w:val="both"/>
        <w:rPr>
          <w:rFonts w:eastAsia="Arial" w:cs="Arial"/>
        </w:rPr>
      </w:pPr>
    </w:p>
    <w:p w14:paraId="31D9F8B9" w14:textId="04296805" w:rsidR="00A902D0" w:rsidRPr="00A902D0" w:rsidRDefault="00A902D0" w:rsidP="00A902D0">
      <w:pPr>
        <w:spacing w:line="360" w:lineRule="auto"/>
        <w:jc w:val="both"/>
        <w:rPr>
          <w:rFonts w:eastAsia="Arial" w:cs="Arial"/>
        </w:rPr>
      </w:pPr>
      <w:r w:rsidRPr="00A902D0">
        <w:rPr>
          <w:rFonts w:eastAsia="Arial" w:cs="Arial"/>
        </w:rPr>
        <w:t xml:space="preserve">Milton Santos (1996) contribui com a ideia dos circuitos da economia urbana, nos quais o mercado se insere como um circuito vital à sobrevivência de amplos </w:t>
      </w:r>
      <w:r w:rsidRPr="00A902D0">
        <w:rPr>
          <w:rFonts w:eastAsia="Arial" w:cs="Arial"/>
        </w:rPr>
        <w:lastRenderedPageBreak/>
        <w:t>setores populares. Tais espaços também são analisados como arenas de sociabilidade e de reconhecimento simbólico, em que práticas de troca são atravessadas por relações de parentesco, vizinhança, reciprocidade e disputa.</w:t>
      </w:r>
    </w:p>
    <w:p w14:paraId="71717635" w14:textId="56EED64E" w:rsid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23A04BD9" w14:textId="48E6612B" w:rsidR="00A902D0" w:rsidRPr="00934534" w:rsidRDefault="00A902D0" w:rsidP="00216EFF">
      <w:pPr>
        <w:spacing w:line="360" w:lineRule="auto"/>
        <w:jc w:val="both"/>
        <w:rPr>
          <w:rFonts w:eastAsia="Arial" w:cs="Arial"/>
        </w:rPr>
      </w:pPr>
      <w:r w:rsidRPr="00934534">
        <w:rPr>
          <w:rFonts w:eastAsia="Arial" w:cs="Arial"/>
        </w:rPr>
        <w:t>METODOLOGIA</w:t>
      </w:r>
    </w:p>
    <w:p w14:paraId="0D4460EA" w14:textId="2388F913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  <w:r w:rsidRPr="000E6170">
        <w:rPr>
          <w:rFonts w:eastAsia="Arial" w:cs="Arial"/>
        </w:rPr>
        <w:t xml:space="preserve">A pesquisa foi realizada em 2024 como parte do projeto </w:t>
      </w:r>
      <w:r w:rsidR="0038466A" w:rsidRPr="000E6170">
        <w:rPr>
          <w:rFonts w:eastAsia="Arial" w:cs="Arial"/>
        </w:rPr>
        <w:t xml:space="preserve">Rede de </w:t>
      </w:r>
      <w:r w:rsidR="009623CC">
        <w:rPr>
          <w:rFonts w:eastAsia="Arial" w:cs="Arial"/>
        </w:rPr>
        <w:t>Pesquisa</w:t>
      </w:r>
      <w:r w:rsidR="0038466A" w:rsidRPr="000E6170">
        <w:rPr>
          <w:rFonts w:eastAsia="Arial" w:cs="Arial"/>
        </w:rPr>
        <w:t xml:space="preserve"> do Semiárido Mineiro (</w:t>
      </w:r>
      <w:r w:rsidR="004300C6">
        <w:rPr>
          <w:rFonts w:eastAsia="Arial" w:cs="Arial"/>
        </w:rPr>
        <w:t>Fapemig</w:t>
      </w:r>
      <w:r w:rsidR="0038466A" w:rsidRPr="000E6170">
        <w:rPr>
          <w:rFonts w:eastAsia="Arial" w:cs="Arial"/>
        </w:rPr>
        <w:t>)</w:t>
      </w:r>
      <w:r w:rsidR="0038466A">
        <w:rPr>
          <w:rFonts w:eastAsia="Arial" w:cs="Arial"/>
        </w:rPr>
        <w:t xml:space="preserve"> desenvolvido </w:t>
      </w:r>
      <w:r w:rsidR="00860E23">
        <w:rPr>
          <w:rFonts w:eastAsia="Arial" w:cs="Arial"/>
        </w:rPr>
        <w:t>em</w:t>
      </w:r>
      <w:r w:rsidR="0038466A">
        <w:rPr>
          <w:rFonts w:eastAsia="Arial" w:cs="Arial"/>
        </w:rPr>
        <w:t xml:space="preserve"> parceria com a</w:t>
      </w:r>
      <w:r w:rsidRPr="000E6170">
        <w:rPr>
          <w:rFonts w:eastAsia="Arial" w:cs="Arial"/>
        </w:rPr>
        <w:t xml:space="preserve"> Universidade Federal dos Vales do Jequitinhonha e Mucuri (UFVJM). O foco foi a realização de um levantamento descritivo e exploratório sobre o funcionamento do mercado público municipal de Araçuaí, considerando aspectos de infraestrutura, serviços, gestão pública, perfil dos comerciantes e padrões de uso por parte do público frequentador.</w:t>
      </w:r>
    </w:p>
    <w:p w14:paraId="1346A0E4" w14:textId="77777777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</w:p>
    <w:p w14:paraId="179700EE" w14:textId="6494C06E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  <w:r w:rsidRPr="000E6170">
        <w:rPr>
          <w:rFonts w:eastAsia="Arial" w:cs="Arial"/>
        </w:rPr>
        <w:t xml:space="preserve">A investigação teve caráter qualitativo, com observação direta in loco, conversas informais com comerciantes e funcionários, e coleta de dados secundários junto à administração municipal e empresas prestadoras de serviços </w:t>
      </w:r>
      <w:r w:rsidR="00860E23">
        <w:rPr>
          <w:rFonts w:eastAsia="Arial" w:cs="Arial"/>
        </w:rPr>
        <w:t>de energia e água.</w:t>
      </w:r>
      <w:r w:rsidRPr="000E6170">
        <w:rPr>
          <w:rFonts w:eastAsia="Arial" w:cs="Arial"/>
        </w:rPr>
        <w:t xml:space="preserve"> O campo foi conduzido por um bolsista de apoio técnico vinculado à UFVJM, residente na região, que atuou como elo entre a universidade e a realidade local, assegurando uma presença contínua e sensível ao contexto.</w:t>
      </w:r>
    </w:p>
    <w:p w14:paraId="170B637C" w14:textId="77777777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</w:p>
    <w:p w14:paraId="0E95EA17" w14:textId="3FDCF17D" w:rsidR="000E6170" w:rsidRDefault="000E6170" w:rsidP="000E6170">
      <w:pPr>
        <w:spacing w:line="360" w:lineRule="auto"/>
        <w:jc w:val="both"/>
        <w:rPr>
          <w:rFonts w:eastAsia="Arial" w:cs="Arial"/>
        </w:rPr>
      </w:pPr>
      <w:r w:rsidRPr="000E6170">
        <w:rPr>
          <w:rFonts w:eastAsia="Arial" w:cs="Arial"/>
        </w:rPr>
        <w:t>A atividade de campo foi realizada ao longo de sete dias consecutivos, com uma programação organizada para garanti</w:t>
      </w:r>
      <w:r w:rsidR="00860E23">
        <w:rPr>
          <w:rFonts w:eastAsia="Arial" w:cs="Arial"/>
        </w:rPr>
        <w:t>a</w:t>
      </w:r>
      <w:r w:rsidRPr="000E6170">
        <w:rPr>
          <w:rFonts w:eastAsia="Arial" w:cs="Arial"/>
        </w:rPr>
        <w:t xml:space="preserve"> </w:t>
      </w:r>
      <w:r w:rsidR="00860E23">
        <w:rPr>
          <w:rFonts w:eastAsia="Arial" w:cs="Arial"/>
        </w:rPr>
        <w:t>d</w:t>
      </w:r>
      <w:r w:rsidRPr="000E6170">
        <w:rPr>
          <w:rFonts w:eastAsia="Arial" w:cs="Arial"/>
        </w:rPr>
        <w:t xml:space="preserve">o levantamento sistemático das informações. Nos primeiros dias, foram feitos os contatos com a administração local e a coleta de dados sobre infraestrutura (água, esgoto, energia) e </w:t>
      </w:r>
      <w:r w:rsidR="0038466A">
        <w:rPr>
          <w:rFonts w:eastAsia="Arial" w:cs="Arial"/>
        </w:rPr>
        <w:t>aspectos</w:t>
      </w:r>
      <w:r w:rsidRPr="000E6170">
        <w:rPr>
          <w:rFonts w:eastAsia="Arial" w:cs="Arial"/>
        </w:rPr>
        <w:t xml:space="preserve"> de manutenção do mercado. Em seguida, realizou-se a observação direta do fluxo de frequentadores, dos setores comerciais e do perfil dos comerciantes e consumidores. Ao final da semana, os dados foram consolidados e organizados </w:t>
      </w:r>
      <w:r w:rsidRPr="000E6170">
        <w:rPr>
          <w:rFonts w:eastAsia="Arial" w:cs="Arial"/>
        </w:rPr>
        <w:lastRenderedPageBreak/>
        <w:t>em notas técnicas preliminares, com apoio da coordenação acadêmica do subprojeto.</w:t>
      </w:r>
    </w:p>
    <w:p w14:paraId="43E8D53E" w14:textId="77777777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</w:p>
    <w:p w14:paraId="2556A90D" w14:textId="7E85BEE4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  <w:r w:rsidRPr="000E6170">
        <w:rPr>
          <w:rFonts w:eastAsia="Arial" w:cs="Arial"/>
        </w:rPr>
        <w:t>Foram definidos três eixos principais de análise:</w:t>
      </w:r>
      <w:r w:rsidR="0038466A">
        <w:rPr>
          <w:rFonts w:eastAsia="Arial" w:cs="Arial"/>
        </w:rPr>
        <w:t xml:space="preserve"> 1) </w:t>
      </w:r>
      <w:r w:rsidRPr="000E6170">
        <w:rPr>
          <w:rFonts w:eastAsia="Arial" w:cs="Arial"/>
        </w:rPr>
        <w:t>Infraestrutura e serviços: Avaliação da regularidade do abastecimento de água, esgotamento sanitário, consumo energético, gestão de resíduos e funcionamento da limpeza pública.</w:t>
      </w:r>
      <w:r w:rsidR="0038466A">
        <w:rPr>
          <w:rFonts w:eastAsia="Arial" w:cs="Arial"/>
        </w:rPr>
        <w:t xml:space="preserve"> 2) </w:t>
      </w:r>
      <w:r w:rsidRPr="000E6170">
        <w:rPr>
          <w:rFonts w:eastAsia="Arial" w:cs="Arial"/>
        </w:rPr>
        <w:t>Comerciantes: Identificação da quantidade e diversidade dos comerciantes, com destaque para os tipos de produtos oferecidos, perfil socioeconômico (gênero, idade, tempo de atuação) e condições de trabalho.</w:t>
      </w:r>
      <w:r w:rsidR="0038466A">
        <w:rPr>
          <w:rFonts w:eastAsia="Arial" w:cs="Arial"/>
        </w:rPr>
        <w:t xml:space="preserve"> 3) </w:t>
      </w:r>
      <w:r w:rsidRPr="000E6170">
        <w:rPr>
          <w:rFonts w:eastAsia="Arial" w:cs="Arial"/>
        </w:rPr>
        <w:t>Público atendido: Levantamento de padrões de uso do mercado por moradores locais e visitantes, com foco nas motivações de compra, regularidade das visitas e perfis sociais.</w:t>
      </w:r>
    </w:p>
    <w:p w14:paraId="08A01757" w14:textId="77777777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</w:p>
    <w:p w14:paraId="00AC2041" w14:textId="43FC4D23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  <w:r w:rsidRPr="000E6170">
        <w:rPr>
          <w:rFonts w:eastAsia="Arial" w:cs="Arial"/>
        </w:rPr>
        <w:t xml:space="preserve">Foram utilizados cadernos de campo, registros fotográficos, gravador de voz (para anotações internas do pesquisador) e </w:t>
      </w:r>
      <w:r>
        <w:rPr>
          <w:rFonts w:eastAsia="Arial" w:cs="Arial"/>
        </w:rPr>
        <w:t>croquis</w:t>
      </w:r>
      <w:r w:rsidRPr="000E6170">
        <w:rPr>
          <w:rFonts w:eastAsia="Arial" w:cs="Arial"/>
        </w:rPr>
        <w:t xml:space="preserve"> para mapear a disposição espacial dos setores do mercado. Dados complementares foram coletados junto a órgãos públicos e prestadores de serviço, como a prefeitura municipal e a</w:t>
      </w:r>
      <w:r>
        <w:rPr>
          <w:rFonts w:eastAsia="Arial" w:cs="Arial"/>
        </w:rPr>
        <w:t>s</w:t>
      </w:r>
      <w:r w:rsidRPr="000E6170">
        <w:rPr>
          <w:rFonts w:eastAsia="Arial" w:cs="Arial"/>
        </w:rPr>
        <w:t xml:space="preserve"> empresa</w:t>
      </w:r>
      <w:r>
        <w:rPr>
          <w:rFonts w:eastAsia="Arial" w:cs="Arial"/>
        </w:rPr>
        <w:t>s</w:t>
      </w:r>
      <w:r w:rsidRPr="000E6170">
        <w:rPr>
          <w:rFonts w:eastAsia="Arial" w:cs="Arial"/>
        </w:rPr>
        <w:t xml:space="preserve"> de saneamento</w:t>
      </w:r>
      <w:r>
        <w:rPr>
          <w:rFonts w:eastAsia="Arial" w:cs="Arial"/>
        </w:rPr>
        <w:t xml:space="preserve"> e de energia elétrica</w:t>
      </w:r>
      <w:r w:rsidRPr="000E6170">
        <w:rPr>
          <w:rFonts w:eastAsia="Arial" w:cs="Arial"/>
        </w:rPr>
        <w:t>.</w:t>
      </w:r>
    </w:p>
    <w:p w14:paraId="665E0134" w14:textId="77777777" w:rsidR="000E6170" w:rsidRPr="000E6170" w:rsidRDefault="000E6170" w:rsidP="000E6170">
      <w:pPr>
        <w:spacing w:line="360" w:lineRule="auto"/>
        <w:jc w:val="both"/>
        <w:rPr>
          <w:rFonts w:eastAsia="Arial" w:cs="Arial"/>
        </w:rPr>
      </w:pPr>
    </w:p>
    <w:p w14:paraId="492A8936" w14:textId="09274D94" w:rsidR="00A902D0" w:rsidRDefault="000E6170" w:rsidP="000E6170">
      <w:pPr>
        <w:spacing w:line="360" w:lineRule="auto"/>
        <w:jc w:val="both"/>
        <w:rPr>
          <w:rFonts w:eastAsia="Arial" w:cs="Arial"/>
        </w:rPr>
      </w:pPr>
      <w:r w:rsidRPr="000E6170">
        <w:rPr>
          <w:rFonts w:eastAsia="Arial" w:cs="Arial"/>
        </w:rPr>
        <w:t>A delimitação metodológica excluiu, propositalmente, o levantamento da feira semanal realizada no entorno do mercado, concentrando a análise exclusivamente no funcionamento estrutural, institucional e cotidiano do espaço interno ao prédio do mercado municipal. Isso permitiu uma leitura mais precisa sobre os desafios e potencialidades da gestão pública no uso de equipamentos urbanos para promover circuitos curtos de comercialização e abastecimento alimentar em regiões semiáridas.</w:t>
      </w:r>
    </w:p>
    <w:p w14:paraId="43D7EA47" w14:textId="77777777" w:rsidR="000E6170" w:rsidRDefault="000E6170" w:rsidP="000E6170">
      <w:pPr>
        <w:spacing w:line="360" w:lineRule="auto"/>
        <w:jc w:val="both"/>
        <w:rPr>
          <w:rFonts w:eastAsia="Arial" w:cs="Arial"/>
        </w:rPr>
      </w:pPr>
    </w:p>
    <w:p w14:paraId="72279824" w14:textId="1D753C58" w:rsidR="00A902D0" w:rsidRPr="007647DC" w:rsidRDefault="00A902D0" w:rsidP="00A902D0">
      <w:pPr>
        <w:spacing w:line="360" w:lineRule="auto"/>
        <w:jc w:val="both"/>
        <w:rPr>
          <w:rFonts w:eastAsia="Arial" w:cs="Arial"/>
        </w:rPr>
      </w:pPr>
      <w:r w:rsidRPr="007647DC">
        <w:rPr>
          <w:rFonts w:eastAsia="Arial" w:cs="Arial"/>
        </w:rPr>
        <w:t>RESULTADOS E ANÁLISE</w:t>
      </w:r>
    </w:p>
    <w:p w14:paraId="45C8609D" w14:textId="77777777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lastRenderedPageBreak/>
        <w:t>Infraestrutura e serviços</w:t>
      </w:r>
    </w:p>
    <w:p w14:paraId="459462B1" w14:textId="76B55AA7" w:rsidR="00F57A72" w:rsidRDefault="005D1DFE" w:rsidP="00F57A72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t>O mercado municipal de Araçuaí ocupa uma área central da cidade, com fácil acesso para moradores e visitantes. Sua localização estratégica</w:t>
      </w:r>
      <w:r>
        <w:rPr>
          <w:rFonts w:eastAsia="Arial" w:cs="Arial"/>
        </w:rPr>
        <w:t xml:space="preserve"> próximo a rodovia BR 367 e a rodoviária local,</w:t>
      </w:r>
      <w:r w:rsidRPr="005D1DFE">
        <w:rPr>
          <w:rFonts w:eastAsia="Arial" w:cs="Arial"/>
        </w:rPr>
        <w:t xml:space="preserve"> favorece a convergência de produtores rurais das comunidades do entorno, bem como de comerciantes urbanos e regionais. A estrutura atual é fruto de sucessivas transformações desde o século XIX, quando o mercado surgiu de forma rudimentar, com barracas improvisadas, tornando-se posteriormente um espaço consolidado de trocas comerciais, com valor histórico e cultural para a cidade.</w:t>
      </w:r>
      <w:r w:rsidR="007647DC">
        <w:rPr>
          <w:rFonts w:eastAsia="Arial" w:cs="Arial"/>
        </w:rPr>
        <w:t xml:space="preserve"> A seguir a figura 1 apresenta a localização do município no estado de Minas Gerais e do mercado na área urbana.</w:t>
      </w:r>
    </w:p>
    <w:p w14:paraId="681284A0" w14:textId="3A53B8A9" w:rsidR="001327DD" w:rsidRDefault="001327DD" w:rsidP="001327DD">
      <w:pPr>
        <w:spacing w:line="360" w:lineRule="auto"/>
        <w:ind w:left="-426" w:right="-568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38E001CA" wp14:editId="608E5EA0">
            <wp:extent cx="5460292" cy="3863426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Aracua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304" cy="39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BC8B" w14:textId="77777777" w:rsidR="007647DC" w:rsidRPr="00934534" w:rsidRDefault="007647DC" w:rsidP="007647DC">
      <w:pPr>
        <w:jc w:val="both"/>
        <w:rPr>
          <w:rFonts w:eastAsia="Arial" w:cs="Arial"/>
          <w:sz w:val="22"/>
          <w:szCs w:val="22"/>
        </w:rPr>
      </w:pPr>
      <w:r w:rsidRPr="00934534">
        <w:rPr>
          <w:rFonts w:eastAsia="Arial" w:cs="Arial"/>
          <w:sz w:val="22"/>
          <w:szCs w:val="22"/>
        </w:rPr>
        <w:t>Figura 1 – Mapa de localização do município de Araçuaí no Estado de Minas Gerais e a inserção do mercado em sua área urbana.</w:t>
      </w:r>
    </w:p>
    <w:p w14:paraId="50463958" w14:textId="77777777" w:rsidR="001327DD" w:rsidRDefault="001327DD" w:rsidP="005D1DFE">
      <w:pPr>
        <w:spacing w:line="360" w:lineRule="auto"/>
        <w:jc w:val="both"/>
        <w:rPr>
          <w:rFonts w:eastAsia="Arial" w:cs="Arial"/>
        </w:rPr>
      </w:pPr>
    </w:p>
    <w:p w14:paraId="6D43F36A" w14:textId="6E62F320" w:rsidR="007647DC" w:rsidRPr="00F57A72" w:rsidRDefault="007647DC" w:rsidP="007647DC">
      <w:pPr>
        <w:spacing w:line="360" w:lineRule="auto"/>
        <w:jc w:val="both"/>
        <w:rPr>
          <w:rFonts w:eastAsia="Arial" w:cs="Arial"/>
        </w:rPr>
      </w:pPr>
      <w:r w:rsidRPr="00F57A72">
        <w:rPr>
          <w:rFonts w:eastAsia="Arial" w:cs="Arial"/>
        </w:rPr>
        <w:lastRenderedPageBreak/>
        <w:t xml:space="preserve">Os cursos d’água destacados incluem o rio Araçuaí e o ribeirão </w:t>
      </w:r>
      <w:proofErr w:type="spellStart"/>
      <w:r w:rsidRPr="00F57A72">
        <w:rPr>
          <w:rFonts w:eastAsia="Arial" w:cs="Arial"/>
        </w:rPr>
        <w:t>Calhauzinho</w:t>
      </w:r>
      <w:proofErr w:type="spellEnd"/>
      <w:r w:rsidRPr="00F57A72">
        <w:rPr>
          <w:rFonts w:eastAsia="Arial" w:cs="Arial"/>
        </w:rPr>
        <w:t xml:space="preserve">, ambos pertencentes à bacia hidrográfica do rio Jequitinhonha. </w:t>
      </w:r>
      <w:r>
        <w:rPr>
          <w:rFonts w:eastAsia="Arial" w:cs="Arial"/>
        </w:rPr>
        <w:t>A figura mostra</w:t>
      </w:r>
      <w:r w:rsidRPr="00F57A72">
        <w:rPr>
          <w:rFonts w:eastAsia="Arial" w:cs="Arial"/>
        </w:rPr>
        <w:t xml:space="preserve"> o enquadramento regional do município </w:t>
      </w:r>
      <w:r>
        <w:rPr>
          <w:rFonts w:eastAsia="Arial" w:cs="Arial"/>
        </w:rPr>
        <w:t>no</w:t>
      </w:r>
      <w:r w:rsidRPr="00F57A72">
        <w:rPr>
          <w:rFonts w:eastAsia="Arial" w:cs="Arial"/>
        </w:rPr>
        <w:t xml:space="preserve"> estado de Minas Gerais, indicando a abrangência da bacia do rio Jequitinhonha e a inserção de Araçuaí no semiárido mineiro. O mapa foi elaborado</w:t>
      </w:r>
      <w:r>
        <w:rPr>
          <w:rFonts w:eastAsia="Arial" w:cs="Arial"/>
        </w:rPr>
        <w:t xml:space="preserve"> pelos autores</w:t>
      </w:r>
      <w:r w:rsidRPr="00F57A72">
        <w:rPr>
          <w:rFonts w:eastAsia="Arial" w:cs="Arial"/>
        </w:rPr>
        <w:t xml:space="preserve"> em escala 1:15.000, com base em imagem de satélite e sistema de coordenadas UTM </w:t>
      </w:r>
      <w:proofErr w:type="spellStart"/>
      <w:r w:rsidRPr="00F57A72">
        <w:rPr>
          <w:rFonts w:eastAsia="Arial" w:cs="Arial"/>
        </w:rPr>
        <w:t>Datum</w:t>
      </w:r>
      <w:proofErr w:type="spellEnd"/>
      <w:r w:rsidRPr="00F57A72">
        <w:rPr>
          <w:rFonts w:eastAsia="Arial" w:cs="Arial"/>
        </w:rPr>
        <w:t xml:space="preserve"> SIRGAS 2000 – 23S.</w:t>
      </w:r>
    </w:p>
    <w:p w14:paraId="1D527164" w14:textId="77777777" w:rsidR="00000641" w:rsidRDefault="00000641" w:rsidP="005D1DFE">
      <w:pPr>
        <w:spacing w:line="360" w:lineRule="auto"/>
        <w:jc w:val="both"/>
        <w:rPr>
          <w:rFonts w:eastAsia="Arial" w:cs="Arial"/>
        </w:rPr>
      </w:pPr>
    </w:p>
    <w:p w14:paraId="61B5F716" w14:textId="6703F171" w:rsidR="001327DD" w:rsidRDefault="001327DD" w:rsidP="005D1DFE">
      <w:pPr>
        <w:spacing w:line="360" w:lineRule="auto"/>
        <w:jc w:val="both"/>
        <w:rPr>
          <w:rFonts w:eastAsia="Arial" w:cs="Arial"/>
        </w:rPr>
      </w:pPr>
      <w:r w:rsidRPr="00D64387">
        <w:rPr>
          <w:rFonts w:eastAsia="Arial" w:cs="Arial"/>
        </w:rPr>
        <w:t>O clima predominante na região é o semiárido, com chuvas concentradas em poucos meses do ano e longos períodos de estiagem, o que influencia diretamente as atividades agrícolas e a disponibilidade de recursos hídricos. (Instituto Nacional de Meteorologia, 2022).</w:t>
      </w:r>
      <w:r>
        <w:rPr>
          <w:rFonts w:eastAsia="Arial" w:cs="Arial"/>
        </w:rPr>
        <w:t xml:space="preserve"> </w:t>
      </w:r>
      <w:r w:rsidRPr="00D64387">
        <w:rPr>
          <w:rFonts w:eastAsia="Arial" w:cs="Arial"/>
        </w:rPr>
        <w:t xml:space="preserve">A cidade está </w:t>
      </w:r>
      <w:r>
        <w:rPr>
          <w:rFonts w:eastAsia="Arial" w:cs="Arial"/>
        </w:rPr>
        <w:t>inserida</w:t>
      </w:r>
      <w:r w:rsidRPr="00D64387">
        <w:rPr>
          <w:rFonts w:eastAsia="Arial" w:cs="Arial"/>
        </w:rPr>
        <w:t xml:space="preserve"> na bacia hidrográfica do Rio Jequitinhonha, um dos mais importantes da região. Este rio, conhecido por sua relevância histórica e econômica, atravessa várias cidades e comunidades, sendo essencial para o abastecimento de água, irrigação e geração de energia. Outros cursos d'água menores, como o rio Araçuaí, também contribuem para a sustentabilidade da região, embora o desafio da escassez hídrica seja uma constant</w:t>
      </w:r>
      <w:r>
        <w:rPr>
          <w:rFonts w:eastAsia="Arial" w:cs="Arial"/>
        </w:rPr>
        <w:t>e</w:t>
      </w:r>
      <w:r w:rsidRPr="00D64387">
        <w:rPr>
          <w:rFonts w:eastAsia="Arial" w:cs="Arial"/>
        </w:rPr>
        <w:t xml:space="preserve"> (</w:t>
      </w:r>
      <w:r>
        <w:rPr>
          <w:rFonts w:eastAsia="Arial" w:cs="Arial"/>
        </w:rPr>
        <w:t>ANA</w:t>
      </w:r>
      <w:r w:rsidRPr="00D64387">
        <w:rPr>
          <w:rFonts w:eastAsia="Arial" w:cs="Arial"/>
        </w:rPr>
        <w:t>, 2021).</w:t>
      </w:r>
    </w:p>
    <w:p w14:paraId="1DCEB0FF" w14:textId="77777777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</w:p>
    <w:p w14:paraId="36C763D3" w14:textId="5F26EEDB" w:rsid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t xml:space="preserve">No que se refere ao saneamento e à operação dos serviços públicos, o mercado conta com abastecimento de água potável e esgotamento sanitário operados pela </w:t>
      </w:r>
      <w:r w:rsidR="00187071">
        <w:rPr>
          <w:rFonts w:eastAsia="Arial" w:cs="Arial"/>
        </w:rPr>
        <w:t>Companhia de Saneamento de Minas Gerais (</w:t>
      </w:r>
      <w:proofErr w:type="spellStart"/>
      <w:r w:rsidR="00187071">
        <w:rPr>
          <w:rFonts w:eastAsia="Arial" w:cs="Arial"/>
        </w:rPr>
        <w:t>Copasa</w:t>
      </w:r>
      <w:proofErr w:type="spellEnd"/>
      <w:r w:rsidR="00187071">
        <w:rPr>
          <w:rFonts w:eastAsia="Arial" w:cs="Arial"/>
        </w:rPr>
        <w:t>)</w:t>
      </w:r>
      <w:r w:rsidRPr="005D1DFE">
        <w:rPr>
          <w:rFonts w:eastAsia="Arial" w:cs="Arial"/>
        </w:rPr>
        <w:t>, em parceria com a prefeitura. Restaurantes e açougues possuem contas individualizadas, com pagamento parcial subsidiado pelo poder público. A limpeza é feita diariamente, sob responsabilidade da prefeitura, por uma equipe de 14 funcionários em regime de revezamento. A vigilância noturna é mantida por dois profissionais contratados</w:t>
      </w:r>
      <w:r w:rsidR="004D51F3">
        <w:rPr>
          <w:rFonts w:eastAsia="Arial" w:cs="Arial"/>
        </w:rPr>
        <w:t xml:space="preserve"> (terceirizados)</w:t>
      </w:r>
      <w:r w:rsidRPr="005D1DFE">
        <w:rPr>
          <w:rFonts w:eastAsia="Arial" w:cs="Arial"/>
        </w:rPr>
        <w:t>.</w:t>
      </w:r>
    </w:p>
    <w:p w14:paraId="5F610435" w14:textId="77777777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</w:p>
    <w:p w14:paraId="1A4D6168" w14:textId="75CB386F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lastRenderedPageBreak/>
        <w:t>Apesar da infraestrutura básica, persistem desafios quanto à manutenção regular, à gestão dos resíduos sólidos e líquidos e à sobrecarga da estrutura nos períodos de grande movimentação, como feriados e festividades locais. O mercado também reflete os limites de gestão pública municipal diante das condições ambientais do semiárido, marcado por escassez hídrica, chuvas irregulares e temperaturas elevadas. Situado na bacia do Rio Jequitinhonha e inserido no bioma da Caatinga, o município de Araçuaí enfrenta limitações ecológicas que repercutem sobre as condições de funcionamento do mercado.</w:t>
      </w:r>
    </w:p>
    <w:p w14:paraId="16212F91" w14:textId="77777777" w:rsidR="00D64387" w:rsidRPr="005D1DFE" w:rsidRDefault="00D64387" w:rsidP="00D64387">
      <w:pPr>
        <w:spacing w:line="360" w:lineRule="auto"/>
        <w:jc w:val="both"/>
        <w:rPr>
          <w:rFonts w:eastAsia="Arial" w:cs="Arial"/>
        </w:rPr>
      </w:pPr>
    </w:p>
    <w:p w14:paraId="513D595C" w14:textId="1CF698FB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t>Perfil dos comerciantes e organização da comercialização</w:t>
      </w:r>
    </w:p>
    <w:p w14:paraId="33ABEBAE" w14:textId="32B19407" w:rsidR="00934534" w:rsidRDefault="00934534" w:rsidP="00934534">
      <w:pPr>
        <w:spacing w:line="360" w:lineRule="auto"/>
        <w:jc w:val="both"/>
        <w:rPr>
          <w:rFonts w:eastAsia="Arial" w:cs="Arial"/>
        </w:rPr>
      </w:pPr>
      <w:r w:rsidRPr="00000641">
        <w:rPr>
          <w:rFonts w:eastAsia="Arial" w:cs="Arial"/>
        </w:rPr>
        <w:t xml:space="preserve">O </w:t>
      </w:r>
      <w:r>
        <w:rPr>
          <w:rFonts w:eastAsia="Arial" w:cs="Arial"/>
        </w:rPr>
        <w:t>m</w:t>
      </w:r>
      <w:r w:rsidRPr="00000641">
        <w:rPr>
          <w:rFonts w:eastAsia="Arial" w:cs="Arial"/>
        </w:rPr>
        <w:t xml:space="preserve">ercado opera </w:t>
      </w:r>
      <w:r w:rsidR="00A7283D">
        <w:rPr>
          <w:rFonts w:eastAsia="Arial" w:cs="Arial"/>
        </w:rPr>
        <w:t xml:space="preserve">todos os dias da semana, </w:t>
      </w:r>
      <w:r w:rsidRPr="00000641">
        <w:rPr>
          <w:rFonts w:eastAsia="Arial" w:cs="Arial"/>
        </w:rPr>
        <w:t xml:space="preserve">principalmente nos finais de semana, quando há maior fluxo de pessoas. Nas </w:t>
      </w:r>
      <w:r>
        <w:rPr>
          <w:rFonts w:eastAsia="Arial" w:cs="Arial"/>
        </w:rPr>
        <w:t>bancas do mercado</w:t>
      </w:r>
      <w:r w:rsidRPr="00000641">
        <w:rPr>
          <w:rFonts w:eastAsia="Arial" w:cs="Arial"/>
        </w:rPr>
        <w:t xml:space="preserve"> é possível encontrar uma variedade de produtos, incluindo</w:t>
      </w:r>
      <w:r w:rsidR="009535F2">
        <w:rPr>
          <w:rFonts w:eastAsia="Arial" w:cs="Arial"/>
        </w:rPr>
        <w:t xml:space="preserve"> alimentos frescos como</w:t>
      </w:r>
      <w:r w:rsidRPr="00000641">
        <w:rPr>
          <w:rFonts w:eastAsia="Arial" w:cs="Arial"/>
        </w:rPr>
        <w:t xml:space="preserve"> hortaliças, frutas, carnes, laticínios, </w:t>
      </w:r>
      <w:r w:rsidR="009535F2">
        <w:rPr>
          <w:rFonts w:eastAsia="Arial" w:cs="Arial"/>
        </w:rPr>
        <w:t xml:space="preserve">além de </w:t>
      </w:r>
      <w:r w:rsidRPr="00000641">
        <w:rPr>
          <w:rFonts w:eastAsia="Arial" w:cs="Arial"/>
        </w:rPr>
        <w:t>artesanato</w:t>
      </w:r>
      <w:r w:rsidR="009535F2">
        <w:rPr>
          <w:rFonts w:eastAsia="Arial" w:cs="Arial"/>
        </w:rPr>
        <w:t xml:space="preserve">, </w:t>
      </w:r>
      <w:proofErr w:type="spellStart"/>
      <w:r w:rsidR="009535F2">
        <w:rPr>
          <w:rFonts w:eastAsia="Arial" w:cs="Arial"/>
        </w:rPr>
        <w:t>utensilhos</w:t>
      </w:r>
      <w:proofErr w:type="spellEnd"/>
      <w:r w:rsidR="009535F2">
        <w:rPr>
          <w:rFonts w:eastAsia="Arial" w:cs="Arial"/>
        </w:rPr>
        <w:t xml:space="preserve"> domésticos, roupas</w:t>
      </w:r>
      <w:r w:rsidRPr="00000641">
        <w:rPr>
          <w:rFonts w:eastAsia="Arial" w:cs="Arial"/>
        </w:rPr>
        <w:t xml:space="preserve"> e produtos típicos da culinária mineira, como queijos, doces e cachaças</w:t>
      </w:r>
      <w:r>
        <w:rPr>
          <w:rFonts w:eastAsia="Arial" w:cs="Arial"/>
        </w:rPr>
        <w:t xml:space="preserve">, além dos pequenos serviços de alimentação. </w:t>
      </w:r>
      <w:r w:rsidRPr="005D1DFE">
        <w:rPr>
          <w:rFonts w:eastAsia="Arial" w:cs="Arial"/>
        </w:rPr>
        <w:t>A presença de mulheres é marcante, sobretudo no comércio de alimentos e na produção artesanal, como bordados e cerâmicas — atividades que se destacam como fontes complementares de renda.</w:t>
      </w:r>
    </w:p>
    <w:p w14:paraId="77C063A4" w14:textId="77777777" w:rsidR="00934534" w:rsidRDefault="00934534" w:rsidP="005D1DFE">
      <w:pPr>
        <w:spacing w:line="360" w:lineRule="auto"/>
        <w:jc w:val="both"/>
        <w:rPr>
          <w:rFonts w:eastAsia="Arial" w:cs="Arial"/>
        </w:rPr>
      </w:pPr>
    </w:p>
    <w:p w14:paraId="3999F2F1" w14:textId="04597A95" w:rsid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t>A composição dos comerciantes é heterogênea, reunindo tanto produtores familiares quanto vendedores urbanos e itinerantes. A maioria dos vendedores permanentes possui licitação antiga para uso dos boxes, concedida pela prefeitura. No entanto, nos finais de semana, a ocupação do entorno do mercado por produtores não licitados é permitida informalmente, o que revela uma prática ambígua de regulação e tolerância por parte do poder público.</w:t>
      </w:r>
    </w:p>
    <w:p w14:paraId="2214309E" w14:textId="77777777" w:rsidR="00187071" w:rsidRPr="005D1DFE" w:rsidRDefault="00187071" w:rsidP="005D1DFE">
      <w:pPr>
        <w:spacing w:line="360" w:lineRule="auto"/>
        <w:jc w:val="both"/>
        <w:rPr>
          <w:rFonts w:eastAsia="Arial" w:cs="Arial"/>
        </w:rPr>
      </w:pPr>
    </w:p>
    <w:p w14:paraId="2F77923E" w14:textId="77777777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lastRenderedPageBreak/>
        <w:t>Em relação à articulação com políticas públicas, alguns produtores participam de programas federais como o Programa de Aquisição de Alimentos (PAA) e o Programa Nacional de Alimentação Escolar (PNAE), que possibilitam a venda institucional da produção familiar. Tais programas oferecem suporte financeiro e logístico, sendo particularmente importantes diante das adversidades climáticas e econômicas locais. O programa Garantia-Safra, também citado, proporciona estabilidade em anos de perda de produção. Contudo, o acesso a essas políticas ainda é limitado e desigual, dependendo da mediação de associações locais e do grau de organização comunitária.</w:t>
      </w:r>
    </w:p>
    <w:p w14:paraId="19322E84" w14:textId="570F78FD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</w:p>
    <w:p w14:paraId="352F3733" w14:textId="07A15C94" w:rsidR="005D1DFE" w:rsidRP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t>Público atendido e dinâmicas sociais</w:t>
      </w:r>
    </w:p>
    <w:p w14:paraId="6F6570AC" w14:textId="77231DC7" w:rsidR="005D1DFE" w:rsidRDefault="005D1DFE" w:rsidP="005D1DFE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t xml:space="preserve">O fluxo de consumidores se intensifica nos finais de semana, quando o mercado se converte em um ponto de encontro entre habitantes urbanos, produtores do campo e visitantes. Embora não tenha sido </w:t>
      </w:r>
      <w:r w:rsidR="00187071">
        <w:rPr>
          <w:rFonts w:eastAsia="Arial" w:cs="Arial"/>
        </w:rPr>
        <w:t>realizado</w:t>
      </w:r>
      <w:r w:rsidRPr="005D1DFE">
        <w:rPr>
          <w:rFonts w:eastAsia="Arial" w:cs="Arial"/>
        </w:rPr>
        <w:t xml:space="preserve"> um levantamento quantitativo, a observação direta indicou um público variado em termos de idade, ocupação e motivação: moradores da sede do município em busca de produtos frescos e acessíveis; produtores em atividade de escoamento da produção; visitantes interessados em alimentos típicos e artesanato local.</w:t>
      </w:r>
    </w:p>
    <w:p w14:paraId="6588E36B" w14:textId="77777777" w:rsidR="00187071" w:rsidRPr="005D1DFE" w:rsidRDefault="00187071" w:rsidP="005D1DFE">
      <w:pPr>
        <w:spacing w:line="360" w:lineRule="auto"/>
        <w:jc w:val="both"/>
        <w:rPr>
          <w:rFonts w:eastAsia="Arial" w:cs="Arial"/>
        </w:rPr>
      </w:pPr>
    </w:p>
    <w:p w14:paraId="1BC2F26E" w14:textId="193A59ED" w:rsidR="00A902D0" w:rsidRDefault="005D1DFE" w:rsidP="00216EFF">
      <w:pPr>
        <w:spacing w:line="360" w:lineRule="auto"/>
        <w:jc w:val="both"/>
        <w:rPr>
          <w:rFonts w:eastAsia="Arial" w:cs="Arial"/>
        </w:rPr>
      </w:pPr>
      <w:r w:rsidRPr="005D1DFE">
        <w:rPr>
          <w:rFonts w:eastAsia="Arial" w:cs="Arial"/>
        </w:rPr>
        <w:t>Além da função comercial, o mercado opera como espaço de sociabilidade, memória e cultura. Durante as feiras, são comuns apresentações espontâneas de músicos locais, com repertório de forró, samba de roda e outras expressões culturais regionais. Moradores antigos se reúnem para conversar e relembrar transformações no espaço urbano, conferindo ao mercado um papel simbólico de lugar de pertencimento.</w:t>
      </w:r>
    </w:p>
    <w:p w14:paraId="15007A99" w14:textId="77777777" w:rsidR="00A902D0" w:rsidRPr="00216EFF" w:rsidRDefault="00A902D0" w:rsidP="00216EFF">
      <w:pPr>
        <w:spacing w:line="360" w:lineRule="auto"/>
        <w:jc w:val="both"/>
        <w:rPr>
          <w:rFonts w:eastAsia="Arial" w:cs="Arial"/>
        </w:rPr>
      </w:pPr>
    </w:p>
    <w:p w14:paraId="28D0CC89" w14:textId="7264090B" w:rsidR="00216EFF" w:rsidRPr="00521DB2" w:rsidRDefault="00216EFF" w:rsidP="00216EFF">
      <w:pPr>
        <w:spacing w:line="360" w:lineRule="auto"/>
        <w:jc w:val="both"/>
        <w:rPr>
          <w:rFonts w:eastAsia="Arial" w:cs="Arial"/>
          <w:bCs/>
        </w:rPr>
      </w:pPr>
      <w:r w:rsidRPr="00521DB2">
        <w:rPr>
          <w:rFonts w:eastAsia="Arial" w:cs="Arial"/>
          <w:bCs/>
        </w:rPr>
        <w:t xml:space="preserve">CONSIDERAÇÕES </w:t>
      </w:r>
    </w:p>
    <w:p w14:paraId="7CB928AC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  <w:r w:rsidRPr="00187071">
        <w:rPr>
          <w:rFonts w:eastAsia="Arial" w:cs="Arial"/>
        </w:rPr>
        <w:lastRenderedPageBreak/>
        <w:t>Este estudo buscou compreender o papel do mercado municipal de Araçuaí como vetor de integração econômica e cultural, destacando sua relevância como espaço público de abastecimento, trocas simbólicas e articulação entre a agricultura familiar e o consumo urbano no semiárido mineiro. A partir de uma abordagem qualitativa baseada em observação direta e levantamento de dados institucionais, foi possível identificar elementos centrais que estruturam a dinâmica do mercado e seus desafios cotidianos.</w:t>
      </w:r>
    </w:p>
    <w:p w14:paraId="665A5AD3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</w:p>
    <w:p w14:paraId="335B32BC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  <w:r w:rsidRPr="00187071">
        <w:rPr>
          <w:rFonts w:eastAsia="Arial" w:cs="Arial"/>
        </w:rPr>
        <w:t>No eixo da infraestrutura e serviços, observou-se que, embora o mercado conte com abastecimento de água, esgotamento sanitário e gestão pública da limpeza e da vigilância, ainda enfrenta limitações estruturais, sobretudo em períodos de maior fluxo de pessoas. A atuação do poder público municipal é fundamental para a manutenção do espaço, mas revela também lacunas em termos de planejamento e sustentabilidade, especialmente diante das condições ambientais adversas da região.</w:t>
      </w:r>
    </w:p>
    <w:p w14:paraId="4CB62738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</w:p>
    <w:p w14:paraId="030B6FC8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  <w:r w:rsidRPr="00187071">
        <w:rPr>
          <w:rFonts w:eastAsia="Arial" w:cs="Arial"/>
        </w:rPr>
        <w:t>Em relação aos comerciantes, o mercado abriga uma diversidade de atores, desde produtores familiares até vendedores urbanos e ambulantes. A concessão dos boxes segue regras antigas, o que limita o acesso de novos produtores, ainda que a ocupação informal dos arredores nos fins de semana funcione como estratégia de ampliação da comercialização. A presença de políticas públicas como o Programa de Aquisição de Alimentos (PAA), o Programa Nacional de Alimentação Escolar (PNAE) e o Garantia-Safra se mostra relevante, mas de alcance restrito. Tais políticas, quando efetivamente acessadas, contribuem para a valorização dos produtos locais, o fortalecimento da segurança alimentar e a inserção econômica de agricultores familiares da região.</w:t>
      </w:r>
    </w:p>
    <w:p w14:paraId="68CBF65D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</w:p>
    <w:p w14:paraId="73B73C27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  <w:r w:rsidRPr="00187071">
        <w:rPr>
          <w:rFonts w:eastAsia="Arial" w:cs="Arial"/>
        </w:rPr>
        <w:lastRenderedPageBreak/>
        <w:t>Por fim, no que tange ao público atendido, o mercado se apresenta como um importante espaço de sociabilidade e convivência, onde práticas culturais e laços comunitários se renovam. A confluência de consumidores, produtores e visitantes, especialmente nos dias de feira, reforça o caráter multifuncional do mercado como lugar de memória, identidade e resistência social.</w:t>
      </w:r>
    </w:p>
    <w:p w14:paraId="578BAA5D" w14:textId="77777777" w:rsidR="00187071" w:rsidRPr="00187071" w:rsidRDefault="00187071" w:rsidP="00187071">
      <w:pPr>
        <w:spacing w:line="360" w:lineRule="auto"/>
        <w:jc w:val="both"/>
        <w:rPr>
          <w:rFonts w:eastAsia="Arial" w:cs="Arial"/>
        </w:rPr>
      </w:pPr>
    </w:p>
    <w:p w14:paraId="4F81AF00" w14:textId="241397EA" w:rsidR="00216EFF" w:rsidRDefault="00187071" w:rsidP="00187071">
      <w:pPr>
        <w:spacing w:line="360" w:lineRule="auto"/>
        <w:jc w:val="both"/>
        <w:rPr>
          <w:rFonts w:eastAsia="Arial" w:cs="Arial"/>
        </w:rPr>
      </w:pPr>
      <w:r w:rsidRPr="00187071">
        <w:rPr>
          <w:rFonts w:eastAsia="Arial" w:cs="Arial"/>
        </w:rPr>
        <w:t>Ao reunir comércio, cultura, políticas públicas e formas de gestão compartilhada do espaço urbano, o mercado municipal de Araçuaí expressa em escala local muitas das tensões e potencialidades que marcam os sistemas alimentares brasileiros. Sua análise contribui para refletir sobre o papel do Estado na mediação entre inclusão produtiva e organização territorial, e evidencia a urgência de políticas públicas sensíveis às especificidades socioeconômicas e ambientais dos territórios do semiárido.</w:t>
      </w:r>
    </w:p>
    <w:p w14:paraId="10660152" w14:textId="77777777" w:rsidR="00A902D0" w:rsidRPr="00216EFF" w:rsidRDefault="00A902D0" w:rsidP="00216EFF">
      <w:pPr>
        <w:spacing w:line="360" w:lineRule="auto"/>
        <w:jc w:val="both"/>
        <w:rPr>
          <w:rFonts w:eastAsia="Arial" w:cs="Arial"/>
        </w:rPr>
      </w:pPr>
    </w:p>
    <w:p w14:paraId="3D237921" w14:textId="77777777" w:rsidR="00216EFF" w:rsidRPr="00521DB2" w:rsidRDefault="00216EFF" w:rsidP="00216EFF">
      <w:pPr>
        <w:spacing w:line="360" w:lineRule="auto"/>
        <w:ind w:hanging="2"/>
        <w:jc w:val="both"/>
        <w:rPr>
          <w:rFonts w:eastAsia="Arial" w:cs="Arial"/>
          <w:bCs/>
          <w:color w:val="000000"/>
        </w:rPr>
      </w:pPr>
      <w:r w:rsidRPr="00521DB2">
        <w:rPr>
          <w:rFonts w:eastAsia="Arial" w:cs="Arial"/>
          <w:bCs/>
          <w:color w:val="000000"/>
          <w:highlight w:val="white"/>
        </w:rPr>
        <w:t>REFERÊNCIAS</w:t>
      </w:r>
    </w:p>
    <w:p w14:paraId="0B941DE2" w14:textId="522EF405" w:rsidR="00FE4617" w:rsidRDefault="00FE4617" w:rsidP="00A902D0">
      <w:pPr>
        <w:spacing w:line="360" w:lineRule="auto"/>
        <w:ind w:left="-2"/>
        <w:rPr>
          <w:rFonts w:eastAsia="Arial" w:cs="Arial"/>
          <w:color w:val="000000" w:themeColor="text1"/>
        </w:rPr>
      </w:pPr>
      <w:r w:rsidRPr="00FE4617">
        <w:rPr>
          <w:rFonts w:eastAsia="Arial" w:cs="Arial"/>
          <w:color w:val="000000" w:themeColor="text1"/>
        </w:rPr>
        <w:t xml:space="preserve">AGÊNCIA NACIONAL DE ÁGUAS </w:t>
      </w:r>
      <w:r w:rsidR="00217642">
        <w:rPr>
          <w:rFonts w:eastAsia="Arial" w:cs="Arial"/>
          <w:color w:val="000000" w:themeColor="text1"/>
        </w:rPr>
        <w:t xml:space="preserve">- </w:t>
      </w:r>
      <w:r w:rsidRPr="00FE4617">
        <w:rPr>
          <w:rFonts w:eastAsia="Arial" w:cs="Arial"/>
          <w:color w:val="000000" w:themeColor="text1"/>
        </w:rPr>
        <w:t xml:space="preserve">ANA. Bacias hidrográficas brasileiras: </w:t>
      </w:r>
      <w:r>
        <w:rPr>
          <w:rFonts w:eastAsia="Arial" w:cs="Arial"/>
          <w:color w:val="000000" w:themeColor="text1"/>
        </w:rPr>
        <w:t>E</w:t>
      </w:r>
      <w:r w:rsidRPr="00FE4617">
        <w:rPr>
          <w:rFonts w:eastAsia="Arial" w:cs="Arial"/>
          <w:color w:val="000000" w:themeColor="text1"/>
        </w:rPr>
        <w:t>studo de caso Araçuaí. Brasília: ANA, 2021.</w:t>
      </w:r>
    </w:p>
    <w:p w14:paraId="659A2BCC" w14:textId="5BF5C8A6" w:rsidR="00FE4617" w:rsidRDefault="00FE4617" w:rsidP="00A902D0">
      <w:pPr>
        <w:spacing w:line="360" w:lineRule="auto"/>
        <w:ind w:left="-2"/>
        <w:rPr>
          <w:rFonts w:eastAsia="Arial" w:cs="Arial"/>
          <w:color w:val="000000" w:themeColor="text1"/>
        </w:rPr>
      </w:pPr>
      <w:r w:rsidRPr="00FE4617">
        <w:rPr>
          <w:rFonts w:eastAsia="Arial" w:cs="Arial"/>
          <w:color w:val="000000" w:themeColor="text1"/>
        </w:rPr>
        <w:t xml:space="preserve">INSTITUTO NACIONAL DE METEOROLOGIA </w:t>
      </w:r>
      <w:r>
        <w:rPr>
          <w:rFonts w:eastAsia="Arial" w:cs="Arial"/>
          <w:color w:val="000000" w:themeColor="text1"/>
        </w:rPr>
        <w:t xml:space="preserve">- </w:t>
      </w:r>
      <w:r w:rsidRPr="00FE4617">
        <w:rPr>
          <w:rFonts w:eastAsia="Arial" w:cs="Arial"/>
          <w:color w:val="000000" w:themeColor="text1"/>
        </w:rPr>
        <w:t>INME</w:t>
      </w:r>
      <w:r>
        <w:rPr>
          <w:rFonts w:eastAsia="Arial" w:cs="Arial"/>
          <w:color w:val="000000" w:themeColor="text1"/>
        </w:rPr>
        <w:t>T</w:t>
      </w:r>
      <w:r w:rsidRPr="00FE4617">
        <w:rPr>
          <w:rFonts w:eastAsia="Arial" w:cs="Arial"/>
          <w:color w:val="000000" w:themeColor="text1"/>
        </w:rPr>
        <w:t>. Dados climáticos de Araçuaí. Brasília: INMET, 2022.</w:t>
      </w:r>
    </w:p>
    <w:p w14:paraId="7F1F722D" w14:textId="0349A290" w:rsidR="00FE4617" w:rsidRPr="00A902D0" w:rsidRDefault="00FE4617" w:rsidP="00A902D0">
      <w:pPr>
        <w:spacing w:line="360" w:lineRule="auto"/>
        <w:ind w:left="-2"/>
        <w:rPr>
          <w:rFonts w:eastAsia="Arial" w:cs="Arial"/>
          <w:color w:val="000000" w:themeColor="text1"/>
        </w:rPr>
      </w:pPr>
      <w:r w:rsidRPr="00FE4617">
        <w:rPr>
          <w:rFonts w:eastAsia="Arial" w:cs="Arial"/>
          <w:color w:val="000000" w:themeColor="text1"/>
        </w:rPr>
        <w:t xml:space="preserve">INSTITUTO BRASILEIRO DE GEOGRAFIA E ESTATÍSTICA </w:t>
      </w:r>
      <w:r>
        <w:rPr>
          <w:rFonts w:eastAsia="Arial" w:cs="Arial"/>
          <w:color w:val="000000" w:themeColor="text1"/>
        </w:rPr>
        <w:t xml:space="preserve">- </w:t>
      </w:r>
      <w:r w:rsidRPr="00FE4617">
        <w:rPr>
          <w:rFonts w:eastAsia="Arial" w:cs="Arial"/>
          <w:color w:val="000000" w:themeColor="text1"/>
        </w:rPr>
        <w:t>IBGE. Araçuaí: dados demográficos e socioeconômicos. Rio de Janeiro: IBGE, 2023.</w:t>
      </w:r>
    </w:p>
    <w:p w14:paraId="561EA1CB" w14:textId="0F5C9324" w:rsidR="00A902D0" w:rsidRPr="00A902D0" w:rsidRDefault="00860E23" w:rsidP="00A902D0">
      <w:pPr>
        <w:spacing w:line="360" w:lineRule="auto"/>
        <w:ind w:left="-2"/>
        <w:rPr>
          <w:rFonts w:eastAsia="Arial" w:cs="Arial"/>
          <w:color w:val="000000" w:themeColor="text1"/>
        </w:rPr>
      </w:pPr>
      <w:r w:rsidRPr="00FE4617">
        <w:rPr>
          <w:rFonts w:eastAsia="Arial" w:cs="Arial"/>
          <w:color w:val="000000" w:themeColor="text1"/>
        </w:rPr>
        <w:t>INSTITUTO BRASILEIRO DE GEOGRAFIA E ESTATÍSTICA</w:t>
      </w:r>
      <w:r w:rsidRPr="00A902D0">
        <w:rPr>
          <w:rFonts w:eastAsia="Arial" w:cs="Arial"/>
          <w:color w:val="000000" w:themeColor="text1"/>
        </w:rPr>
        <w:t xml:space="preserve"> </w:t>
      </w:r>
      <w:r>
        <w:rPr>
          <w:rFonts w:eastAsia="Arial" w:cs="Arial"/>
          <w:color w:val="000000" w:themeColor="text1"/>
        </w:rPr>
        <w:t xml:space="preserve">- </w:t>
      </w:r>
      <w:r w:rsidR="00A902D0" w:rsidRPr="00A902D0">
        <w:rPr>
          <w:rFonts w:eastAsia="Arial" w:cs="Arial"/>
          <w:color w:val="000000" w:themeColor="text1"/>
        </w:rPr>
        <w:t>IBGE. Indicadores sociais de Araçuaí. 2022.</w:t>
      </w:r>
    </w:p>
    <w:p w14:paraId="2524C182" w14:textId="3E352521" w:rsidR="00521DB2" w:rsidRDefault="00521DB2" w:rsidP="00521DB2">
      <w:pPr>
        <w:spacing w:line="360" w:lineRule="auto"/>
        <w:ind w:left="-2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LEITE</w:t>
      </w:r>
      <w:r w:rsidRPr="00521DB2">
        <w:rPr>
          <w:rFonts w:eastAsia="Arial" w:cs="Arial"/>
          <w:color w:val="000000" w:themeColor="text1"/>
        </w:rPr>
        <w:t>, Maria Laís dos Santos</w:t>
      </w:r>
      <w:r>
        <w:rPr>
          <w:rFonts w:eastAsia="Arial" w:cs="Arial"/>
          <w:color w:val="000000" w:themeColor="text1"/>
        </w:rPr>
        <w:t xml:space="preserve"> (Org.). </w:t>
      </w:r>
      <w:r w:rsidRPr="00521DB2">
        <w:rPr>
          <w:rFonts w:eastAsia="Arial" w:cs="Arial"/>
          <w:color w:val="000000" w:themeColor="text1"/>
        </w:rPr>
        <w:t>Políticas públicas, agricultura familiar e sustentabilidade</w:t>
      </w:r>
      <w:r>
        <w:rPr>
          <w:rFonts w:eastAsia="Arial" w:cs="Arial"/>
          <w:color w:val="000000" w:themeColor="text1"/>
        </w:rPr>
        <w:t>.</w:t>
      </w:r>
      <w:r w:rsidRPr="00521DB2">
        <w:rPr>
          <w:rFonts w:eastAsia="Arial" w:cs="Arial"/>
          <w:color w:val="000000" w:themeColor="text1"/>
        </w:rPr>
        <w:t xml:space="preserve"> Foz do Iguaçu:</w:t>
      </w:r>
      <w:r>
        <w:rPr>
          <w:rFonts w:eastAsia="Arial" w:cs="Arial"/>
          <w:color w:val="000000" w:themeColor="text1"/>
        </w:rPr>
        <w:t xml:space="preserve"> </w:t>
      </w:r>
      <w:r w:rsidRPr="00521DB2">
        <w:rPr>
          <w:rFonts w:eastAsia="Arial" w:cs="Arial"/>
          <w:color w:val="000000" w:themeColor="text1"/>
        </w:rPr>
        <w:t>CLAEC e-Books, 2021.</w:t>
      </w:r>
    </w:p>
    <w:p w14:paraId="216C1208" w14:textId="168C7302" w:rsidR="00A902D0" w:rsidRPr="00A902D0" w:rsidRDefault="00A902D0" w:rsidP="00A902D0">
      <w:pPr>
        <w:spacing w:line="360" w:lineRule="auto"/>
        <w:ind w:left="-2"/>
        <w:rPr>
          <w:rFonts w:eastAsia="Arial" w:cs="Arial"/>
          <w:color w:val="000000" w:themeColor="text1"/>
        </w:rPr>
      </w:pPr>
      <w:r w:rsidRPr="00A902D0">
        <w:rPr>
          <w:rFonts w:eastAsia="Arial" w:cs="Arial"/>
          <w:color w:val="000000" w:themeColor="text1"/>
        </w:rPr>
        <w:t xml:space="preserve">SANTOS, Milton. A natureza do espaço. São Paulo: </w:t>
      </w:r>
      <w:proofErr w:type="spellStart"/>
      <w:r w:rsidRPr="00A902D0">
        <w:rPr>
          <w:rFonts w:eastAsia="Arial" w:cs="Arial"/>
          <w:color w:val="000000" w:themeColor="text1"/>
        </w:rPr>
        <w:t>Hucitec</w:t>
      </w:r>
      <w:proofErr w:type="spellEnd"/>
      <w:r w:rsidRPr="00A902D0">
        <w:rPr>
          <w:rFonts w:eastAsia="Arial" w:cs="Arial"/>
          <w:color w:val="000000" w:themeColor="text1"/>
        </w:rPr>
        <w:t>, 1996.</w:t>
      </w:r>
    </w:p>
    <w:p w14:paraId="7A12CA73" w14:textId="22AF6A5B" w:rsidR="0053021A" w:rsidRDefault="0053021A">
      <w:pPr>
        <w:rPr>
          <w:rFonts w:eastAsia="Arial" w:cs="Arial"/>
          <w:color w:val="000000" w:themeColor="text1"/>
        </w:rPr>
      </w:pPr>
    </w:p>
    <w:p w14:paraId="3E8FF169" w14:textId="77777777" w:rsidR="00F57A72" w:rsidRDefault="00F57A72"/>
    <w:sectPr w:rsidR="00F57A72" w:rsidSect="0053021A"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54AF6" w14:textId="77777777" w:rsidR="00D537B6" w:rsidRDefault="00D537B6" w:rsidP="0027518C">
      <w:r>
        <w:separator/>
      </w:r>
    </w:p>
  </w:endnote>
  <w:endnote w:type="continuationSeparator" w:id="0">
    <w:p w14:paraId="03CBACF0" w14:textId="77777777" w:rsidR="00D537B6" w:rsidRDefault="00D537B6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panose1 w:val="020B0604020202020204"/>
    <w:charset w:val="4D"/>
    <w:family w:val="auto"/>
    <w:pitch w:val="variable"/>
    <w:sig w:usb0="A00000EF" w:usb1="0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6226C" w14:textId="4E227B22" w:rsidR="0027518C" w:rsidRDefault="0027518C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33BA4" w14:textId="77777777" w:rsidR="00D537B6" w:rsidRDefault="00D537B6" w:rsidP="0027518C">
      <w:r>
        <w:separator/>
      </w:r>
    </w:p>
  </w:footnote>
  <w:footnote w:type="continuationSeparator" w:id="0">
    <w:p w14:paraId="1D96BF3F" w14:textId="77777777" w:rsidR="00D537B6" w:rsidRDefault="00D537B6" w:rsidP="0027518C">
      <w:r>
        <w:continuationSeparator/>
      </w:r>
    </w:p>
  </w:footnote>
  <w:footnote w:id="1">
    <w:p w14:paraId="28D2DBAB" w14:textId="0DBE3961" w:rsidR="00B46B56" w:rsidRPr="00B46B56" w:rsidRDefault="00B46B56" w:rsidP="00F059F3">
      <w:pPr>
        <w:pStyle w:val="Textodenotaderodap"/>
        <w:jc w:val="both"/>
        <w:rPr>
          <w:rFonts w:asciiTheme="minorHAnsi" w:hAnsiTheme="minorHAnsi"/>
          <w:sz w:val="18"/>
          <w:szCs w:val="18"/>
        </w:rPr>
      </w:pPr>
      <w:r w:rsidRPr="00B46B56">
        <w:rPr>
          <w:rStyle w:val="Refdenotaderodap"/>
          <w:rFonts w:asciiTheme="minorHAnsi" w:hAnsiTheme="minorHAnsi"/>
          <w:sz w:val="18"/>
          <w:szCs w:val="18"/>
        </w:rPr>
        <w:footnoteRef/>
      </w:r>
      <w:r w:rsidR="006E1B59">
        <w:rPr>
          <w:rFonts w:asciiTheme="minorHAnsi" w:hAnsiTheme="minorHAnsi"/>
          <w:sz w:val="18"/>
          <w:szCs w:val="18"/>
        </w:rPr>
        <w:t xml:space="preserve"> </w:t>
      </w:r>
      <w:r w:rsidRPr="00B46B56">
        <w:rPr>
          <w:rFonts w:asciiTheme="minorHAnsi" w:hAnsiTheme="minorHAnsi"/>
          <w:sz w:val="18"/>
          <w:szCs w:val="18"/>
        </w:rPr>
        <w:t>Agradecimentos: Rede de Pesquisa do Semiárido Mineiro (RPENSAM) da Universidade Federal de Viçosa (UFV), com fomento da Fundação de Amparo à Pesquisa do Estado de Minas Gerais (</w:t>
      </w:r>
      <w:r w:rsidR="004300C6">
        <w:rPr>
          <w:rFonts w:asciiTheme="minorHAnsi" w:hAnsiTheme="minorHAnsi"/>
          <w:sz w:val="18"/>
          <w:szCs w:val="18"/>
        </w:rPr>
        <w:t>Fapemig</w:t>
      </w:r>
      <w:r w:rsidRPr="00B46B56">
        <w:rPr>
          <w:rFonts w:asciiTheme="minorHAnsi" w:hAnsiTheme="minorHAnsi"/>
          <w:sz w:val="18"/>
          <w:szCs w:val="18"/>
        </w:rPr>
        <w:t xml:space="preserve">), Edital 007/2021, processo RED-00155-21. </w:t>
      </w:r>
      <w:r w:rsidR="00D55222">
        <w:rPr>
          <w:rFonts w:asciiTheme="minorHAnsi" w:hAnsiTheme="minorHAnsi"/>
          <w:sz w:val="18"/>
          <w:szCs w:val="18"/>
        </w:rPr>
        <w:t xml:space="preserve">Programa de Pós-graduação Interdisciplinar em Estudos Rurais - </w:t>
      </w:r>
      <w:r w:rsidRPr="00B46B56">
        <w:rPr>
          <w:rFonts w:asciiTheme="minorHAnsi" w:hAnsiTheme="minorHAnsi"/>
          <w:sz w:val="18"/>
          <w:szCs w:val="18"/>
        </w:rPr>
        <w:t xml:space="preserve">PPGER/FIH e </w:t>
      </w:r>
      <w:r w:rsidR="00D55222">
        <w:rPr>
          <w:rFonts w:asciiTheme="minorHAnsi" w:hAnsiTheme="minorHAnsi"/>
          <w:sz w:val="18"/>
          <w:szCs w:val="18"/>
        </w:rPr>
        <w:t xml:space="preserve">Programa de Pós-graduação Interdisciplinar em Saúde, Sociedade e Ambiente - </w:t>
      </w:r>
      <w:r w:rsidRPr="00B46B56">
        <w:rPr>
          <w:rFonts w:asciiTheme="minorHAnsi" w:hAnsiTheme="minorHAnsi"/>
          <w:sz w:val="18"/>
          <w:szCs w:val="18"/>
        </w:rPr>
        <w:t>PPGSaSA/FCBS</w:t>
      </w:r>
      <w:r w:rsidR="00D55222">
        <w:rPr>
          <w:rFonts w:asciiTheme="minorHAnsi" w:hAnsiTheme="minorHAnsi"/>
          <w:sz w:val="18"/>
          <w:szCs w:val="18"/>
        </w:rPr>
        <w:t xml:space="preserve"> da </w:t>
      </w:r>
      <w:r w:rsidRPr="00B46B56">
        <w:rPr>
          <w:rFonts w:asciiTheme="minorHAnsi" w:hAnsiTheme="minorHAnsi"/>
          <w:sz w:val="18"/>
          <w:szCs w:val="18"/>
        </w:rPr>
        <w:t>UFVJM.</w:t>
      </w:r>
    </w:p>
  </w:footnote>
  <w:footnote w:id="2">
    <w:p w14:paraId="6DBA78B4" w14:textId="2F6CF4CA" w:rsidR="00216EFF" w:rsidRPr="00B46B56" w:rsidRDefault="00216EFF" w:rsidP="00F059F3">
      <w:pPr>
        <w:pStyle w:val="Textodenotaderodap"/>
        <w:jc w:val="both"/>
        <w:rPr>
          <w:rFonts w:asciiTheme="minorHAnsi" w:hAnsiTheme="minorHAnsi"/>
          <w:sz w:val="18"/>
          <w:szCs w:val="18"/>
          <w:lang w:val="pt-BR"/>
        </w:rPr>
      </w:pPr>
      <w:r w:rsidRPr="00B46B56">
        <w:rPr>
          <w:rStyle w:val="Refdenotaderodap"/>
          <w:rFonts w:asciiTheme="minorHAnsi" w:hAnsiTheme="minorHAnsi"/>
          <w:sz w:val="18"/>
          <w:szCs w:val="18"/>
        </w:rPr>
        <w:footnoteRef/>
      </w:r>
      <w:r w:rsidR="006E1B59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B46B56">
        <w:rPr>
          <w:rFonts w:asciiTheme="minorHAnsi" w:hAnsiTheme="minorHAnsi"/>
          <w:sz w:val="18"/>
          <w:szCs w:val="18"/>
        </w:rPr>
        <w:t>JequiVale</w:t>
      </w:r>
      <w:proofErr w:type="spellEnd"/>
      <w:r w:rsidR="00B46B56">
        <w:rPr>
          <w:rFonts w:asciiTheme="minorHAnsi" w:hAnsiTheme="minorHAnsi"/>
          <w:sz w:val="18"/>
          <w:szCs w:val="18"/>
        </w:rPr>
        <w:t xml:space="preserve"> Organização Social, </w:t>
      </w:r>
      <w:r w:rsidR="00F059F3">
        <w:rPr>
          <w:rFonts w:asciiTheme="minorHAnsi" w:hAnsiTheme="minorHAnsi"/>
          <w:sz w:val="18"/>
          <w:szCs w:val="18"/>
        </w:rPr>
        <w:t>PPGSaSA</w:t>
      </w:r>
      <w:r w:rsidR="00D55222">
        <w:rPr>
          <w:rFonts w:asciiTheme="minorHAnsi" w:hAnsiTheme="minorHAnsi"/>
          <w:sz w:val="18"/>
          <w:szCs w:val="18"/>
        </w:rPr>
        <w:t>/FCBS</w:t>
      </w:r>
      <w:r w:rsidR="00F059F3">
        <w:rPr>
          <w:rFonts w:asciiTheme="minorHAnsi" w:hAnsiTheme="minorHAnsi"/>
          <w:sz w:val="18"/>
          <w:szCs w:val="18"/>
        </w:rPr>
        <w:t xml:space="preserve">, </w:t>
      </w:r>
      <w:r w:rsidR="006C0826" w:rsidRPr="00B46B56">
        <w:rPr>
          <w:rFonts w:asciiTheme="minorHAnsi" w:eastAsia="Arial" w:hAnsiTheme="minorHAnsi" w:cs="Arial"/>
          <w:sz w:val="18"/>
          <w:szCs w:val="18"/>
        </w:rPr>
        <w:t xml:space="preserve">Bolsista </w:t>
      </w:r>
      <w:r w:rsidR="00AF4FDA" w:rsidRPr="00B46B56">
        <w:rPr>
          <w:rFonts w:asciiTheme="minorHAnsi" w:eastAsia="Arial" w:hAnsiTheme="minorHAnsi" w:cs="Arial"/>
          <w:sz w:val="18"/>
          <w:szCs w:val="18"/>
        </w:rPr>
        <w:t xml:space="preserve">de </w:t>
      </w:r>
      <w:r w:rsidR="006C0826" w:rsidRPr="00B46B56">
        <w:rPr>
          <w:rFonts w:asciiTheme="minorHAnsi" w:eastAsia="Arial" w:hAnsiTheme="minorHAnsi" w:cs="Arial"/>
          <w:sz w:val="18"/>
          <w:szCs w:val="18"/>
        </w:rPr>
        <w:t>Apoio Técnico Fapemig,</w:t>
      </w:r>
      <w:r w:rsidRPr="00B46B56">
        <w:rPr>
          <w:rFonts w:asciiTheme="minorHAnsi" w:eastAsia="Arial" w:hAnsiTheme="minorHAnsi" w:cs="Arial"/>
          <w:sz w:val="18"/>
          <w:szCs w:val="18"/>
        </w:rPr>
        <w:t xml:space="preserve"> </w:t>
      </w:r>
      <w:hyperlink r:id="rId1" w:history="1">
        <w:r w:rsidR="00B86AA8" w:rsidRPr="00B46B56">
          <w:rPr>
            <w:rStyle w:val="Hyperlink"/>
            <w:rFonts w:asciiTheme="minorHAnsi" w:hAnsiTheme="minorHAnsi"/>
            <w:sz w:val="18"/>
            <w:szCs w:val="18"/>
          </w:rPr>
          <w:t>pedro.godoy@ufvjm.edu.br</w:t>
        </w:r>
      </w:hyperlink>
      <w:r w:rsidR="00B86AA8" w:rsidRPr="00B46B56">
        <w:rPr>
          <w:rFonts w:asciiTheme="minorHAnsi" w:hAnsiTheme="minorHAnsi"/>
          <w:sz w:val="18"/>
          <w:szCs w:val="18"/>
        </w:rPr>
        <w:t xml:space="preserve"> </w:t>
      </w:r>
    </w:p>
  </w:footnote>
  <w:footnote w:id="3">
    <w:p w14:paraId="5A07A794" w14:textId="31167AAC" w:rsidR="00187071" w:rsidRDefault="004D51F3" w:rsidP="00F059F3">
      <w:pPr>
        <w:pStyle w:val="Textodenotaderodap"/>
        <w:jc w:val="both"/>
        <w:rPr>
          <w:rFonts w:asciiTheme="minorHAnsi" w:hAnsiTheme="minorHAnsi"/>
          <w:sz w:val="18"/>
          <w:szCs w:val="18"/>
        </w:rPr>
      </w:pPr>
      <w:r>
        <w:rPr>
          <w:rStyle w:val="Refdenotaderodap"/>
          <w:rFonts w:asciiTheme="minorHAnsi" w:hAnsiTheme="minorHAnsi"/>
          <w:sz w:val="18"/>
          <w:szCs w:val="18"/>
        </w:rPr>
        <w:t>3</w:t>
      </w:r>
      <w:r w:rsidR="006E1B59">
        <w:rPr>
          <w:rFonts w:asciiTheme="minorHAnsi" w:hAnsi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sz w:val="18"/>
          <w:szCs w:val="18"/>
        </w:rPr>
        <w:t>JequiVale</w:t>
      </w:r>
      <w:proofErr w:type="spellEnd"/>
      <w:r>
        <w:rPr>
          <w:rFonts w:asciiTheme="minorHAnsi" w:hAnsiTheme="minorHAnsi"/>
          <w:sz w:val="18"/>
          <w:szCs w:val="18"/>
        </w:rPr>
        <w:t xml:space="preserve"> Organização Social</w:t>
      </w:r>
      <w:r>
        <w:rPr>
          <w:rFonts w:asciiTheme="minorHAnsi" w:hAnsiTheme="minorHAnsi"/>
          <w:sz w:val="18"/>
          <w:szCs w:val="18"/>
        </w:rPr>
        <w:t>,</w:t>
      </w:r>
      <w:r w:rsidR="00AF4FDA" w:rsidRPr="00B46B56">
        <w:rPr>
          <w:rFonts w:asciiTheme="minorHAnsi" w:hAnsiTheme="minorHAnsi"/>
          <w:sz w:val="18"/>
          <w:szCs w:val="18"/>
        </w:rPr>
        <w:t xml:space="preserve"> </w:t>
      </w:r>
      <w:r w:rsidR="00D55222">
        <w:rPr>
          <w:rFonts w:asciiTheme="minorHAnsi" w:hAnsiTheme="minorHAnsi"/>
          <w:sz w:val="18"/>
          <w:szCs w:val="18"/>
        </w:rPr>
        <w:t xml:space="preserve">PPGER/FIH, PPGSaSA/FCBS, </w:t>
      </w:r>
      <w:r w:rsidR="00AF4FDA" w:rsidRPr="00B46B56">
        <w:rPr>
          <w:rFonts w:asciiTheme="minorHAnsi" w:hAnsiTheme="minorHAnsi"/>
          <w:sz w:val="18"/>
          <w:szCs w:val="18"/>
        </w:rPr>
        <w:t>UFVJM</w:t>
      </w:r>
      <w:r w:rsidR="00B46B56">
        <w:rPr>
          <w:rFonts w:asciiTheme="minorHAnsi" w:hAnsiTheme="minorHAnsi"/>
          <w:sz w:val="18"/>
          <w:szCs w:val="18"/>
        </w:rPr>
        <w:t xml:space="preserve">. </w:t>
      </w:r>
      <w:r w:rsidR="006E1B59">
        <w:rPr>
          <w:rFonts w:asciiTheme="minorHAnsi" w:hAnsiTheme="minorHAnsi"/>
          <w:sz w:val="18"/>
          <w:szCs w:val="18"/>
        </w:rPr>
        <w:fldChar w:fldCharType="begin"/>
      </w:r>
      <w:r w:rsidR="006E1B59">
        <w:rPr>
          <w:rFonts w:asciiTheme="minorHAnsi" w:hAnsiTheme="minorHAnsi"/>
          <w:sz w:val="18"/>
          <w:szCs w:val="18"/>
        </w:rPr>
        <w:instrText xml:space="preserve"> HYPERLINK "mailto:</w:instrText>
      </w:r>
      <w:r w:rsidR="006E1B59" w:rsidRPr="006E1B59">
        <w:rPr>
          <w:rFonts w:asciiTheme="minorHAnsi" w:hAnsiTheme="minorHAnsi"/>
          <w:sz w:val="18"/>
          <w:szCs w:val="18"/>
        </w:rPr>
        <w:instrText>marivascarvalhoapa@yahoo.com.br</w:instrText>
      </w:r>
      <w:r w:rsidR="006E1B59">
        <w:rPr>
          <w:rFonts w:asciiTheme="minorHAnsi" w:hAnsiTheme="minorHAnsi"/>
          <w:sz w:val="18"/>
          <w:szCs w:val="18"/>
        </w:rPr>
        <w:instrText xml:space="preserve">" </w:instrText>
      </w:r>
      <w:r w:rsidR="006E1B59">
        <w:rPr>
          <w:rFonts w:asciiTheme="minorHAnsi" w:hAnsiTheme="minorHAnsi"/>
          <w:sz w:val="18"/>
          <w:szCs w:val="18"/>
        </w:rPr>
        <w:fldChar w:fldCharType="separate"/>
      </w:r>
      <w:r w:rsidR="006E1B59" w:rsidRPr="00EF4F64">
        <w:rPr>
          <w:rStyle w:val="Hyperlink"/>
          <w:rFonts w:asciiTheme="minorHAnsi" w:hAnsiTheme="minorHAnsi"/>
          <w:sz w:val="18"/>
          <w:szCs w:val="18"/>
        </w:rPr>
        <w:t>marivascarvalhoapa@yahoo.com.br</w:t>
      </w:r>
      <w:r w:rsidR="006E1B59">
        <w:rPr>
          <w:rFonts w:asciiTheme="minorHAnsi" w:hAnsiTheme="minorHAnsi"/>
          <w:sz w:val="18"/>
          <w:szCs w:val="18"/>
        </w:rPr>
        <w:fldChar w:fldCharType="end"/>
      </w:r>
    </w:p>
    <w:p w14:paraId="2D885410" w14:textId="4B440002" w:rsidR="004D51F3" w:rsidRPr="00B46B56" w:rsidRDefault="004D51F3" w:rsidP="00F059F3">
      <w:pPr>
        <w:pStyle w:val="Textodenotaderodap"/>
        <w:jc w:val="both"/>
        <w:rPr>
          <w:rFonts w:asciiTheme="minorHAnsi" w:eastAsia="Arial" w:hAnsiTheme="minorHAnsi" w:cs="Arial"/>
          <w:sz w:val="18"/>
          <w:szCs w:val="18"/>
        </w:rPr>
      </w:pPr>
      <w:r>
        <w:rPr>
          <w:rStyle w:val="Refdenotaderodap"/>
          <w:rFonts w:asciiTheme="minorHAnsi" w:hAnsiTheme="minorHAnsi"/>
          <w:sz w:val="18"/>
          <w:szCs w:val="18"/>
        </w:rPr>
        <w:t>4</w:t>
      </w:r>
      <w:r w:rsidR="006E1B59">
        <w:rPr>
          <w:rFonts w:asciiTheme="minorHAnsi" w:hAnsiTheme="minorHAnsi"/>
          <w:sz w:val="18"/>
          <w:szCs w:val="18"/>
        </w:rPr>
        <w:t xml:space="preserve"> </w:t>
      </w:r>
      <w:r w:rsidR="00D55222">
        <w:rPr>
          <w:rFonts w:asciiTheme="minorHAnsi" w:hAnsiTheme="minorHAnsi"/>
          <w:sz w:val="18"/>
          <w:szCs w:val="18"/>
        </w:rPr>
        <w:t>PPGER/FIH, PPGSaSA/FCBS</w:t>
      </w:r>
      <w:r>
        <w:rPr>
          <w:rFonts w:asciiTheme="minorHAnsi" w:hAnsiTheme="minorHAnsi"/>
          <w:sz w:val="18"/>
          <w:szCs w:val="18"/>
        </w:rPr>
        <w:t>,</w:t>
      </w:r>
      <w:r w:rsidRPr="00B46B56">
        <w:rPr>
          <w:rFonts w:asciiTheme="minorHAnsi" w:hAnsiTheme="minorHAnsi"/>
          <w:sz w:val="18"/>
          <w:szCs w:val="18"/>
        </w:rPr>
        <w:t xml:space="preserve"> UFVJM</w:t>
      </w:r>
      <w:r>
        <w:rPr>
          <w:rFonts w:asciiTheme="minorHAnsi" w:hAnsiTheme="minorHAnsi"/>
          <w:sz w:val="18"/>
          <w:szCs w:val="18"/>
        </w:rPr>
        <w:t xml:space="preserve">. </w:t>
      </w:r>
      <w:hyperlink r:id="rId2" w:history="1">
        <w:r w:rsidR="00D55222" w:rsidRPr="00EF4F64">
          <w:rPr>
            <w:rStyle w:val="Hyperlink"/>
            <w:rFonts w:asciiTheme="minorHAnsi" w:hAnsiTheme="minorHAnsi"/>
            <w:sz w:val="18"/>
            <w:szCs w:val="18"/>
          </w:rPr>
          <w:t>rosa.cambraia@ufvjm.edu.br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D1F37"/>
    <w:multiLevelType w:val="hybridMultilevel"/>
    <w:tmpl w:val="6BB096B4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24D82922"/>
    <w:multiLevelType w:val="hybridMultilevel"/>
    <w:tmpl w:val="6B9CCCA0"/>
    <w:lvl w:ilvl="0" w:tplc="A92ED94A">
      <w:numFmt w:val="bullet"/>
      <w:lvlText w:val=""/>
      <w:lvlJc w:val="left"/>
      <w:pPr>
        <w:ind w:left="358" w:hanging="360"/>
      </w:pPr>
      <w:rPr>
        <w:rFonts w:ascii="Trebuchet MS" w:eastAsia="Arial" w:hAnsi="Trebuchet MS" w:cs="Arial" w:hint="default"/>
      </w:rPr>
    </w:lvl>
    <w:lvl w:ilvl="1" w:tplc="0416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00641"/>
    <w:rsid w:val="0003139B"/>
    <w:rsid w:val="000E6170"/>
    <w:rsid w:val="001327DD"/>
    <w:rsid w:val="00187071"/>
    <w:rsid w:val="00216EFF"/>
    <w:rsid w:val="00217642"/>
    <w:rsid w:val="0027518C"/>
    <w:rsid w:val="00295FBE"/>
    <w:rsid w:val="002B2423"/>
    <w:rsid w:val="002E72AD"/>
    <w:rsid w:val="0030145F"/>
    <w:rsid w:val="0032757F"/>
    <w:rsid w:val="0038466A"/>
    <w:rsid w:val="004300C6"/>
    <w:rsid w:val="00446BB2"/>
    <w:rsid w:val="004723B3"/>
    <w:rsid w:val="004906DE"/>
    <w:rsid w:val="004D51F3"/>
    <w:rsid w:val="00507B98"/>
    <w:rsid w:val="00516A38"/>
    <w:rsid w:val="00521DB2"/>
    <w:rsid w:val="0053021A"/>
    <w:rsid w:val="005D1DFE"/>
    <w:rsid w:val="00634370"/>
    <w:rsid w:val="00680A10"/>
    <w:rsid w:val="00692EEB"/>
    <w:rsid w:val="006C0826"/>
    <w:rsid w:val="006E1B59"/>
    <w:rsid w:val="00733AFB"/>
    <w:rsid w:val="00757F24"/>
    <w:rsid w:val="007647DC"/>
    <w:rsid w:val="00860E23"/>
    <w:rsid w:val="008D5098"/>
    <w:rsid w:val="008E7A76"/>
    <w:rsid w:val="0092007D"/>
    <w:rsid w:val="00934534"/>
    <w:rsid w:val="009535F2"/>
    <w:rsid w:val="009623CC"/>
    <w:rsid w:val="00A07206"/>
    <w:rsid w:val="00A7283D"/>
    <w:rsid w:val="00A902D0"/>
    <w:rsid w:val="00AF4FDA"/>
    <w:rsid w:val="00B46B56"/>
    <w:rsid w:val="00B61734"/>
    <w:rsid w:val="00B86AA8"/>
    <w:rsid w:val="00D31A9F"/>
    <w:rsid w:val="00D46408"/>
    <w:rsid w:val="00D5001B"/>
    <w:rsid w:val="00D537B6"/>
    <w:rsid w:val="00D55222"/>
    <w:rsid w:val="00D64387"/>
    <w:rsid w:val="00F059F3"/>
    <w:rsid w:val="00F57A72"/>
    <w:rsid w:val="00F733A0"/>
    <w:rsid w:val="00FE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8707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8707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D51F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5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rosa.cambraia@ufvjm.edu.br" TargetMode="External"/><Relationship Id="rId1" Type="http://schemas.openxmlformats.org/officeDocument/2006/relationships/hyperlink" Target="mailto:pedro.godoy@ufvjm.edu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F247CD-6D8B-2C40-BB9F-83FC0926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12</Pages>
  <Words>2692</Words>
  <Characters>14539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17197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RPC</cp:lastModifiedBy>
  <cp:revision>24</cp:revision>
  <dcterms:created xsi:type="dcterms:W3CDTF">2025-04-21T19:03:00Z</dcterms:created>
  <dcterms:modified xsi:type="dcterms:W3CDTF">2025-04-27T21:20:00Z</dcterms:modified>
</cp:coreProperties>
</file>