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1357" w:firstLine="0"/>
        <w:rPr>
          <w:color w:val="000000"/>
        </w:rPr>
      </w:pPr>
      <w:r w:rsidDel="00000000" w:rsidR="00000000" w:rsidRPr="00000000">
        <w:rPr>
          <w:color w:val="000000"/>
        </w:rPr>
        <w:drawing>
          <wp:inline distB="19050" distT="19050" distL="19050" distR="19050">
            <wp:extent cx="3790950" cy="1560142"/>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790950" cy="156014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CENTRO UNIVERSITÁRIO DE PATOS – UNIFIP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35" w:line="240" w:lineRule="auto"/>
        <w:ind w:right="975"/>
        <w:jc w:val="right"/>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3° CONGRESSO NACIONAL DE NUTRIÇÃO E SAÚDE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35" w:line="229" w:lineRule="auto"/>
        <w:ind w:left="16" w:right="28" w:firstLine="71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35" w:line="229" w:lineRule="auto"/>
        <w:ind w:left="16" w:right="28" w:firstLine="71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35" w:line="229" w:lineRule="auto"/>
        <w:ind w:left="16" w:right="28" w:firstLine="71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35" w:line="229" w:lineRule="auto"/>
        <w:ind w:left="16" w:right="28" w:firstLine="71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35" w:line="229" w:lineRule="auto"/>
        <w:ind w:left="16" w:right="28" w:firstLine="71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29" w:lineRule="auto"/>
        <w:ind w:left="55" w:right="54"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RELAÇÃO ENTRE ESTRESSE CRÔNICO E O COMPORTAMENTO ALIMENTAR EMOCIONAL EM MULHERES</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521" w:line="360" w:lineRule="auto"/>
        <w:ind w:left="10" w:right="3" w:firstLine="0"/>
        <w:jc w:val="center"/>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u w:val="single"/>
          <w:rtl w:val="0"/>
        </w:rPr>
        <w:t xml:space="preserve">Sara Hellen Formiga da Costa</w:t>
      </w:r>
      <w:r w:rsidDel="00000000" w:rsidR="00000000" w:rsidRPr="00000000">
        <w:rPr>
          <w:rFonts w:ascii="Times New Roman" w:cs="Times New Roman" w:eastAsia="Times New Roman" w:hAnsi="Times New Roman"/>
          <w:color w:val="000000"/>
          <w:sz w:val="24"/>
          <w:szCs w:val="24"/>
          <w:vertAlign w:val="superscript"/>
          <w:rtl w:val="0"/>
        </w:rPr>
        <w:t xml:space="preserve">1</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José Rômulo Brito de Medeiros Guedes</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Maria Luísa Formiga Bezerra</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Maria Eduarda Lacerda Mororó</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color w:val="000000"/>
          <w:sz w:val="24"/>
          <w:szCs w:val="24"/>
          <w:rtl w:val="0"/>
        </w:rPr>
        <w:t xml:space="preserve">; Christiane Leite Cavalcanti</w:t>
      </w:r>
      <w:r w:rsidDel="00000000" w:rsidR="00000000" w:rsidRPr="00000000">
        <w:rPr>
          <w:rFonts w:ascii="Times New Roman" w:cs="Times New Roman" w:eastAsia="Times New Roman" w:hAnsi="Times New Roman"/>
          <w:sz w:val="24"/>
          <w:szCs w:val="24"/>
          <w:vertAlign w:val="superscript"/>
          <w:rtl w:val="0"/>
        </w:rPr>
        <w:t xml:space="preserve">2</w:t>
      </w:r>
    </w:p>
    <w:p w:rsidR="00000000" w:rsidDel="00000000" w:rsidP="00000000" w:rsidRDefault="00000000" w:rsidRPr="00000000" w14:paraId="0000000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Discentes do Centro Universitário de Patos – UNIFIP, Patos, Paraíba, Brasil.</w:t>
      </w:r>
    </w:p>
    <w:p w:rsidR="00000000" w:rsidDel="00000000" w:rsidP="00000000" w:rsidRDefault="00000000" w:rsidRPr="00000000" w14:paraId="0000000C">
      <w:pPr>
        <w:spacing w:line="360" w:lineRule="auto"/>
        <w:jc w:val="center"/>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Docente do Centro Universitário de Patos – UNIFIP, Patos, Paraíba, Brasil.</w:t>
      </w:r>
      <w:r w:rsidDel="00000000" w:rsidR="00000000" w:rsidRPr="00000000">
        <w:rPr>
          <w:rtl w:val="0"/>
        </w:rPr>
      </w:r>
    </w:p>
    <w:p w:rsidR="00000000" w:rsidDel="00000000" w:rsidP="00000000" w:rsidRDefault="00000000" w:rsidRPr="00000000" w14:paraId="0000000D">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saraformiga30@gmail.com</w:t>
      </w:r>
      <w:r w:rsidDel="00000000" w:rsidR="00000000" w:rsidRPr="00000000">
        <w:rPr>
          <w:rtl w:val="0"/>
        </w:rPr>
      </w:r>
    </w:p>
    <w:p w:rsidR="00000000" w:rsidDel="00000000" w:rsidP="00000000" w:rsidRDefault="00000000" w:rsidRPr="00000000" w14:paraId="0000000E">
      <w:pPr>
        <w:spacing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Introdução: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O comportamento alimentar é influenciado por fatores fisiológicos e emocionais, sendo o estresse crônico um dos principais determinantes de alterações nos hábitos alimentares, especialmente em mulheres. Estudos apontam que níveis elevados de cortisol e de hormônios relacionados ao apetite, como grelina, leptina e insulina, estão associados ao aumento de desejos alimentares e ao ganho de peso em mulheres adultas. Ademais, a propensão a alimentação emocional pode intensificar o consumo de alimentos reconfortantes, geralmente ricos em gorduras e açúcares, como estratégia para lidar com o estresse. Desta forma, a interação entre fatores hormonais e emocionais contribui para padrões alimentares que podem favorecer o aumento ponderal, evidenciando a importância da compreensão destes mecanismos para o desenvolvimento de estratégias nutricionais eficazes. </w:t>
      </w:r>
      <w:r w:rsidDel="00000000" w:rsidR="00000000" w:rsidRPr="00000000">
        <w:rPr>
          <w:rFonts w:ascii="Times New Roman" w:cs="Times New Roman" w:eastAsia="Times New Roman" w:hAnsi="Times New Roman"/>
          <w:b w:val="1"/>
          <w:color w:val="000000"/>
          <w:sz w:val="24"/>
          <w:szCs w:val="24"/>
          <w:rtl w:val="0"/>
        </w:rPr>
        <w:t xml:space="preserve">Objetivo: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Investigar a relação entre estresse crônico e o comportamento alimentar emocional em mulheres. </w:t>
      </w:r>
      <w:r w:rsidDel="00000000" w:rsidR="00000000" w:rsidRPr="00000000">
        <w:rPr>
          <w:rFonts w:ascii="Times New Roman" w:cs="Times New Roman" w:eastAsia="Times New Roman" w:hAnsi="Times New Roman"/>
          <w:b w:val="1"/>
          <w:color w:val="000000"/>
          <w:sz w:val="24"/>
          <w:szCs w:val="24"/>
          <w:rtl w:val="0"/>
        </w:rPr>
        <w:t xml:space="preserve">Material e Métodos: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Tratou-se de uma revisão bibliográfica, realizada na base de dados da PubMed, utilizando os seguintes descritores: estresse, alimentação emocional e mulheres. Foram incluídos artigos publicados no período de 2017 e 2025, nos idiomas português e inglês, que abordaram os impactos do estresse crônico na alimentação das mulheres. Foram excluídos os estudos duplicados, incompletos ou realizados em animais. Após a aplicação destes critérios, foram selecionados 4 artigos que foram usados para a produção do presente trabalho</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Resultados e Discussão: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Os estudos apontam que mulheres expostas a níveis elevados de estresse crônico apresentaram um maior aumento de desejos alimentares e maior propensão a alimentação emocional, especialmente os alimentos altamente palatáveis e calóricos. A ativação do eixo hipotálamo-hipófise-adrenal, com aumento da secreção de cortisol, parece intensificar o valor recompensador dos alimentos, contribuindo para a ingestão excessiva e possível ganho de peso. Além disso, hormônios relacionados ao apetite, como grelina, leptina e insulina, mostraram associações com padrões de alimentação emocional, sugerindo que tanto os fatores fisiológicos quanto os emocionais atuam de forma interdependente na regulação do comportamento alimentar em mulheres. Desta forma, estudos propõem que sejam incluídas a integração de </w:t>
      </w:r>
      <w:r w:rsidDel="00000000" w:rsidR="00000000" w:rsidRPr="00000000">
        <w:rPr>
          <w:rFonts w:ascii="Times New Roman" w:cs="Times New Roman" w:eastAsia="Times New Roman" w:hAnsi="Times New Roman"/>
          <w:color w:val="000000"/>
          <w:sz w:val="24"/>
          <w:szCs w:val="24"/>
          <w:rtl w:val="0"/>
        </w:rPr>
        <w:t xml:space="preserve">intervenções que trabalhem o controle da regulação emocional, como abordagens psicológicas ou técnicas terapêuticas, associadas </w:t>
      </w:r>
      <w:r w:rsidDel="00000000" w:rsidR="00000000" w:rsidRPr="00000000">
        <w:rPr>
          <w:rFonts w:ascii="Times New Roman" w:cs="Times New Roman" w:eastAsia="Times New Roman" w:hAnsi="Times New Roman"/>
          <w:sz w:val="24"/>
          <w:szCs w:val="24"/>
          <w:rtl w:val="0"/>
        </w:rPr>
        <w:t xml:space="preserve">às estratégias</w:t>
      </w:r>
      <w:r w:rsidDel="00000000" w:rsidR="00000000" w:rsidRPr="00000000">
        <w:rPr>
          <w:rFonts w:ascii="Times New Roman" w:cs="Times New Roman" w:eastAsia="Times New Roman" w:hAnsi="Times New Roman"/>
          <w:color w:val="000000"/>
          <w:sz w:val="24"/>
          <w:szCs w:val="24"/>
          <w:rtl w:val="0"/>
        </w:rPr>
        <w:t xml:space="preserve"> nutricionais que incluam a análise de comportamento alimentar, </w:t>
      </w:r>
      <w:r w:rsidDel="00000000" w:rsidR="00000000" w:rsidRPr="00000000">
        <w:rPr>
          <w:rFonts w:ascii="Times New Roman" w:cs="Times New Roman" w:eastAsia="Times New Roman" w:hAnsi="Times New Roman"/>
          <w:sz w:val="24"/>
          <w:szCs w:val="24"/>
          <w:rtl w:val="0"/>
        </w:rPr>
        <w:t xml:space="preserve">a fim</w:t>
      </w:r>
      <w:r w:rsidDel="00000000" w:rsidR="00000000" w:rsidRPr="00000000">
        <w:rPr>
          <w:rFonts w:ascii="Times New Roman" w:cs="Times New Roman" w:eastAsia="Times New Roman" w:hAnsi="Times New Roman"/>
          <w:color w:val="000000"/>
          <w:sz w:val="24"/>
          <w:szCs w:val="24"/>
          <w:rtl w:val="0"/>
        </w:rPr>
        <w:t xml:space="preserve"> de compreender melhor a relação entre as emoções e a alimentação emocional, para que possa ser desenvolvidas intervenções mais assertivas e </w:t>
      </w:r>
      <w:r w:rsidDel="00000000" w:rsidR="00000000" w:rsidRPr="00000000">
        <w:rPr>
          <w:rFonts w:ascii="Times New Roman" w:cs="Times New Roman" w:eastAsia="Times New Roman" w:hAnsi="Times New Roman"/>
          <w:sz w:val="24"/>
          <w:szCs w:val="24"/>
          <w:rtl w:val="0"/>
        </w:rPr>
        <w:t xml:space="preserve">duradouras. </w:t>
      </w:r>
      <w:r w:rsidDel="00000000" w:rsidR="00000000" w:rsidRPr="00000000">
        <w:rPr>
          <w:rFonts w:ascii="Times New Roman" w:cs="Times New Roman" w:eastAsia="Times New Roman" w:hAnsi="Times New Roman"/>
          <w:b w:val="1"/>
          <w:color w:val="000000"/>
          <w:sz w:val="24"/>
          <w:szCs w:val="24"/>
          <w:rtl w:val="0"/>
        </w:rPr>
        <w:t xml:space="preserve">Conclusão: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Os resultados apontam que o estresse crônico influencia diretamente no comportamento alimentar emocional em mulheres, sendo mediado por fatores fisiológicos e emocionais. Desta forma, compreender esta relação é essencial para o desenvolvimento de abordagens multidisciplinares, que promovam intervenções que possam provocar mudanças no comportamento alimentar, na prevenção do excesso de peso e na promoção da saúde feminina.</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545"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Referências </w:t>
      </w:r>
    </w:p>
    <w:p w:rsidR="00000000" w:rsidDel="00000000" w:rsidP="00000000" w:rsidRDefault="00000000" w:rsidRPr="00000000" w14:paraId="00000011">
      <w:pPr>
        <w:widowControl w:val="0"/>
        <w:spacing w:after="240" w:before="24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CHAO, A. M. et al. Stress, cortisol, and other appetite-related hormones: Prospective prediction of 6-month changes in food cravings and weight. </w:t>
      </w:r>
      <w:r w:rsidDel="00000000" w:rsidR="00000000" w:rsidRPr="00000000">
        <w:rPr>
          <w:rFonts w:ascii="Times New Roman" w:cs="Times New Roman" w:eastAsia="Times New Roman" w:hAnsi="Times New Roman"/>
          <w:b w:val="1"/>
          <w:sz w:val="20"/>
          <w:szCs w:val="20"/>
          <w:rtl w:val="0"/>
        </w:rPr>
        <w:t xml:space="preserve">Obesity </w:t>
      </w:r>
      <w:r w:rsidDel="00000000" w:rsidR="00000000" w:rsidRPr="00000000">
        <w:rPr>
          <w:rFonts w:ascii="Times New Roman" w:cs="Times New Roman" w:eastAsia="Times New Roman" w:hAnsi="Times New Roman"/>
          <w:sz w:val="20"/>
          <w:szCs w:val="20"/>
          <w:rtl w:val="0"/>
        </w:rPr>
        <w:t xml:space="preserve">(Silver Spring, Md.), v. 25, n. 4, p. 713–720, 2017.</w:t>
      </w:r>
    </w:p>
    <w:p w:rsidR="00000000" w:rsidDel="00000000" w:rsidP="00000000" w:rsidRDefault="00000000" w:rsidRPr="00000000" w14:paraId="00000012">
      <w:pPr>
        <w:widowControl w:val="0"/>
        <w:spacing w:after="240" w:before="24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FONSECA, N. K. O. D. et al. Emotional eating in women with generalized anxiety disorder. Trends Psychiatry Psychother. v. 45:e20210399, 2023. Disponível em: </w:t>
      </w:r>
      <w:hyperlink r:id="rId8">
        <w:r w:rsidDel="00000000" w:rsidR="00000000" w:rsidRPr="00000000">
          <w:rPr>
            <w:rFonts w:ascii="Times New Roman" w:cs="Times New Roman" w:eastAsia="Times New Roman" w:hAnsi="Times New Roman"/>
            <w:color w:val="0000ff"/>
            <w:sz w:val="20"/>
            <w:szCs w:val="20"/>
            <w:u w:val="single"/>
            <w:rtl w:val="0"/>
          </w:rPr>
          <w:t xml:space="preserve">https://pmc.ncbi.nlm.nih.gov/articles/PMC10597384/</w:t>
        </w:r>
      </w:hyperlink>
      <w:r w:rsidDel="00000000" w:rsidR="00000000" w:rsidRPr="00000000">
        <w:rPr>
          <w:rFonts w:ascii="Times New Roman" w:cs="Times New Roman" w:eastAsia="Times New Roman" w:hAnsi="Times New Roman"/>
          <w:sz w:val="20"/>
          <w:szCs w:val="20"/>
          <w:rtl w:val="0"/>
        </w:rPr>
        <w:t xml:space="preserve">. Acessado em: 14 ago.2025.</w:t>
      </w:r>
    </w:p>
    <w:p w:rsidR="00000000" w:rsidDel="00000000" w:rsidP="00000000" w:rsidRDefault="00000000" w:rsidRPr="00000000" w14:paraId="00000013">
      <w:pPr>
        <w:widowControl w:val="0"/>
        <w:spacing w:after="240" w:before="24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VAN STRIEN, T. et al. Moderation of distress-induced eating by emotional eating scores. </w:t>
      </w:r>
      <w:r w:rsidDel="00000000" w:rsidR="00000000" w:rsidRPr="00000000">
        <w:rPr>
          <w:rFonts w:ascii="Times New Roman" w:cs="Times New Roman" w:eastAsia="Times New Roman" w:hAnsi="Times New Roman"/>
          <w:b w:val="1"/>
          <w:sz w:val="20"/>
          <w:szCs w:val="20"/>
          <w:rtl w:val="0"/>
        </w:rPr>
        <w:t xml:space="preserve">Appetite</w:t>
      </w:r>
      <w:r w:rsidDel="00000000" w:rsidR="00000000" w:rsidRPr="00000000">
        <w:rPr>
          <w:rFonts w:ascii="Times New Roman" w:cs="Times New Roman" w:eastAsia="Times New Roman" w:hAnsi="Times New Roman"/>
          <w:sz w:val="20"/>
          <w:szCs w:val="20"/>
          <w:rtl w:val="0"/>
        </w:rPr>
        <w:t xml:space="preserve">, v. 58, n. 1, p. 277–284, 2012.</w:t>
      </w:r>
    </w:p>
    <w:p w:rsidR="00000000" w:rsidDel="00000000" w:rsidP="00000000" w:rsidRDefault="00000000" w:rsidRPr="00000000" w14:paraId="00000014">
      <w:pPr>
        <w:widowControl w:val="0"/>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0"/>
          <w:szCs w:val="20"/>
          <w:rtl w:val="0"/>
        </w:rPr>
        <w:t xml:space="preserve">VAN STRIEN, T. et al. Is comfort food actually comforting for emotional eaters? A (moderated) mediation analysis. </w:t>
      </w:r>
      <w:r w:rsidDel="00000000" w:rsidR="00000000" w:rsidRPr="00000000">
        <w:rPr>
          <w:rFonts w:ascii="Times New Roman" w:cs="Times New Roman" w:eastAsia="Times New Roman" w:hAnsi="Times New Roman"/>
          <w:b w:val="1"/>
          <w:sz w:val="20"/>
          <w:szCs w:val="20"/>
          <w:rtl w:val="0"/>
        </w:rPr>
        <w:t xml:space="preserve">Physiology &amp; behavior,</w:t>
      </w:r>
      <w:r w:rsidDel="00000000" w:rsidR="00000000" w:rsidRPr="00000000">
        <w:rPr>
          <w:rFonts w:ascii="Times New Roman" w:cs="Times New Roman" w:eastAsia="Times New Roman" w:hAnsi="Times New Roman"/>
          <w:sz w:val="20"/>
          <w:szCs w:val="20"/>
          <w:rtl w:val="0"/>
        </w:rPr>
        <w:t xml:space="preserve"> v. 211, n. 112671, p. 112671, 2019.</w:t>
      </w: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115"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6">
      <w:pPr>
        <w:widowControl w:val="0"/>
        <w:spacing w:before="126" w:line="229" w:lineRule="auto"/>
        <w:ind w:right="3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widowControl w:val="0"/>
        <w:spacing w:after="240" w:before="240" w:line="22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widowControl w:val="0"/>
        <w:spacing w:before="126" w:line="229" w:lineRule="auto"/>
        <w:ind w:left="9" w:right="35" w:firstLine="0.999999999999999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126" w:line="229" w:lineRule="auto"/>
        <w:ind w:left="9" w:right="35" w:firstLine="0.9999999999999998"/>
        <w:jc w:val="both"/>
        <w:rPr>
          <w:rFonts w:ascii="Times New Roman" w:cs="Times New Roman" w:eastAsia="Times New Roman" w:hAnsi="Times New Roman"/>
          <w:sz w:val="24"/>
          <w:szCs w:val="24"/>
        </w:rPr>
      </w:pPr>
      <w:r w:rsidDel="00000000" w:rsidR="00000000" w:rsidRPr="00000000">
        <w:rPr>
          <w:rtl w:val="0"/>
        </w:rPr>
      </w:r>
    </w:p>
    <w:sectPr>
      <w:pgSz w:h="16840" w:w="11920" w:orient="portrait"/>
      <w:pgMar w:bottom="1695" w:top="776" w:left="1432" w:right="139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character" w:styleId="Hyperlink">
    <w:name w:val="Hyperlink"/>
    <w:basedOn w:val="Fontepargpadro"/>
    <w:uiPriority w:val="99"/>
    <w:unhideWhenUsed w:val="1"/>
    <w:rsid w:val="00702869"/>
    <w:rPr>
      <w:color w:val="0000ff" w:themeColor="hyperlink"/>
      <w:u w:val="single"/>
    </w:rPr>
  </w:style>
  <w:style w:type="character" w:styleId="MenoPendente">
    <w:name w:val="Unresolved Mention"/>
    <w:basedOn w:val="Fontepargpadro"/>
    <w:uiPriority w:val="99"/>
    <w:semiHidden w:val="1"/>
    <w:unhideWhenUsed w:val="1"/>
    <w:rsid w:val="00702869"/>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pmc.ncbi.nlm.nih.gov/articles/PMC10597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6ae1CyI9DuAsQqZNbDMLQYjaOA==">CgMxLjA4AHIhMThuRTRBekxrclRkMWRsRjlUckcxdVFjRmdhTWZiTXVK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2025-08-14T21:29:00Z</dcterms:created>
  <dc:creator>crisp</dc:creator>
</cp:coreProperties>
</file>