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1AEE6FF4">
            <wp:simplePos x="0" y="0"/>
            <wp:positionH relativeFrom="margin">
              <wp:posOffset>-1066165</wp:posOffset>
            </wp:positionH>
            <wp:positionV relativeFrom="paragraph">
              <wp:posOffset>-753708</wp:posOffset>
            </wp:positionV>
            <wp:extent cx="7530353" cy="1035685"/>
            <wp:effectExtent l="0" t="0" r="508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8">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3B316FA6" w14:textId="77777777" w:rsidR="00544E4B" w:rsidRDefault="00544E4B" w:rsidP="00544E4B">
      <w:pPr>
        <w:spacing w:after="0"/>
        <w:ind w:right="-427"/>
        <w:jc w:val="center"/>
        <w:rPr>
          <w:color w:val="FF0000"/>
          <w:lang w:val="en-US"/>
        </w:rPr>
      </w:pPr>
    </w:p>
    <w:p w14:paraId="7619FFC8" w14:textId="2077DA89" w:rsidR="00A30AF6" w:rsidRPr="00501425" w:rsidRDefault="00BF1153" w:rsidP="00BF1153">
      <w:pPr>
        <w:ind w:right="-427"/>
        <w:jc w:val="center"/>
        <w:rPr>
          <w:rFonts w:ascii="Arial" w:hAnsi="Arial" w:cs="Arial"/>
          <w:b/>
          <w:bCs/>
          <w:sz w:val="28"/>
          <w:szCs w:val="28"/>
          <w:lang w:val="en-US"/>
        </w:rPr>
      </w:pPr>
      <w:r w:rsidRPr="00BF1153">
        <w:rPr>
          <w:rFonts w:ascii="Arial" w:hAnsi="Arial" w:cs="Arial"/>
          <w:b/>
          <w:bCs/>
          <w:i/>
          <w:iCs/>
          <w:sz w:val="28"/>
          <w:szCs w:val="28"/>
          <w:lang w:val="en-US"/>
        </w:rPr>
        <w:t>in silico</w:t>
      </w:r>
      <w:r>
        <w:rPr>
          <w:rFonts w:ascii="Arial" w:hAnsi="Arial" w:cs="Arial"/>
          <w:b/>
          <w:bCs/>
          <w:sz w:val="28"/>
          <w:szCs w:val="28"/>
          <w:lang w:val="en-US"/>
        </w:rPr>
        <w:t xml:space="preserve"> EVALUATION OF PROMISING N-ACRIDINE ACYL HYDRAZIDE DERIVATIVES AGAINST DENGUE PROTEASE</w:t>
      </w:r>
    </w:p>
    <w:p w14:paraId="7087AC9C" w14:textId="7026523F" w:rsidR="00936C7A" w:rsidRPr="00501425" w:rsidRDefault="00BB0FD4" w:rsidP="008056F0">
      <w:pPr>
        <w:spacing w:after="120"/>
        <w:ind w:right="-427"/>
        <w:jc w:val="both"/>
        <w:rPr>
          <w:rFonts w:ascii="Arial" w:eastAsia="Arial" w:hAnsi="Arial" w:cs="Arial"/>
          <w:b/>
          <w:color w:val="000000"/>
          <w:sz w:val="20"/>
          <w:szCs w:val="20"/>
          <w:lang w:val="en-US"/>
        </w:rPr>
      </w:pPr>
      <w:r>
        <w:rPr>
          <w:rFonts w:ascii="Arial" w:eastAsia="Arial" w:hAnsi="Arial" w:cs="Arial"/>
          <w:b/>
          <w:color w:val="000000"/>
          <w:sz w:val="20"/>
          <w:szCs w:val="20"/>
          <w:u w:val="single"/>
          <w:lang w:val="en-US"/>
        </w:rPr>
        <w:t>Arthur Gabriel Corrêa de Farias</w:t>
      </w:r>
      <w:r w:rsidR="00936C7A" w:rsidRPr="00501425">
        <w:rPr>
          <w:rFonts w:ascii="Arial" w:eastAsia="Arial" w:hAnsi="Arial" w:cs="Arial"/>
          <w:b/>
          <w:color w:val="000000"/>
          <w:sz w:val="20"/>
          <w:szCs w:val="20"/>
          <w:lang w:val="en-US"/>
        </w:rPr>
        <w:t xml:space="preserve"> (</w:t>
      </w:r>
      <w:r w:rsidR="008056F0" w:rsidRPr="00501425">
        <w:rPr>
          <w:rFonts w:ascii="Arial" w:eastAsia="Arial" w:hAnsi="Arial" w:cs="Arial"/>
          <w:b/>
          <w:color w:val="000000"/>
          <w:sz w:val="20"/>
          <w:szCs w:val="20"/>
          <w:lang w:val="en-US"/>
        </w:rPr>
        <w:t>G</w:t>
      </w:r>
      <w:r w:rsidR="00936C7A" w:rsidRPr="00501425">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1</w:t>
      </w:r>
      <w:r w:rsidR="00C61E69" w:rsidRPr="00C61E69">
        <w:rPr>
          <w:rFonts w:ascii="Arial" w:eastAsia="Arial" w:hAnsi="Arial" w:cs="Arial"/>
          <w:b/>
          <w:color w:val="000000"/>
          <w:sz w:val="20"/>
          <w:szCs w:val="20"/>
          <w:vertAlign w:val="superscript"/>
          <w:lang w:val="en-US"/>
        </w:rPr>
        <w:t>*</w:t>
      </w:r>
      <w:r w:rsidR="00936C7A" w:rsidRPr="00501425">
        <w:rPr>
          <w:rFonts w:ascii="Arial" w:eastAsia="Arial" w:hAnsi="Arial" w:cs="Arial"/>
          <w:b/>
          <w:color w:val="000000"/>
          <w:sz w:val="20"/>
          <w:szCs w:val="20"/>
          <w:vertAlign w:val="superscript"/>
          <w:lang w:val="en-US"/>
        </w:rPr>
        <w:t xml:space="preserve"> </w:t>
      </w:r>
      <w:r>
        <w:rPr>
          <w:rFonts w:ascii="Arial" w:eastAsia="Arial" w:hAnsi="Arial" w:cs="Arial"/>
          <w:b/>
          <w:color w:val="000000"/>
          <w:sz w:val="20"/>
          <w:szCs w:val="20"/>
          <w:lang w:val="en-US"/>
        </w:rPr>
        <w:t>Misael</w:t>
      </w:r>
      <w:r w:rsidR="00E3256B">
        <w:rPr>
          <w:rFonts w:ascii="Arial" w:eastAsia="Arial" w:hAnsi="Arial" w:cs="Arial"/>
          <w:b/>
          <w:color w:val="000000"/>
          <w:sz w:val="20"/>
          <w:szCs w:val="20"/>
          <w:lang w:val="en-US"/>
        </w:rPr>
        <w:t xml:space="preserve"> de Azevedo</w:t>
      </w:r>
      <w:r>
        <w:rPr>
          <w:rFonts w:ascii="Arial" w:eastAsia="Arial" w:hAnsi="Arial" w:cs="Arial"/>
          <w:b/>
          <w:color w:val="000000"/>
          <w:sz w:val="20"/>
          <w:szCs w:val="20"/>
          <w:lang w:val="en-US"/>
        </w:rPr>
        <w:t xml:space="preserve"> Teotônio</w:t>
      </w:r>
      <w:r w:rsidR="00E3256B">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Cavalcanti (PG</w:t>
      </w:r>
      <w:r w:rsidR="00936C7A" w:rsidRPr="00501425">
        <w:rPr>
          <w:rFonts w:ascii="Arial" w:eastAsia="Arial" w:hAnsi="Arial" w:cs="Arial"/>
          <w:b/>
          <w:color w:val="000000"/>
          <w:sz w:val="20"/>
          <w:szCs w:val="20"/>
          <w:lang w:val="en-US"/>
        </w:rPr>
        <w:t>),</w:t>
      </w:r>
      <w:r w:rsidR="005211A2">
        <w:rPr>
          <w:rFonts w:ascii="Arial" w:eastAsia="Arial" w:hAnsi="Arial" w:cs="Arial"/>
          <w:b/>
          <w:color w:val="000000"/>
          <w:sz w:val="20"/>
          <w:szCs w:val="20"/>
          <w:vertAlign w:val="superscript"/>
          <w:lang w:val="en-US"/>
        </w:rPr>
        <w:t>¹</w:t>
      </w:r>
      <w:r w:rsidR="00544E4B">
        <w:rPr>
          <w:rFonts w:ascii="Arial" w:eastAsia="Arial" w:hAnsi="Arial" w:cs="Arial"/>
          <w:b/>
          <w:color w:val="000000"/>
          <w:sz w:val="20"/>
          <w:szCs w:val="20"/>
          <w:lang w:val="en-US"/>
        </w:rPr>
        <w:t xml:space="preserve"> Fernanda de França Genuíno</w:t>
      </w:r>
      <w:r w:rsidR="005211A2">
        <w:rPr>
          <w:rFonts w:ascii="Arial" w:eastAsia="Arial" w:hAnsi="Arial" w:cs="Arial"/>
          <w:b/>
          <w:color w:val="000000"/>
          <w:sz w:val="20"/>
          <w:szCs w:val="20"/>
          <w:lang w:val="en-US"/>
        </w:rPr>
        <w:t xml:space="preserve"> </w:t>
      </w:r>
      <w:r w:rsidR="00544E4B">
        <w:rPr>
          <w:rFonts w:ascii="Arial" w:eastAsia="Arial" w:hAnsi="Arial" w:cs="Arial"/>
          <w:b/>
          <w:color w:val="000000"/>
          <w:sz w:val="20"/>
          <w:szCs w:val="20"/>
          <w:lang w:val="en-US"/>
        </w:rPr>
        <w:t>Ramos Campos</w:t>
      </w:r>
      <w:r w:rsidR="005211A2">
        <w:rPr>
          <w:rFonts w:ascii="Arial" w:eastAsia="Arial" w:hAnsi="Arial" w:cs="Arial"/>
          <w:b/>
          <w:color w:val="000000"/>
          <w:sz w:val="20"/>
          <w:szCs w:val="20"/>
          <w:lang w:val="en-US"/>
        </w:rPr>
        <w:t xml:space="preserve"> (G),¹</w:t>
      </w:r>
      <w:r w:rsidR="00B33F60">
        <w:rPr>
          <w:rFonts w:ascii="Arial" w:eastAsia="Arial" w:hAnsi="Arial" w:cs="Arial"/>
          <w:b/>
          <w:color w:val="000000"/>
          <w:sz w:val="20"/>
          <w:szCs w:val="20"/>
          <w:lang w:val="en-US"/>
        </w:rPr>
        <w:t xml:space="preserve"> Wallyson Junio Santos de Araújo</w:t>
      </w:r>
      <w:r w:rsidR="00F765DE">
        <w:rPr>
          <w:rFonts w:ascii="Arial" w:eastAsia="Arial" w:hAnsi="Arial" w:cs="Arial"/>
          <w:b/>
          <w:color w:val="000000"/>
          <w:sz w:val="20"/>
          <w:szCs w:val="20"/>
          <w:lang w:val="en-US"/>
        </w:rPr>
        <w:t xml:space="preserve"> (G)</w:t>
      </w:r>
      <w:r w:rsidR="00B33F60">
        <w:rPr>
          <w:rFonts w:ascii="Arial" w:eastAsia="Arial" w:hAnsi="Arial" w:cs="Arial"/>
          <w:b/>
          <w:color w:val="000000"/>
          <w:sz w:val="20"/>
          <w:szCs w:val="20"/>
          <w:lang w:val="en-US"/>
        </w:rPr>
        <w:t>,¹</w:t>
      </w:r>
      <w:r w:rsidR="005211A2">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Ricardo Olimpio de Moura</w:t>
      </w:r>
      <w:r w:rsidR="00936C7A" w:rsidRPr="00501425">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Prof</w:t>
      </w:r>
      <w:r w:rsidR="00936C7A" w:rsidRPr="00501425">
        <w:rPr>
          <w:rFonts w:ascii="Arial" w:eastAsia="Arial" w:hAnsi="Arial" w:cs="Arial"/>
          <w:b/>
          <w:color w:val="000000"/>
          <w:sz w:val="20"/>
          <w:szCs w:val="20"/>
          <w:lang w:val="en-US"/>
        </w:rPr>
        <w:t>),</w:t>
      </w:r>
      <w:r w:rsidR="005211A2">
        <w:rPr>
          <w:rFonts w:ascii="Arial" w:eastAsia="Arial" w:hAnsi="Arial" w:cs="Arial"/>
          <w:b/>
          <w:color w:val="000000"/>
          <w:sz w:val="20"/>
          <w:szCs w:val="20"/>
          <w:vertAlign w:val="superscript"/>
          <w:lang w:val="en-US"/>
        </w:rPr>
        <w:t>¹</w:t>
      </w:r>
      <w:r w:rsidR="00936C7A" w:rsidRPr="00501425">
        <w:rPr>
          <w:rFonts w:ascii="Arial" w:eastAsia="Arial" w:hAnsi="Arial" w:cs="Arial"/>
          <w:b/>
          <w:color w:val="000000"/>
          <w:sz w:val="20"/>
          <w:szCs w:val="20"/>
          <w:lang w:val="en-US"/>
        </w:rPr>
        <w:t>.</w:t>
      </w:r>
    </w:p>
    <w:p w14:paraId="161A9F2A" w14:textId="2449BC33" w:rsidR="00936C7A" w:rsidRPr="000C4415" w:rsidRDefault="00782CEB" w:rsidP="008056F0">
      <w:pPr>
        <w:spacing w:after="120"/>
        <w:ind w:right="-427"/>
        <w:jc w:val="both"/>
        <w:rPr>
          <w:rFonts w:ascii="Arial" w:eastAsia="Arial" w:hAnsi="Arial" w:cs="Arial"/>
          <w:bCs/>
          <w:color w:val="000000"/>
          <w:sz w:val="20"/>
          <w:szCs w:val="20"/>
          <w:lang w:val="en-US"/>
        </w:rPr>
      </w:pPr>
      <w:hyperlink r:id="rId9" w:history="1">
        <w:r w:rsidRPr="000F51B0">
          <w:rPr>
            <w:rStyle w:val="Hyperlink"/>
            <w:rFonts w:ascii="Arial" w:eastAsia="Arial" w:hAnsi="Arial" w:cs="Arial"/>
            <w:b/>
            <w:sz w:val="20"/>
            <w:szCs w:val="20"/>
            <w:lang w:val="en-US"/>
          </w:rPr>
          <w:t>arthurgabrielcf2002@gmail.com</w:t>
        </w:r>
      </w:hyperlink>
      <w:r w:rsidR="00936C7A" w:rsidRPr="0052727F">
        <w:rPr>
          <w:rFonts w:ascii="Arial" w:eastAsia="Arial" w:hAnsi="Arial" w:cs="Arial"/>
          <w:bCs/>
          <w:color w:val="000000"/>
          <w:sz w:val="20"/>
          <w:szCs w:val="20"/>
          <w:lang w:val="en-US"/>
        </w:rPr>
        <w:t>;</w:t>
      </w:r>
    </w:p>
    <w:p w14:paraId="75C15182" w14:textId="0870ADEC" w:rsidR="00936C7A" w:rsidRPr="0052727F"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5211A2">
        <w:rPr>
          <w:rFonts w:ascii="Arial" w:eastAsia="Arial" w:hAnsi="Arial" w:cs="Arial"/>
          <w:bCs/>
          <w:i/>
          <w:iCs/>
          <w:color w:val="000000"/>
          <w:sz w:val="18"/>
          <w:szCs w:val="18"/>
          <w:lang w:val="en-US"/>
        </w:rPr>
        <w:t>State</w:t>
      </w:r>
      <w:r w:rsidR="003167C5">
        <w:rPr>
          <w:rFonts w:ascii="Arial" w:eastAsia="Arial" w:hAnsi="Arial" w:cs="Arial"/>
          <w:bCs/>
          <w:i/>
          <w:iCs/>
          <w:color w:val="000000"/>
          <w:sz w:val="18"/>
          <w:szCs w:val="18"/>
          <w:lang w:val="en-US"/>
        </w:rPr>
        <w:t xml:space="preserve"> University</w:t>
      </w:r>
      <w:r w:rsidR="005211A2">
        <w:rPr>
          <w:rFonts w:ascii="Arial" w:eastAsia="Arial" w:hAnsi="Arial" w:cs="Arial"/>
          <w:bCs/>
          <w:i/>
          <w:iCs/>
          <w:color w:val="000000"/>
          <w:sz w:val="18"/>
          <w:szCs w:val="18"/>
          <w:lang w:val="en-US"/>
        </w:rPr>
        <w:t xml:space="preserve"> of Paraíba, Campina Grande, Paraíba, Brazil</w:t>
      </w:r>
      <w:r>
        <w:rPr>
          <w:rFonts w:ascii="Arial" w:eastAsia="Arial" w:hAnsi="Arial" w:cs="Arial"/>
          <w:bCs/>
          <w:i/>
          <w:iCs/>
          <w:color w:val="000000"/>
          <w:sz w:val="18"/>
          <w:szCs w:val="18"/>
          <w:lang w:val="en-US"/>
        </w:rPr>
        <w:t>;</w:t>
      </w:r>
    </w:p>
    <w:p w14:paraId="2298CD48" w14:textId="50629732"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EA5A1"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w:t>
      </w:r>
      <w:r w:rsidR="00B327B4">
        <w:rPr>
          <w:rFonts w:ascii="Arial" w:hAnsi="Arial" w:cs="Arial"/>
          <w:i/>
          <w:iCs/>
          <w:sz w:val="18"/>
          <w:szCs w:val="18"/>
          <w:lang w:val="en-US"/>
        </w:rPr>
        <w:t xml:space="preserve"> dengue, antiviral activity, molecular docking, NS2B-NS3.</w:t>
      </w:r>
    </w:p>
    <w:p w14:paraId="717A4CAB" w14:textId="576D51BE" w:rsidR="00AE053E" w:rsidRPr="002D4B60" w:rsidRDefault="00936C7A" w:rsidP="002D4B60">
      <w:pPr>
        <w:jc w:val="center"/>
        <w:rPr>
          <w:rFonts w:ascii="Arial" w:hAnsi="Arial" w:cs="Arial"/>
          <w:b/>
          <w:bCs/>
          <w:color w:val="F8F8F8"/>
          <w:sz w:val="24"/>
          <w:szCs w:val="24"/>
          <w:lang w:val="en-US"/>
        </w:rPr>
        <w:sectPr w:rsidR="00AE053E" w:rsidRPr="002D4B60" w:rsidSect="00770E41">
          <w:footerReference w:type="default" r:id="rId10"/>
          <w:pgSz w:w="11906" w:h="16838"/>
          <w:pgMar w:top="1134" w:right="1701" w:bottom="426" w:left="1701" w:header="708" w:footer="473" w:gutter="0"/>
          <w:cols w:space="708"/>
          <w:docGrid w:linePitch="360"/>
        </w:sectPr>
      </w:pPr>
      <w:r w:rsidRPr="0024322D">
        <w:rPr>
          <w:rFonts w:ascii="Arial" w:hAnsi="Arial" w:cs="Arial"/>
          <w:b/>
          <w:bCs/>
          <w:color w:val="F8F8F8"/>
          <w:sz w:val="24"/>
          <w:szCs w:val="24"/>
          <w:lang w:val="en-US"/>
        </w:rPr>
        <w:t>ABSTRACT</w:t>
      </w:r>
    </w:p>
    <w:p w14:paraId="3236B812" w14:textId="77777777" w:rsidR="00AE053E" w:rsidRDefault="00AE053E" w:rsidP="002D4B60">
      <w:pPr>
        <w:spacing w:after="0" w:line="240" w:lineRule="auto"/>
        <w:ind w:right="-427"/>
        <w:rPr>
          <w:rFonts w:ascii="Arial" w:eastAsia="Arial" w:hAnsi="Arial" w:cs="Arial"/>
          <w:sz w:val="20"/>
          <w:szCs w:val="20"/>
        </w:rPr>
      </w:pPr>
    </w:p>
    <w:p w14:paraId="357A7A8C" w14:textId="77777777" w:rsidR="00AE053E" w:rsidRDefault="00AE053E" w:rsidP="00AE053E">
      <w:pPr>
        <w:spacing w:after="0" w:line="240" w:lineRule="auto"/>
        <w:ind w:right="-427"/>
        <w:rPr>
          <w:rFonts w:ascii="Arial" w:eastAsia="Arial" w:hAnsi="Arial" w:cs="Arial"/>
          <w:sz w:val="20"/>
          <w:szCs w:val="20"/>
        </w:rPr>
        <w:sectPr w:rsidR="00AE053E" w:rsidSect="00AE053E">
          <w:type w:val="continuous"/>
          <w:pgSz w:w="11906" w:h="16838"/>
          <w:pgMar w:top="1134" w:right="1701" w:bottom="426" w:left="1701" w:header="708" w:footer="473" w:gutter="0"/>
          <w:cols w:num="2" w:space="708"/>
          <w:docGrid w:linePitch="360"/>
        </w:sectPr>
      </w:pPr>
    </w:p>
    <w:p w14:paraId="1ABB2C43" w14:textId="509CD167" w:rsidR="00AE053E" w:rsidRPr="002D4B60" w:rsidRDefault="00AE053E" w:rsidP="002D4B60">
      <w:pPr>
        <w:spacing w:after="0" w:line="240" w:lineRule="auto"/>
        <w:ind w:right="-340"/>
        <w:jc w:val="center"/>
        <w:rPr>
          <w:rFonts w:ascii="Arial" w:eastAsia="Arial" w:hAnsi="Arial" w:cs="Arial"/>
          <w:b/>
          <w:bCs/>
          <w:sz w:val="20"/>
          <w:szCs w:val="20"/>
        </w:rPr>
      </w:pPr>
      <w:r w:rsidRPr="00AE053E">
        <w:rPr>
          <w:rFonts w:ascii="Arial" w:eastAsia="Arial" w:hAnsi="Arial" w:cs="Arial"/>
          <w:b/>
          <w:bCs/>
          <w:sz w:val="20"/>
          <w:szCs w:val="20"/>
        </w:rPr>
        <w:t>BACKGROUND</w:t>
      </w:r>
    </w:p>
    <w:p w14:paraId="0D9D4645" w14:textId="553C7046" w:rsidR="00AE053E" w:rsidRDefault="004A0998" w:rsidP="000219CF">
      <w:pPr>
        <w:spacing w:after="0" w:line="240" w:lineRule="auto"/>
        <w:ind w:right="-340"/>
        <w:jc w:val="both"/>
        <w:rPr>
          <w:rFonts w:ascii="Arial" w:eastAsia="Arial" w:hAnsi="Arial" w:cs="Arial"/>
          <w:sz w:val="20"/>
          <w:szCs w:val="20"/>
        </w:rPr>
      </w:pPr>
      <w:r w:rsidRPr="004A0998">
        <w:rPr>
          <w:rFonts w:ascii="Arial" w:eastAsia="Arial" w:hAnsi="Arial" w:cs="Arial"/>
          <w:sz w:val="20"/>
          <w:szCs w:val="20"/>
        </w:rPr>
        <w:t>Dengue is a disease caused by the dengue virus (DENV),</w:t>
      </w:r>
      <w:r w:rsidR="00B327B4">
        <w:rPr>
          <w:rFonts w:ascii="Arial" w:eastAsia="Arial" w:hAnsi="Arial" w:cs="Arial"/>
          <w:sz w:val="20"/>
          <w:szCs w:val="20"/>
        </w:rPr>
        <w:t xml:space="preserve"> </w:t>
      </w:r>
      <w:r w:rsidRPr="004A0998">
        <w:rPr>
          <w:rFonts w:ascii="Arial" w:eastAsia="Arial" w:hAnsi="Arial" w:cs="Arial"/>
          <w:sz w:val="20"/>
          <w:szCs w:val="20"/>
        </w:rPr>
        <w:t xml:space="preserve">transmitted by infected mosquitoes of the genus </w:t>
      </w:r>
      <w:r w:rsidRPr="00B33F60">
        <w:rPr>
          <w:rFonts w:ascii="Arial" w:eastAsia="Arial" w:hAnsi="Arial" w:cs="Arial"/>
          <w:i/>
          <w:iCs/>
          <w:sz w:val="20"/>
          <w:szCs w:val="20"/>
        </w:rPr>
        <w:t>Aedes</w:t>
      </w:r>
      <w:r w:rsidR="00AE053E">
        <w:rPr>
          <w:rFonts w:ascii="Arial" w:eastAsia="Arial" w:hAnsi="Arial" w:cs="Arial"/>
          <w:sz w:val="20"/>
          <w:szCs w:val="20"/>
        </w:rPr>
        <w:t xml:space="preserve">. </w:t>
      </w:r>
      <w:r w:rsidRPr="004A0998">
        <w:rPr>
          <w:rFonts w:ascii="Arial" w:eastAsia="Arial" w:hAnsi="Arial" w:cs="Arial"/>
          <w:sz w:val="20"/>
          <w:szCs w:val="20"/>
        </w:rPr>
        <w:t>NS2B-NS3 is a protease responsible for the proteolytic cleavage and assembly of pivotal proteins to the viral replication process, thus being an interesting target for the design of new antiviral drugs to treat dengu</w:t>
      </w:r>
      <w:r w:rsidR="0008111C">
        <w:rPr>
          <w:rFonts w:ascii="Arial" w:eastAsia="Arial" w:hAnsi="Arial" w:cs="Arial"/>
          <w:sz w:val="20"/>
          <w:szCs w:val="20"/>
        </w:rPr>
        <w:t>e</w:t>
      </w:r>
      <w:r w:rsidRPr="004A0998">
        <w:rPr>
          <w:rFonts w:ascii="Arial" w:eastAsia="Arial" w:hAnsi="Arial" w:cs="Arial"/>
          <w:sz w:val="20"/>
          <w:szCs w:val="20"/>
        </w:rPr>
        <w:t>. The compound N'-(6-chloro-2-methoxyacridine-9-yl)-2-cyanoacetohydrazide</w:t>
      </w:r>
      <w:r w:rsidR="00BF1153">
        <w:rPr>
          <w:rFonts w:ascii="Arial" w:eastAsia="Arial" w:hAnsi="Arial" w:cs="Arial"/>
          <w:sz w:val="20"/>
          <w:szCs w:val="20"/>
        </w:rPr>
        <w:t xml:space="preserve"> </w:t>
      </w:r>
      <w:r w:rsidRPr="004A0998">
        <w:rPr>
          <w:rFonts w:ascii="Arial" w:eastAsia="Arial" w:hAnsi="Arial" w:cs="Arial"/>
          <w:sz w:val="20"/>
          <w:szCs w:val="20"/>
        </w:rPr>
        <w:t>(ACS-AZ)</w:t>
      </w:r>
      <w:r w:rsidR="00F07A26">
        <w:rPr>
          <w:rFonts w:ascii="Arial" w:eastAsia="Arial" w:hAnsi="Arial" w:cs="Arial"/>
          <w:sz w:val="20"/>
          <w:szCs w:val="20"/>
        </w:rPr>
        <w:t xml:space="preserve"> </w:t>
      </w:r>
      <w:r w:rsidRPr="004A0998">
        <w:rPr>
          <w:rFonts w:ascii="Arial" w:eastAsia="Arial" w:hAnsi="Arial" w:cs="Arial"/>
          <w:sz w:val="20"/>
          <w:szCs w:val="20"/>
        </w:rPr>
        <w:t>and its derivative</w:t>
      </w:r>
      <w:r w:rsidR="0008111C">
        <w:rPr>
          <w:rFonts w:ascii="Arial" w:eastAsia="Arial" w:hAnsi="Arial" w:cs="Arial"/>
          <w:sz w:val="20"/>
          <w:szCs w:val="20"/>
        </w:rPr>
        <w:t>s</w:t>
      </w:r>
      <w:r w:rsidR="00F07A26">
        <w:rPr>
          <w:rFonts w:ascii="Arial" w:eastAsia="Arial" w:hAnsi="Arial" w:cs="Arial"/>
          <w:sz w:val="20"/>
          <w:szCs w:val="20"/>
        </w:rPr>
        <w:t xml:space="preserve"> (Fig.</w:t>
      </w:r>
      <w:r w:rsidR="002D4B60">
        <w:rPr>
          <w:rFonts w:ascii="Arial" w:eastAsia="Arial" w:hAnsi="Arial" w:cs="Arial"/>
          <w:sz w:val="20"/>
          <w:szCs w:val="20"/>
        </w:rPr>
        <w:t xml:space="preserve"> </w:t>
      </w:r>
      <w:r w:rsidR="00F07A26">
        <w:rPr>
          <w:rFonts w:ascii="Arial" w:eastAsia="Arial" w:hAnsi="Arial" w:cs="Arial"/>
          <w:sz w:val="20"/>
          <w:szCs w:val="20"/>
        </w:rPr>
        <w:t>1A)</w:t>
      </w:r>
      <w:r w:rsidRPr="004A0998">
        <w:rPr>
          <w:rFonts w:ascii="Arial" w:eastAsia="Arial" w:hAnsi="Arial" w:cs="Arial"/>
          <w:sz w:val="20"/>
          <w:szCs w:val="20"/>
        </w:rPr>
        <w:t xml:space="preserve"> demonstrated </w:t>
      </w:r>
      <w:r w:rsidRPr="004A0998">
        <w:rPr>
          <w:rFonts w:ascii="Arial" w:eastAsia="Arial" w:hAnsi="Arial" w:cs="Arial"/>
          <w:i/>
          <w:iCs/>
          <w:sz w:val="20"/>
          <w:szCs w:val="20"/>
        </w:rPr>
        <w:t>in vitro</w:t>
      </w:r>
      <w:r w:rsidRPr="004A0998">
        <w:rPr>
          <w:rFonts w:ascii="Arial" w:eastAsia="Arial" w:hAnsi="Arial" w:cs="Arial"/>
          <w:sz w:val="20"/>
          <w:szCs w:val="20"/>
        </w:rPr>
        <w:t xml:space="preserve"> and</w:t>
      </w:r>
      <w:r w:rsidRPr="004A0998">
        <w:rPr>
          <w:rFonts w:ascii="Arial" w:eastAsia="Arial" w:hAnsi="Arial" w:cs="Arial"/>
          <w:i/>
          <w:iCs/>
          <w:sz w:val="20"/>
          <w:szCs w:val="20"/>
        </w:rPr>
        <w:t xml:space="preserve"> in vivo</w:t>
      </w:r>
      <w:r w:rsidRPr="004A0998">
        <w:rPr>
          <w:rFonts w:ascii="Arial" w:eastAsia="Arial" w:hAnsi="Arial" w:cs="Arial"/>
          <w:sz w:val="20"/>
          <w:szCs w:val="20"/>
        </w:rPr>
        <w:t xml:space="preserve"> antitumoral and antimalarial activity, showing a chemotherapeutic profile.</w:t>
      </w:r>
    </w:p>
    <w:p w14:paraId="64F5605D" w14:textId="77777777" w:rsidR="00AE053E" w:rsidRDefault="00AE053E" w:rsidP="000219CF">
      <w:pPr>
        <w:spacing w:after="0" w:line="240" w:lineRule="auto"/>
        <w:ind w:right="-340"/>
        <w:jc w:val="both"/>
        <w:rPr>
          <w:rFonts w:ascii="Arial" w:eastAsia="Arial" w:hAnsi="Arial" w:cs="Arial"/>
          <w:sz w:val="20"/>
          <w:szCs w:val="20"/>
        </w:rPr>
      </w:pPr>
    </w:p>
    <w:p w14:paraId="520E22AF" w14:textId="567B3B3F" w:rsidR="00AE053E" w:rsidRPr="002D4B60" w:rsidRDefault="00AE053E" w:rsidP="002D4B60">
      <w:pPr>
        <w:spacing w:after="0" w:line="240" w:lineRule="auto"/>
        <w:ind w:right="-340"/>
        <w:jc w:val="center"/>
        <w:rPr>
          <w:rFonts w:ascii="Arial" w:eastAsia="Arial" w:hAnsi="Arial" w:cs="Arial"/>
          <w:b/>
          <w:bCs/>
          <w:sz w:val="20"/>
          <w:szCs w:val="20"/>
        </w:rPr>
      </w:pPr>
      <w:r w:rsidRPr="00AE053E">
        <w:rPr>
          <w:rFonts w:ascii="Arial" w:eastAsia="Arial" w:hAnsi="Arial" w:cs="Arial"/>
          <w:b/>
          <w:bCs/>
          <w:sz w:val="20"/>
          <w:szCs w:val="20"/>
        </w:rPr>
        <w:t>OBJECTIVES</w:t>
      </w:r>
    </w:p>
    <w:p w14:paraId="78C10CDC" w14:textId="3CF7DC75" w:rsidR="00AE053E" w:rsidRDefault="004A0998" w:rsidP="000219CF">
      <w:pPr>
        <w:spacing w:after="0" w:line="240" w:lineRule="auto"/>
        <w:ind w:right="-340"/>
        <w:jc w:val="both"/>
        <w:rPr>
          <w:rFonts w:ascii="Arial" w:eastAsia="Arial" w:hAnsi="Arial" w:cs="Arial"/>
          <w:sz w:val="20"/>
          <w:szCs w:val="20"/>
        </w:rPr>
      </w:pPr>
      <w:r w:rsidRPr="004A0998">
        <w:rPr>
          <w:rFonts w:ascii="Arial" w:eastAsia="Arial" w:hAnsi="Arial" w:cs="Arial"/>
          <w:sz w:val="20"/>
          <w:szCs w:val="20"/>
        </w:rPr>
        <w:t>Therefore, the aim of this study was to evaluate if these compounds could interact with NS2B-NS3 DENV protease through molecular docking and to predict</w:t>
      </w:r>
      <w:r w:rsidR="00122F3B">
        <w:rPr>
          <w:rFonts w:ascii="Arial" w:eastAsia="Arial" w:hAnsi="Arial" w:cs="Arial"/>
          <w:sz w:val="20"/>
          <w:szCs w:val="20"/>
        </w:rPr>
        <w:t xml:space="preserve"> pharmacokinetic properties by using virtual tools</w:t>
      </w:r>
      <w:r w:rsidRPr="004A0998">
        <w:rPr>
          <w:rFonts w:ascii="Arial" w:eastAsia="Arial" w:hAnsi="Arial" w:cs="Arial"/>
          <w:sz w:val="20"/>
          <w:szCs w:val="20"/>
        </w:rPr>
        <w:t>.</w:t>
      </w:r>
    </w:p>
    <w:p w14:paraId="4818028D" w14:textId="77777777" w:rsidR="00AE053E" w:rsidRDefault="00AE053E" w:rsidP="000219CF">
      <w:pPr>
        <w:spacing w:after="0" w:line="240" w:lineRule="auto"/>
        <w:ind w:right="-340"/>
        <w:jc w:val="both"/>
        <w:rPr>
          <w:rFonts w:ascii="Arial" w:eastAsia="Arial" w:hAnsi="Arial" w:cs="Arial"/>
          <w:sz w:val="20"/>
          <w:szCs w:val="20"/>
        </w:rPr>
      </w:pPr>
    </w:p>
    <w:p w14:paraId="016FB4DF" w14:textId="2B1A3D60" w:rsidR="00AE053E" w:rsidRPr="002D4B60" w:rsidRDefault="00AE053E" w:rsidP="002D4B60">
      <w:pPr>
        <w:spacing w:after="0" w:line="240" w:lineRule="auto"/>
        <w:ind w:right="-340"/>
        <w:jc w:val="center"/>
        <w:rPr>
          <w:rFonts w:ascii="Arial" w:eastAsia="Arial" w:hAnsi="Arial" w:cs="Arial"/>
          <w:b/>
          <w:bCs/>
          <w:sz w:val="20"/>
          <w:szCs w:val="20"/>
        </w:rPr>
      </w:pPr>
      <w:r w:rsidRPr="00AE053E">
        <w:rPr>
          <w:rFonts w:ascii="Arial" w:eastAsia="Arial" w:hAnsi="Arial" w:cs="Arial"/>
          <w:b/>
          <w:bCs/>
          <w:sz w:val="20"/>
          <w:szCs w:val="20"/>
        </w:rPr>
        <w:t>METHODS</w:t>
      </w:r>
    </w:p>
    <w:p w14:paraId="3F3FB344" w14:textId="219F8929" w:rsidR="00AE053E" w:rsidRDefault="004A0998" w:rsidP="000219CF">
      <w:pPr>
        <w:spacing w:after="0" w:line="240" w:lineRule="auto"/>
        <w:ind w:right="-340"/>
        <w:jc w:val="both"/>
        <w:rPr>
          <w:rFonts w:ascii="Arial" w:eastAsia="Arial" w:hAnsi="Arial" w:cs="Arial"/>
          <w:sz w:val="20"/>
          <w:szCs w:val="20"/>
        </w:rPr>
      </w:pPr>
      <w:r w:rsidRPr="004A0998">
        <w:rPr>
          <w:rFonts w:ascii="Arial" w:eastAsia="Arial" w:hAnsi="Arial" w:cs="Arial"/>
          <w:sz w:val="20"/>
          <w:szCs w:val="20"/>
        </w:rPr>
        <w:t>The target was obtained from the Protein Data Bank</w:t>
      </w:r>
      <w:r w:rsidR="00B327B4">
        <w:rPr>
          <w:rFonts w:ascii="Arial" w:eastAsia="Arial" w:hAnsi="Arial" w:cs="Arial"/>
          <w:sz w:val="20"/>
          <w:szCs w:val="20"/>
        </w:rPr>
        <w:t xml:space="preserve"> (PDB id: </w:t>
      </w:r>
      <w:r w:rsidRPr="004A0998">
        <w:rPr>
          <w:rFonts w:ascii="Arial" w:eastAsia="Arial" w:hAnsi="Arial" w:cs="Arial"/>
          <w:sz w:val="20"/>
          <w:szCs w:val="20"/>
        </w:rPr>
        <w:t>2FOM</w:t>
      </w:r>
      <w:r w:rsidR="00B327B4">
        <w:rPr>
          <w:rFonts w:ascii="Arial" w:eastAsia="Arial" w:hAnsi="Arial" w:cs="Arial"/>
          <w:sz w:val="20"/>
          <w:szCs w:val="20"/>
        </w:rPr>
        <w:t>)</w:t>
      </w:r>
      <w:r w:rsidRPr="004A0998">
        <w:rPr>
          <w:rFonts w:ascii="Arial" w:eastAsia="Arial" w:hAnsi="Arial" w:cs="Arial"/>
          <w:sz w:val="20"/>
          <w:szCs w:val="20"/>
        </w:rPr>
        <w:t>. Molecular docking was performed using Gold software and the allosteric site coordinates, and each ligand-protein complex was loaded in BIOVIA Discovery Studio.</w:t>
      </w:r>
      <w:r w:rsidR="00BF1153">
        <w:rPr>
          <w:rFonts w:ascii="Arial" w:eastAsia="Arial" w:hAnsi="Arial" w:cs="Arial"/>
          <w:sz w:val="20"/>
          <w:szCs w:val="20"/>
        </w:rPr>
        <w:t xml:space="preserve"> </w:t>
      </w:r>
      <w:r w:rsidR="00991E9C">
        <w:rPr>
          <w:rFonts w:ascii="Arial" w:eastAsia="Arial" w:hAnsi="Arial" w:cs="Arial"/>
          <w:sz w:val="20"/>
          <w:szCs w:val="20"/>
        </w:rPr>
        <w:t>To validate the docking the values of fitness score of the molecules were compared with the score of a promising allosteric inhibitor</w:t>
      </w:r>
      <w:r w:rsidR="005F6393">
        <w:rPr>
          <w:rFonts w:ascii="Arial" w:eastAsia="Arial" w:hAnsi="Arial" w:cs="Arial"/>
          <w:sz w:val="20"/>
          <w:szCs w:val="20"/>
        </w:rPr>
        <w:t xml:space="preserve"> previously reported by</w:t>
      </w:r>
      <w:r w:rsidR="004F3A08">
        <w:rPr>
          <w:rFonts w:ascii="Arial" w:eastAsia="Arial" w:hAnsi="Arial" w:cs="Arial"/>
          <w:sz w:val="20"/>
          <w:szCs w:val="20"/>
        </w:rPr>
        <w:t xml:space="preserve"> </w:t>
      </w:r>
      <w:r w:rsidR="005F6393">
        <w:rPr>
          <w:rFonts w:ascii="Arial" w:eastAsia="Arial" w:hAnsi="Arial" w:cs="Arial"/>
          <w:sz w:val="20"/>
          <w:szCs w:val="20"/>
        </w:rPr>
        <w:t>Júnior and colleagues</w:t>
      </w:r>
      <w:r w:rsidR="00F07A26">
        <w:rPr>
          <w:rFonts w:ascii="Arial" w:eastAsia="Arial" w:hAnsi="Arial" w:cs="Arial"/>
          <w:sz w:val="20"/>
          <w:szCs w:val="20"/>
        </w:rPr>
        <w:t xml:space="preserve"> (compound </w:t>
      </w:r>
      <w:r w:rsidR="004F3A08">
        <w:rPr>
          <w:rFonts w:ascii="Arial" w:eastAsia="Arial" w:hAnsi="Arial" w:cs="Arial"/>
          <w:sz w:val="20"/>
          <w:szCs w:val="20"/>
        </w:rPr>
        <w:t>1</w:t>
      </w:r>
      <w:r w:rsidR="00F07A26">
        <w:rPr>
          <w:rFonts w:ascii="Arial" w:eastAsia="Arial" w:hAnsi="Arial" w:cs="Arial"/>
          <w:sz w:val="20"/>
          <w:szCs w:val="20"/>
        </w:rPr>
        <w:t>, Fig. 1B)</w:t>
      </w:r>
      <w:r w:rsidR="00991E9C">
        <w:rPr>
          <w:rFonts w:ascii="Arial" w:eastAsia="Arial" w:hAnsi="Arial" w:cs="Arial"/>
          <w:sz w:val="20"/>
          <w:szCs w:val="20"/>
        </w:rPr>
        <w:t>.</w:t>
      </w:r>
    </w:p>
    <w:p w14:paraId="1904ABBE" w14:textId="77777777" w:rsidR="00AE053E" w:rsidRDefault="00AE053E" w:rsidP="000219CF">
      <w:pPr>
        <w:spacing w:after="0" w:line="240" w:lineRule="auto"/>
        <w:ind w:right="-340"/>
        <w:jc w:val="both"/>
        <w:rPr>
          <w:rFonts w:ascii="Arial" w:eastAsia="Arial" w:hAnsi="Arial" w:cs="Arial"/>
          <w:sz w:val="20"/>
          <w:szCs w:val="20"/>
        </w:rPr>
      </w:pPr>
    </w:p>
    <w:p w14:paraId="430A2B6B" w14:textId="28B1675D" w:rsidR="00AE053E" w:rsidRPr="002D4B60" w:rsidRDefault="00AE053E" w:rsidP="002D4B60">
      <w:pPr>
        <w:spacing w:after="0" w:line="240" w:lineRule="auto"/>
        <w:ind w:right="-340"/>
        <w:jc w:val="center"/>
        <w:rPr>
          <w:rFonts w:ascii="Arial" w:eastAsia="Arial" w:hAnsi="Arial" w:cs="Arial"/>
          <w:b/>
          <w:bCs/>
          <w:sz w:val="20"/>
          <w:szCs w:val="20"/>
        </w:rPr>
      </w:pPr>
      <w:r w:rsidRPr="00AE053E">
        <w:rPr>
          <w:rFonts w:ascii="Arial" w:eastAsia="Arial" w:hAnsi="Arial" w:cs="Arial"/>
          <w:b/>
          <w:bCs/>
          <w:sz w:val="20"/>
          <w:szCs w:val="20"/>
        </w:rPr>
        <w:t>RESULTS AND DISCUSSION</w:t>
      </w:r>
    </w:p>
    <w:p w14:paraId="21EFAB04" w14:textId="68EB1810" w:rsidR="00F07A26" w:rsidRDefault="0064706D" w:rsidP="00F07A26">
      <w:pPr>
        <w:spacing w:after="0" w:line="240" w:lineRule="auto"/>
        <w:ind w:right="-340"/>
        <w:jc w:val="both"/>
        <w:rPr>
          <w:rFonts w:ascii="Arial" w:eastAsia="Arial" w:hAnsi="Arial" w:cs="Arial"/>
          <w:sz w:val="20"/>
          <w:szCs w:val="20"/>
        </w:rPr>
      </w:pPr>
      <w:r>
        <w:rPr>
          <w:rFonts w:ascii="Arial" w:eastAsia="Arial" w:hAnsi="Arial" w:cs="Arial"/>
          <w:sz w:val="20"/>
          <w:szCs w:val="20"/>
        </w:rPr>
        <w:t xml:space="preserve">The compound </w:t>
      </w:r>
      <w:r w:rsidR="004F3A08">
        <w:rPr>
          <w:rFonts w:ascii="Arial" w:eastAsia="Arial" w:hAnsi="Arial" w:cs="Arial"/>
          <w:sz w:val="20"/>
          <w:szCs w:val="20"/>
        </w:rPr>
        <w:t>2</w:t>
      </w:r>
      <w:r w:rsidR="00F07A26">
        <w:rPr>
          <w:rFonts w:ascii="Arial" w:eastAsia="Arial" w:hAnsi="Arial" w:cs="Arial"/>
          <w:sz w:val="20"/>
          <w:szCs w:val="20"/>
        </w:rPr>
        <w:t xml:space="preserve"> (Fig. 1</w:t>
      </w:r>
      <w:r w:rsidR="002D4B60">
        <w:rPr>
          <w:rFonts w:ascii="Arial" w:eastAsia="Arial" w:hAnsi="Arial" w:cs="Arial"/>
          <w:sz w:val="20"/>
          <w:szCs w:val="20"/>
        </w:rPr>
        <w:t>B</w:t>
      </w:r>
      <w:r w:rsidR="00F07A26">
        <w:rPr>
          <w:rFonts w:ascii="Arial" w:eastAsia="Arial" w:hAnsi="Arial" w:cs="Arial"/>
          <w:sz w:val="20"/>
          <w:szCs w:val="20"/>
        </w:rPr>
        <w:t xml:space="preserve">) </w:t>
      </w:r>
      <w:r>
        <w:rPr>
          <w:rFonts w:ascii="Arial" w:eastAsia="Arial" w:hAnsi="Arial" w:cs="Arial"/>
          <w:sz w:val="20"/>
          <w:szCs w:val="20"/>
        </w:rPr>
        <w:t>presented the higher value of score similar to that of the compound</w:t>
      </w:r>
      <w:r w:rsidR="0049164F">
        <w:rPr>
          <w:rFonts w:ascii="Arial" w:eastAsia="Arial" w:hAnsi="Arial" w:cs="Arial"/>
          <w:sz w:val="20"/>
          <w:szCs w:val="20"/>
        </w:rPr>
        <w:t xml:space="preserve"> </w:t>
      </w:r>
      <w:r w:rsidR="00AB000C">
        <w:rPr>
          <w:rFonts w:ascii="Arial" w:eastAsia="Arial" w:hAnsi="Arial" w:cs="Arial"/>
          <w:sz w:val="20"/>
          <w:szCs w:val="20"/>
        </w:rPr>
        <w:t>1</w:t>
      </w:r>
      <w:r w:rsidR="0049164F">
        <w:rPr>
          <w:rFonts w:ascii="Arial" w:eastAsia="Arial" w:hAnsi="Arial" w:cs="Arial"/>
          <w:sz w:val="20"/>
          <w:szCs w:val="20"/>
        </w:rPr>
        <w:t>.</w:t>
      </w:r>
      <w:r w:rsidRPr="00F07A26">
        <w:rPr>
          <w:rFonts w:ascii="Arial" w:eastAsia="Arial" w:hAnsi="Arial" w:cs="Arial"/>
          <w:sz w:val="20"/>
          <w:szCs w:val="20"/>
        </w:rPr>
        <w:t xml:space="preserve"> </w:t>
      </w:r>
      <w:r w:rsidR="0049164F">
        <w:rPr>
          <w:rFonts w:ascii="Arial" w:eastAsia="Arial" w:hAnsi="Arial" w:cs="Arial"/>
          <w:sz w:val="20"/>
          <w:szCs w:val="20"/>
        </w:rPr>
        <w:t xml:space="preserve">It </w:t>
      </w:r>
      <w:r w:rsidRPr="00F07A26">
        <w:rPr>
          <w:rFonts w:ascii="Arial" w:eastAsia="Arial" w:hAnsi="Arial" w:cs="Arial"/>
          <w:sz w:val="20"/>
          <w:szCs w:val="20"/>
        </w:rPr>
        <w:t>also interacted with similar residues in the protease</w:t>
      </w:r>
      <w:r w:rsidR="00F07A26">
        <w:rPr>
          <w:rFonts w:ascii="Arial" w:eastAsia="Arial" w:hAnsi="Arial" w:cs="Arial"/>
          <w:sz w:val="20"/>
          <w:szCs w:val="20"/>
        </w:rPr>
        <w:t xml:space="preserve"> (Fig. 1</w:t>
      </w:r>
      <w:r w:rsidR="002D4B60">
        <w:rPr>
          <w:rFonts w:ascii="Arial" w:eastAsia="Arial" w:hAnsi="Arial" w:cs="Arial"/>
          <w:sz w:val="20"/>
          <w:szCs w:val="20"/>
        </w:rPr>
        <w:t>C</w:t>
      </w:r>
      <w:r w:rsidR="00F07A26">
        <w:rPr>
          <w:rFonts w:ascii="Arial" w:eastAsia="Arial" w:hAnsi="Arial" w:cs="Arial"/>
          <w:sz w:val="20"/>
          <w:szCs w:val="20"/>
        </w:rPr>
        <w:t>)</w:t>
      </w:r>
      <w:r w:rsidR="005F6393" w:rsidRPr="00F07A26">
        <w:rPr>
          <w:rFonts w:ascii="Arial" w:eastAsia="Arial" w:hAnsi="Arial" w:cs="Arial"/>
          <w:sz w:val="20"/>
          <w:szCs w:val="20"/>
        </w:rPr>
        <w:t>.</w:t>
      </w:r>
      <w:r w:rsidR="00122F3B">
        <w:rPr>
          <w:rFonts w:ascii="Arial" w:eastAsia="Arial" w:hAnsi="Arial" w:cs="Arial"/>
          <w:sz w:val="20"/>
          <w:szCs w:val="20"/>
        </w:rPr>
        <w:t xml:space="preserve"> SwissADME website revealed</w:t>
      </w:r>
      <w:r w:rsidR="000F0F65">
        <w:rPr>
          <w:rFonts w:ascii="Arial" w:eastAsia="Arial" w:hAnsi="Arial" w:cs="Arial"/>
          <w:sz w:val="20"/>
          <w:szCs w:val="20"/>
        </w:rPr>
        <w:t xml:space="preserve"> a promising pharmacokinetic profile, with a high predicted gastrointestinal absorption, no permeability through the blood-brain barrier, and no violation of the druglikeness rules of Lipinski, Veber and Egan.</w:t>
      </w:r>
    </w:p>
    <w:p w14:paraId="5E4CF8CC" w14:textId="77777777" w:rsidR="00A65142" w:rsidRDefault="00A65142" w:rsidP="00F07A26">
      <w:pPr>
        <w:spacing w:after="0" w:line="240" w:lineRule="auto"/>
        <w:ind w:right="-340"/>
        <w:jc w:val="both"/>
        <w:rPr>
          <w:rFonts w:ascii="Arial" w:eastAsia="Arial" w:hAnsi="Arial" w:cs="Arial"/>
          <w:sz w:val="20"/>
          <w:szCs w:val="20"/>
        </w:rPr>
      </w:pPr>
    </w:p>
    <w:p w14:paraId="595BEE78" w14:textId="77777777" w:rsidR="00122F3B" w:rsidRDefault="00122F3B" w:rsidP="00F07A26">
      <w:pPr>
        <w:spacing w:after="0" w:line="240" w:lineRule="auto"/>
        <w:ind w:right="-340"/>
        <w:jc w:val="both"/>
        <w:rPr>
          <w:rFonts w:ascii="Arial" w:eastAsia="Arial" w:hAnsi="Arial" w:cs="Arial"/>
          <w:sz w:val="20"/>
          <w:szCs w:val="20"/>
        </w:rPr>
      </w:pPr>
    </w:p>
    <w:p w14:paraId="5CB44353" w14:textId="24035901" w:rsidR="0049164F" w:rsidRDefault="0049164F" w:rsidP="0049164F">
      <w:pPr>
        <w:spacing w:after="0" w:line="240" w:lineRule="auto"/>
        <w:ind w:right="-340"/>
        <w:jc w:val="both"/>
        <w:rPr>
          <w:rFonts w:ascii="Arial" w:eastAsia="Arial" w:hAnsi="Arial" w:cs="Arial"/>
          <w:b/>
          <w:bCs/>
          <w:sz w:val="20"/>
          <w:szCs w:val="20"/>
        </w:rPr>
      </w:pPr>
      <w:r>
        <w:rPr>
          <w:rFonts w:ascii="Arial" w:eastAsia="Arial" w:hAnsi="Arial" w:cs="Arial"/>
          <w:b/>
          <w:bCs/>
          <w:sz w:val="20"/>
          <w:szCs w:val="20"/>
        </w:rPr>
        <w:t>(A)</w:t>
      </w:r>
    </w:p>
    <w:p w14:paraId="31ED2CB8" w14:textId="339EE978" w:rsidR="0049164F" w:rsidRDefault="00122F3B" w:rsidP="009E3D29">
      <w:pPr>
        <w:spacing w:after="0" w:line="240" w:lineRule="auto"/>
        <w:ind w:right="-340"/>
        <w:jc w:val="center"/>
        <w:rPr>
          <w:rFonts w:ascii="Arial" w:eastAsia="Arial" w:hAnsi="Arial" w:cs="Arial"/>
          <w:b/>
          <w:bCs/>
          <w:sz w:val="20"/>
          <w:szCs w:val="20"/>
        </w:rPr>
      </w:pPr>
      <w:r w:rsidRPr="00122F3B">
        <w:rPr>
          <w:rFonts w:ascii="Arial" w:eastAsia="Arial" w:hAnsi="Arial" w:cs="Arial"/>
          <w:b/>
          <w:bCs/>
          <w:noProof/>
          <w:sz w:val="20"/>
          <w:szCs w:val="20"/>
        </w:rPr>
        <w:drawing>
          <wp:inline distT="0" distB="0" distL="0" distR="0" wp14:anchorId="726F82D2" wp14:editId="676FA1F3">
            <wp:extent cx="2250830" cy="1320587"/>
            <wp:effectExtent l="0" t="0" r="0" b="0"/>
            <wp:docPr id="5809818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81895" name=""/>
                    <pic:cNvPicPr/>
                  </pic:nvPicPr>
                  <pic:blipFill>
                    <a:blip r:embed="rId11"/>
                    <a:stretch>
                      <a:fillRect/>
                    </a:stretch>
                  </pic:blipFill>
                  <pic:spPr>
                    <a:xfrm>
                      <a:off x="0" y="0"/>
                      <a:ext cx="2270115" cy="1331902"/>
                    </a:xfrm>
                    <a:prstGeom prst="rect">
                      <a:avLst/>
                    </a:prstGeom>
                  </pic:spPr>
                </pic:pic>
              </a:graphicData>
            </a:graphic>
          </wp:inline>
        </w:drawing>
      </w:r>
    </w:p>
    <w:p w14:paraId="010CD59F" w14:textId="6B1F5AFB" w:rsidR="0049164F" w:rsidRDefault="0049164F" w:rsidP="0049164F">
      <w:pPr>
        <w:spacing w:after="0" w:line="240" w:lineRule="auto"/>
        <w:ind w:right="-340"/>
        <w:jc w:val="both"/>
        <w:rPr>
          <w:rFonts w:ascii="Arial" w:eastAsia="Arial" w:hAnsi="Arial" w:cs="Arial"/>
          <w:b/>
          <w:bCs/>
          <w:sz w:val="20"/>
          <w:szCs w:val="20"/>
        </w:rPr>
      </w:pPr>
      <w:r>
        <w:rPr>
          <w:rFonts w:ascii="Arial" w:eastAsia="Arial" w:hAnsi="Arial" w:cs="Arial"/>
          <w:b/>
          <w:bCs/>
          <w:sz w:val="20"/>
          <w:szCs w:val="20"/>
        </w:rPr>
        <w:t>(B)</w:t>
      </w:r>
    </w:p>
    <w:p w14:paraId="630546F0" w14:textId="1BDFFDEF" w:rsidR="0049164F" w:rsidRDefault="0008111C" w:rsidP="002D4B60">
      <w:pPr>
        <w:spacing w:after="0" w:line="240" w:lineRule="auto"/>
        <w:ind w:right="-340"/>
        <w:jc w:val="center"/>
        <w:rPr>
          <w:rFonts w:ascii="Arial" w:eastAsia="Arial" w:hAnsi="Arial" w:cs="Arial"/>
          <w:b/>
          <w:bCs/>
          <w:sz w:val="20"/>
          <w:szCs w:val="20"/>
        </w:rPr>
      </w:pPr>
      <w:r w:rsidRPr="0008111C">
        <w:rPr>
          <w:rFonts w:ascii="Arial" w:eastAsia="Arial" w:hAnsi="Arial" w:cs="Arial"/>
          <w:b/>
          <w:bCs/>
          <w:noProof/>
          <w:sz w:val="20"/>
          <w:szCs w:val="20"/>
        </w:rPr>
        <w:drawing>
          <wp:inline distT="0" distB="0" distL="0" distR="0" wp14:anchorId="08D0B61A" wp14:editId="3BEE6F02">
            <wp:extent cx="1525620" cy="744415"/>
            <wp:effectExtent l="0" t="0" r="0" b="0"/>
            <wp:docPr id="16121772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177263" name=""/>
                    <pic:cNvPicPr/>
                  </pic:nvPicPr>
                  <pic:blipFill>
                    <a:blip r:embed="rId12"/>
                    <a:stretch>
                      <a:fillRect/>
                    </a:stretch>
                  </pic:blipFill>
                  <pic:spPr>
                    <a:xfrm>
                      <a:off x="0" y="0"/>
                      <a:ext cx="1575336" cy="768673"/>
                    </a:xfrm>
                    <a:prstGeom prst="rect">
                      <a:avLst/>
                    </a:prstGeom>
                  </pic:spPr>
                </pic:pic>
              </a:graphicData>
            </a:graphic>
          </wp:inline>
        </w:drawing>
      </w:r>
      <w:r w:rsidR="00122F3B" w:rsidRPr="00122F3B">
        <w:rPr>
          <w:rFonts w:ascii="Arial" w:eastAsia="Arial" w:hAnsi="Arial" w:cs="Arial"/>
          <w:b/>
          <w:bCs/>
          <w:noProof/>
          <w:sz w:val="20"/>
          <w:szCs w:val="20"/>
        </w:rPr>
        <w:drawing>
          <wp:inline distT="0" distB="0" distL="0" distR="0" wp14:anchorId="7B1D89D8" wp14:editId="68848A0C">
            <wp:extent cx="1166446" cy="1231979"/>
            <wp:effectExtent l="0" t="0" r="0" b="6350"/>
            <wp:docPr id="9723615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61578" name=""/>
                    <pic:cNvPicPr/>
                  </pic:nvPicPr>
                  <pic:blipFill>
                    <a:blip r:embed="rId13"/>
                    <a:stretch>
                      <a:fillRect/>
                    </a:stretch>
                  </pic:blipFill>
                  <pic:spPr>
                    <a:xfrm>
                      <a:off x="0" y="0"/>
                      <a:ext cx="1184807" cy="1251372"/>
                    </a:xfrm>
                    <a:prstGeom prst="rect">
                      <a:avLst/>
                    </a:prstGeom>
                  </pic:spPr>
                </pic:pic>
              </a:graphicData>
            </a:graphic>
          </wp:inline>
        </w:drawing>
      </w:r>
    </w:p>
    <w:p w14:paraId="78E3AFA4" w14:textId="3DD9BA89" w:rsidR="0049164F" w:rsidRDefault="0049164F" w:rsidP="00AB000C">
      <w:pPr>
        <w:spacing w:after="0" w:line="240" w:lineRule="auto"/>
        <w:ind w:right="-340"/>
        <w:jc w:val="center"/>
        <w:rPr>
          <w:rFonts w:ascii="Arial" w:eastAsia="Arial" w:hAnsi="Arial" w:cs="Arial"/>
          <w:b/>
          <w:bCs/>
          <w:sz w:val="20"/>
          <w:szCs w:val="20"/>
        </w:rPr>
      </w:pPr>
    </w:p>
    <w:p w14:paraId="1A4220B7" w14:textId="04FAC709" w:rsidR="0049164F" w:rsidRDefault="0049164F" w:rsidP="0049164F">
      <w:pPr>
        <w:spacing w:after="0" w:line="240" w:lineRule="auto"/>
        <w:ind w:right="-340"/>
        <w:jc w:val="both"/>
        <w:rPr>
          <w:rFonts w:ascii="Arial" w:eastAsia="Arial" w:hAnsi="Arial" w:cs="Arial"/>
          <w:b/>
          <w:bCs/>
          <w:sz w:val="20"/>
          <w:szCs w:val="20"/>
        </w:rPr>
      </w:pPr>
      <w:r>
        <w:rPr>
          <w:rFonts w:ascii="Arial" w:eastAsia="Arial" w:hAnsi="Arial" w:cs="Arial"/>
          <w:b/>
          <w:bCs/>
          <w:sz w:val="20"/>
          <w:szCs w:val="20"/>
        </w:rPr>
        <w:t>(</w:t>
      </w:r>
      <w:r w:rsidR="002D4B60">
        <w:rPr>
          <w:rFonts w:ascii="Arial" w:eastAsia="Arial" w:hAnsi="Arial" w:cs="Arial"/>
          <w:b/>
          <w:bCs/>
          <w:sz w:val="20"/>
          <w:szCs w:val="20"/>
        </w:rPr>
        <w:t>C</w:t>
      </w:r>
      <w:r>
        <w:rPr>
          <w:rFonts w:ascii="Arial" w:eastAsia="Arial" w:hAnsi="Arial" w:cs="Arial"/>
          <w:b/>
          <w:bCs/>
          <w:sz w:val="20"/>
          <w:szCs w:val="20"/>
        </w:rPr>
        <w:t>)</w:t>
      </w:r>
    </w:p>
    <w:p w14:paraId="4D7060AD" w14:textId="033981C8" w:rsidR="002D4B60" w:rsidRDefault="002D4B60" w:rsidP="002D4B60">
      <w:pPr>
        <w:spacing w:after="0" w:line="240" w:lineRule="auto"/>
        <w:ind w:right="-340"/>
        <w:jc w:val="both"/>
        <w:rPr>
          <w:rFonts w:ascii="Arial" w:eastAsia="Arial" w:hAnsi="Arial" w:cs="Arial"/>
          <w:b/>
          <w:bCs/>
          <w:sz w:val="20"/>
          <w:szCs w:val="20"/>
        </w:rPr>
      </w:pPr>
      <w:r w:rsidRPr="002D4B60">
        <w:rPr>
          <w:rFonts w:ascii="Arial" w:eastAsia="Arial" w:hAnsi="Arial" w:cs="Arial"/>
          <w:b/>
          <w:bCs/>
          <w:noProof/>
          <w:sz w:val="20"/>
          <w:szCs w:val="20"/>
        </w:rPr>
        <w:drawing>
          <wp:inline distT="0" distB="0" distL="0" distR="0" wp14:anchorId="503476EC" wp14:editId="4F1AF0E5">
            <wp:extent cx="2772507" cy="1341443"/>
            <wp:effectExtent l="0" t="0" r="8890" b="0"/>
            <wp:docPr id="18652076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07687" name=""/>
                    <pic:cNvPicPr/>
                  </pic:nvPicPr>
                  <pic:blipFill>
                    <a:blip r:embed="rId14"/>
                    <a:stretch>
                      <a:fillRect/>
                    </a:stretch>
                  </pic:blipFill>
                  <pic:spPr>
                    <a:xfrm>
                      <a:off x="0" y="0"/>
                      <a:ext cx="2833978" cy="1371185"/>
                    </a:xfrm>
                    <a:prstGeom prst="rect">
                      <a:avLst/>
                    </a:prstGeom>
                  </pic:spPr>
                </pic:pic>
              </a:graphicData>
            </a:graphic>
          </wp:inline>
        </w:drawing>
      </w:r>
    </w:p>
    <w:p w14:paraId="1828C80D" w14:textId="3994DAA7" w:rsidR="00F07A26" w:rsidRPr="0049164F" w:rsidRDefault="00F07A26" w:rsidP="0049164F">
      <w:pPr>
        <w:spacing w:after="0" w:line="240" w:lineRule="auto"/>
        <w:ind w:right="-340"/>
        <w:jc w:val="both"/>
        <w:rPr>
          <w:rFonts w:ascii="Arial" w:eastAsia="Arial" w:hAnsi="Arial" w:cs="Arial"/>
          <w:sz w:val="20"/>
          <w:szCs w:val="20"/>
        </w:rPr>
      </w:pPr>
      <w:r w:rsidRPr="0049164F">
        <w:rPr>
          <w:rFonts w:ascii="Arial" w:eastAsia="Arial" w:hAnsi="Arial" w:cs="Arial"/>
          <w:b/>
          <w:bCs/>
          <w:sz w:val="20"/>
          <w:szCs w:val="20"/>
        </w:rPr>
        <w:t>Figure 1 – (A)</w:t>
      </w:r>
      <w:r>
        <w:rPr>
          <w:rFonts w:ascii="Arial" w:eastAsia="Arial" w:hAnsi="Arial" w:cs="Arial"/>
          <w:sz w:val="20"/>
          <w:szCs w:val="20"/>
        </w:rPr>
        <w:t xml:space="preserve"> </w:t>
      </w:r>
      <w:r w:rsidR="0049164F">
        <w:rPr>
          <w:rFonts w:ascii="Arial" w:eastAsia="Arial" w:hAnsi="Arial" w:cs="Arial"/>
          <w:sz w:val="20"/>
          <w:szCs w:val="20"/>
        </w:rPr>
        <w:t xml:space="preserve">ACS-AZ and its derivative ACS-AZ-01; </w:t>
      </w:r>
      <w:r w:rsidR="0049164F" w:rsidRPr="0049164F">
        <w:rPr>
          <w:rFonts w:ascii="Arial" w:eastAsia="Arial" w:hAnsi="Arial" w:cs="Arial"/>
          <w:b/>
          <w:bCs/>
          <w:sz w:val="20"/>
          <w:szCs w:val="20"/>
        </w:rPr>
        <w:t>(B)</w:t>
      </w:r>
      <w:r w:rsidR="0049164F">
        <w:rPr>
          <w:rFonts w:ascii="Arial" w:eastAsia="Arial" w:hAnsi="Arial" w:cs="Arial"/>
          <w:b/>
          <w:bCs/>
          <w:sz w:val="20"/>
          <w:szCs w:val="20"/>
        </w:rPr>
        <w:t xml:space="preserve"> </w:t>
      </w:r>
      <w:r w:rsidR="0049164F">
        <w:rPr>
          <w:rFonts w:ascii="Arial" w:eastAsia="Arial" w:hAnsi="Arial" w:cs="Arial"/>
          <w:sz w:val="20"/>
          <w:szCs w:val="20"/>
        </w:rPr>
        <w:t xml:space="preserve">compound </w:t>
      </w:r>
      <w:r w:rsidR="0008111C">
        <w:rPr>
          <w:rFonts w:ascii="Arial" w:eastAsia="Arial" w:hAnsi="Arial" w:cs="Arial"/>
          <w:sz w:val="20"/>
          <w:szCs w:val="20"/>
        </w:rPr>
        <w:t>1</w:t>
      </w:r>
      <w:r w:rsidR="0049164F">
        <w:rPr>
          <w:rFonts w:ascii="Arial" w:eastAsia="Arial" w:hAnsi="Arial" w:cs="Arial"/>
          <w:sz w:val="20"/>
          <w:szCs w:val="20"/>
        </w:rPr>
        <w:t xml:space="preserve"> and</w:t>
      </w:r>
      <w:r w:rsidR="002D4B60">
        <w:rPr>
          <w:rFonts w:ascii="Arial" w:eastAsia="Arial" w:hAnsi="Arial" w:cs="Arial"/>
          <w:sz w:val="20"/>
          <w:szCs w:val="20"/>
        </w:rPr>
        <w:t xml:space="preserve"> </w:t>
      </w:r>
      <w:r w:rsidR="0049164F" w:rsidRPr="0049164F">
        <w:rPr>
          <w:rFonts w:ascii="Arial" w:eastAsia="Arial" w:hAnsi="Arial" w:cs="Arial"/>
          <w:sz w:val="20"/>
          <w:szCs w:val="20"/>
        </w:rPr>
        <w:t xml:space="preserve">compound </w:t>
      </w:r>
      <w:r w:rsidR="0008111C">
        <w:rPr>
          <w:rFonts w:ascii="Arial" w:eastAsia="Arial" w:hAnsi="Arial" w:cs="Arial"/>
          <w:sz w:val="20"/>
          <w:szCs w:val="20"/>
        </w:rPr>
        <w:t>2</w:t>
      </w:r>
      <w:r w:rsidR="0049164F" w:rsidRPr="0049164F">
        <w:rPr>
          <w:rFonts w:ascii="Arial" w:eastAsia="Arial" w:hAnsi="Arial" w:cs="Arial"/>
          <w:sz w:val="20"/>
          <w:szCs w:val="20"/>
        </w:rPr>
        <w:t xml:space="preserve"> and their respective fitness score</w:t>
      </w:r>
      <w:r w:rsidR="0049164F">
        <w:rPr>
          <w:rFonts w:ascii="Arial" w:eastAsia="Arial" w:hAnsi="Arial" w:cs="Arial"/>
          <w:sz w:val="20"/>
          <w:szCs w:val="20"/>
        </w:rPr>
        <w:t xml:space="preserve">; </w:t>
      </w:r>
      <w:r w:rsidR="0049164F" w:rsidRPr="0049164F">
        <w:rPr>
          <w:rFonts w:ascii="Arial" w:eastAsia="Arial" w:hAnsi="Arial" w:cs="Arial"/>
          <w:b/>
          <w:bCs/>
          <w:sz w:val="20"/>
          <w:szCs w:val="20"/>
        </w:rPr>
        <w:t>(</w:t>
      </w:r>
      <w:r w:rsidR="002D4B60">
        <w:rPr>
          <w:rFonts w:ascii="Arial" w:eastAsia="Arial" w:hAnsi="Arial" w:cs="Arial"/>
          <w:b/>
          <w:bCs/>
          <w:sz w:val="20"/>
          <w:szCs w:val="20"/>
        </w:rPr>
        <w:t>C</w:t>
      </w:r>
      <w:r w:rsidR="0049164F" w:rsidRPr="0049164F">
        <w:rPr>
          <w:rFonts w:ascii="Arial" w:eastAsia="Arial" w:hAnsi="Arial" w:cs="Arial"/>
          <w:b/>
          <w:bCs/>
          <w:sz w:val="20"/>
          <w:szCs w:val="20"/>
        </w:rPr>
        <w:t>)</w:t>
      </w:r>
      <w:r w:rsidR="0049164F">
        <w:rPr>
          <w:rFonts w:ascii="Arial" w:eastAsia="Arial" w:hAnsi="Arial" w:cs="Arial"/>
          <w:b/>
          <w:bCs/>
          <w:sz w:val="20"/>
          <w:szCs w:val="20"/>
        </w:rPr>
        <w:t xml:space="preserve"> </w:t>
      </w:r>
      <w:r w:rsidR="0049164F">
        <w:rPr>
          <w:rFonts w:ascii="Arial" w:eastAsia="Arial" w:hAnsi="Arial" w:cs="Arial"/>
          <w:sz w:val="20"/>
          <w:szCs w:val="20"/>
        </w:rPr>
        <w:t xml:space="preserve">complexes of compound </w:t>
      </w:r>
      <w:r w:rsidR="0008111C">
        <w:rPr>
          <w:rFonts w:ascii="Arial" w:eastAsia="Arial" w:hAnsi="Arial" w:cs="Arial"/>
          <w:sz w:val="20"/>
          <w:szCs w:val="20"/>
        </w:rPr>
        <w:t>1</w:t>
      </w:r>
      <w:r w:rsidR="0049164F">
        <w:rPr>
          <w:rFonts w:ascii="Arial" w:eastAsia="Arial" w:hAnsi="Arial" w:cs="Arial"/>
          <w:sz w:val="20"/>
          <w:szCs w:val="20"/>
        </w:rPr>
        <w:t xml:space="preserve"> and compound </w:t>
      </w:r>
      <w:r w:rsidR="0008111C">
        <w:rPr>
          <w:rFonts w:ascii="Arial" w:eastAsia="Arial" w:hAnsi="Arial" w:cs="Arial"/>
          <w:sz w:val="20"/>
          <w:szCs w:val="20"/>
        </w:rPr>
        <w:t>2</w:t>
      </w:r>
      <w:r w:rsidR="0049164F">
        <w:rPr>
          <w:rFonts w:ascii="Arial" w:eastAsia="Arial" w:hAnsi="Arial" w:cs="Arial"/>
          <w:sz w:val="20"/>
          <w:szCs w:val="20"/>
        </w:rPr>
        <w:t xml:space="preserve"> with the NS2B-NS3 protease.</w:t>
      </w:r>
    </w:p>
    <w:p w14:paraId="445A279A" w14:textId="77777777" w:rsidR="00AE053E" w:rsidRDefault="00AE053E" w:rsidP="000219CF">
      <w:pPr>
        <w:spacing w:after="0" w:line="240" w:lineRule="auto"/>
        <w:ind w:right="-340"/>
        <w:jc w:val="both"/>
        <w:rPr>
          <w:rFonts w:ascii="Arial" w:eastAsia="Arial" w:hAnsi="Arial" w:cs="Arial"/>
          <w:sz w:val="20"/>
          <w:szCs w:val="20"/>
        </w:rPr>
      </w:pPr>
    </w:p>
    <w:p w14:paraId="01675E09" w14:textId="7016D064" w:rsidR="00AE053E" w:rsidRDefault="00AE053E" w:rsidP="000219CF">
      <w:pPr>
        <w:spacing w:after="0" w:line="240" w:lineRule="auto"/>
        <w:ind w:right="-340"/>
        <w:jc w:val="center"/>
        <w:rPr>
          <w:rFonts w:ascii="Arial" w:eastAsia="Arial" w:hAnsi="Arial" w:cs="Arial"/>
          <w:b/>
          <w:bCs/>
          <w:sz w:val="20"/>
          <w:szCs w:val="20"/>
        </w:rPr>
      </w:pPr>
      <w:r w:rsidRPr="00AE053E">
        <w:rPr>
          <w:rFonts w:ascii="Arial" w:eastAsia="Arial" w:hAnsi="Arial" w:cs="Arial"/>
          <w:b/>
          <w:bCs/>
          <w:sz w:val="20"/>
          <w:szCs w:val="20"/>
        </w:rPr>
        <w:t>CONCLUSION</w:t>
      </w:r>
    </w:p>
    <w:p w14:paraId="410FC57B" w14:textId="3701108B" w:rsidR="00B327B4" w:rsidRPr="00B327B4" w:rsidRDefault="00B327B4" w:rsidP="00B327B4">
      <w:pPr>
        <w:spacing w:after="0" w:line="240" w:lineRule="auto"/>
        <w:ind w:right="-340"/>
        <w:jc w:val="both"/>
        <w:rPr>
          <w:rFonts w:ascii="Arial" w:eastAsia="Arial" w:hAnsi="Arial" w:cs="Arial"/>
          <w:sz w:val="20"/>
          <w:szCs w:val="20"/>
        </w:rPr>
      </w:pPr>
      <w:r w:rsidRPr="00B327B4">
        <w:rPr>
          <w:rFonts w:ascii="Arial" w:eastAsia="Arial" w:hAnsi="Arial" w:cs="Arial"/>
          <w:sz w:val="20"/>
          <w:szCs w:val="20"/>
        </w:rPr>
        <w:t xml:space="preserve">The ACS-AZ derivative, compound 2, presented a good pharmacodynamic and pharmacokinetic </w:t>
      </w:r>
      <w:r w:rsidRPr="00B327B4">
        <w:rPr>
          <w:rFonts w:ascii="Arial" w:eastAsia="Arial" w:hAnsi="Arial" w:cs="Arial"/>
          <w:i/>
          <w:iCs/>
          <w:sz w:val="20"/>
          <w:szCs w:val="20"/>
        </w:rPr>
        <w:t>in s</w:t>
      </w:r>
      <w:r>
        <w:rPr>
          <w:rFonts w:ascii="Arial" w:eastAsia="Arial" w:hAnsi="Arial" w:cs="Arial"/>
          <w:i/>
          <w:iCs/>
          <w:sz w:val="20"/>
          <w:szCs w:val="20"/>
        </w:rPr>
        <w:t>i</w:t>
      </w:r>
      <w:r w:rsidRPr="00B327B4">
        <w:rPr>
          <w:rFonts w:ascii="Arial" w:eastAsia="Arial" w:hAnsi="Arial" w:cs="Arial"/>
          <w:i/>
          <w:iCs/>
          <w:sz w:val="20"/>
          <w:szCs w:val="20"/>
        </w:rPr>
        <w:t>lico</w:t>
      </w:r>
      <w:r w:rsidRPr="00B327B4">
        <w:rPr>
          <w:rFonts w:ascii="Arial" w:eastAsia="Arial" w:hAnsi="Arial" w:cs="Arial"/>
          <w:sz w:val="20"/>
          <w:szCs w:val="20"/>
        </w:rPr>
        <w:t xml:space="preserve"> profile, thus being a promising </w:t>
      </w:r>
      <w:r>
        <w:rPr>
          <w:rFonts w:ascii="Arial" w:eastAsia="Arial" w:hAnsi="Arial" w:cs="Arial"/>
          <w:sz w:val="20"/>
          <w:szCs w:val="20"/>
        </w:rPr>
        <w:t>molecule for further studies in order to proof its antiviral activity.</w:t>
      </w:r>
    </w:p>
    <w:sectPr w:rsidR="00B327B4" w:rsidRPr="00B327B4" w:rsidSect="00AE053E">
      <w:type w:val="continuous"/>
      <w:pgSz w:w="11906" w:h="16838"/>
      <w:pgMar w:top="1134" w:right="1701" w:bottom="426" w:left="1701" w:header="708" w:footer="47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F4845" w14:textId="77777777" w:rsidR="008865D8" w:rsidRDefault="008865D8" w:rsidP="00A30AF6">
      <w:pPr>
        <w:spacing w:after="0" w:line="240" w:lineRule="auto"/>
      </w:pPr>
      <w:r>
        <w:separator/>
      </w:r>
    </w:p>
  </w:endnote>
  <w:endnote w:type="continuationSeparator" w:id="0">
    <w:p w14:paraId="196CDB9C" w14:textId="77777777" w:rsidR="008865D8" w:rsidRDefault="008865D8"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7EF5E" w14:textId="77777777" w:rsidR="008865D8" w:rsidRDefault="008865D8" w:rsidP="00A30AF6">
      <w:pPr>
        <w:spacing w:after="0" w:line="240" w:lineRule="auto"/>
      </w:pPr>
      <w:r>
        <w:separator/>
      </w:r>
    </w:p>
  </w:footnote>
  <w:footnote w:type="continuationSeparator" w:id="0">
    <w:p w14:paraId="7E464549" w14:textId="77777777" w:rsidR="008865D8" w:rsidRDefault="008865D8" w:rsidP="00A30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B4025A"/>
    <w:multiLevelType w:val="hybridMultilevel"/>
    <w:tmpl w:val="BEF42D0E"/>
    <w:lvl w:ilvl="0" w:tplc="B12EDF30">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16cid:durableId="30169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03A9F"/>
    <w:rsid w:val="000219CF"/>
    <w:rsid w:val="0008111C"/>
    <w:rsid w:val="000C4415"/>
    <w:rsid w:val="000F0F65"/>
    <w:rsid w:val="00122F3B"/>
    <w:rsid w:val="00161CFD"/>
    <w:rsid w:val="001B4160"/>
    <w:rsid w:val="002218D2"/>
    <w:rsid w:val="0024322D"/>
    <w:rsid w:val="002D4B60"/>
    <w:rsid w:val="0031259D"/>
    <w:rsid w:val="003167C5"/>
    <w:rsid w:val="00332E55"/>
    <w:rsid w:val="00347252"/>
    <w:rsid w:val="003A2098"/>
    <w:rsid w:val="003C24DE"/>
    <w:rsid w:val="003E30F0"/>
    <w:rsid w:val="003F3DD5"/>
    <w:rsid w:val="004231E5"/>
    <w:rsid w:val="0049164F"/>
    <w:rsid w:val="004A05CF"/>
    <w:rsid w:val="004A0998"/>
    <w:rsid w:val="004D5354"/>
    <w:rsid w:val="004F14D7"/>
    <w:rsid w:val="004F3A08"/>
    <w:rsid w:val="00501425"/>
    <w:rsid w:val="005211A2"/>
    <w:rsid w:val="0052727F"/>
    <w:rsid w:val="00544E4B"/>
    <w:rsid w:val="00562DF5"/>
    <w:rsid w:val="005C18D4"/>
    <w:rsid w:val="005F6393"/>
    <w:rsid w:val="0064706D"/>
    <w:rsid w:val="00684B93"/>
    <w:rsid w:val="00727193"/>
    <w:rsid w:val="00770E41"/>
    <w:rsid w:val="00782CEB"/>
    <w:rsid w:val="00787885"/>
    <w:rsid w:val="007903C1"/>
    <w:rsid w:val="00792E11"/>
    <w:rsid w:val="008028E3"/>
    <w:rsid w:val="00803DE7"/>
    <w:rsid w:val="008056F0"/>
    <w:rsid w:val="008120CE"/>
    <w:rsid w:val="0085406B"/>
    <w:rsid w:val="008625E4"/>
    <w:rsid w:val="008865D8"/>
    <w:rsid w:val="00920D8C"/>
    <w:rsid w:val="0093193F"/>
    <w:rsid w:val="00936C7A"/>
    <w:rsid w:val="0095470F"/>
    <w:rsid w:val="009612E4"/>
    <w:rsid w:val="00991E9C"/>
    <w:rsid w:val="00995D9A"/>
    <w:rsid w:val="009E3D29"/>
    <w:rsid w:val="009E7406"/>
    <w:rsid w:val="00A30AF6"/>
    <w:rsid w:val="00A31C15"/>
    <w:rsid w:val="00A65142"/>
    <w:rsid w:val="00A753EB"/>
    <w:rsid w:val="00AB000C"/>
    <w:rsid w:val="00AB74C0"/>
    <w:rsid w:val="00AD6E85"/>
    <w:rsid w:val="00AE053E"/>
    <w:rsid w:val="00AE2ECC"/>
    <w:rsid w:val="00B327B4"/>
    <w:rsid w:val="00B33F60"/>
    <w:rsid w:val="00B600EB"/>
    <w:rsid w:val="00B736C6"/>
    <w:rsid w:val="00BA720E"/>
    <w:rsid w:val="00BB0246"/>
    <w:rsid w:val="00BB0FD4"/>
    <w:rsid w:val="00BF1153"/>
    <w:rsid w:val="00C0646B"/>
    <w:rsid w:val="00C61E69"/>
    <w:rsid w:val="00C745D1"/>
    <w:rsid w:val="00C77D94"/>
    <w:rsid w:val="00CA7CD0"/>
    <w:rsid w:val="00CD2051"/>
    <w:rsid w:val="00D54C39"/>
    <w:rsid w:val="00DC5E51"/>
    <w:rsid w:val="00E3256B"/>
    <w:rsid w:val="00E4253A"/>
    <w:rsid w:val="00E6065D"/>
    <w:rsid w:val="00E72DC6"/>
    <w:rsid w:val="00ED62DE"/>
    <w:rsid w:val="00F07A26"/>
    <w:rsid w:val="00F36892"/>
    <w:rsid w:val="00F66858"/>
    <w:rsid w:val="00F72FEA"/>
    <w:rsid w:val="00F765DE"/>
    <w:rsid w:val="00F91DCF"/>
    <w:rsid w:val="00FA46D9"/>
    <w:rsid w:val="00FF4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34973AC-83E3-4AEC-A52C-848B1025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rthurgabrielcf2002@gmail.com" TargetMode="External"/><Relationship Id="rId14"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02C71-3D36-40B6-9D7F-7A0DD23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1</Pages>
  <Words>404</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Arthur Gabriel Corrêa de Farias</cp:lastModifiedBy>
  <cp:revision>13</cp:revision>
  <dcterms:created xsi:type="dcterms:W3CDTF">2024-07-21T02:48:00Z</dcterms:created>
  <dcterms:modified xsi:type="dcterms:W3CDTF">2024-10-18T00:23:00Z</dcterms:modified>
</cp:coreProperties>
</file>