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FD" w:rsidRPr="00207462" w:rsidRDefault="005C7EFD" w:rsidP="005C7EFD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ACHADOS TOMOGRÁFICOS NA </w:t>
      </w:r>
      <w:r w:rsidRPr="00207462">
        <w:rPr>
          <w:rFonts w:ascii="Times New Roman" w:hAnsi="Times New Roman" w:cs="Times New Roman"/>
          <w:b/>
          <w:sz w:val="24"/>
          <w:szCs w:val="24"/>
        </w:rPr>
        <w:t>SÍNDROME DE MOUNIER-KUHN</w:t>
      </w:r>
    </w:p>
    <w:p w:rsidR="005C7EFD" w:rsidRDefault="005C7EFD" w:rsidP="005C7EF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7EFD" w:rsidRDefault="005C7EFD" w:rsidP="005C7EF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RÔMULO FLORÊNCIO TRISTÃO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ISA FÉLIX ADÔRNO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REINALDO SANTOS MORAIS NETO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 TIAGO KOJUN TIBANA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; DENISE MARIA RISSATO CAMILO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RENATA MOTTA GRUBERT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 CAMILA KLAESENER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; WALBERTH GUTIERREZ JUNIOR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; THIAGO FRANCHI NUNES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EFD" w:rsidRPr="00C149EE" w:rsidRDefault="005C7EFD" w:rsidP="005C7EF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Hospital Universitário - </w:t>
      </w:r>
      <w:r w:rsidRPr="00434B32">
        <w:rPr>
          <w:rFonts w:ascii="Times New Roman" w:hAnsi="Times New Roman" w:cs="Times New Roman"/>
          <w:sz w:val="24"/>
          <w:szCs w:val="24"/>
        </w:rPr>
        <w:t>romulo.gd@hotmail.com</w:t>
      </w:r>
      <w:r>
        <w:rPr>
          <w:rFonts w:ascii="Times New Roman" w:hAnsi="Times New Roman" w:cs="Times New Roman"/>
          <w:sz w:val="24"/>
          <w:szCs w:val="24"/>
        </w:rPr>
        <w:t xml:space="preserve">; 2 Hospital Universitário - </w:t>
      </w:r>
      <w:r w:rsidRPr="00C149EE">
        <w:rPr>
          <w:rFonts w:ascii="Times New Roman" w:hAnsi="Times New Roman" w:cs="Times New Roman"/>
          <w:sz w:val="24"/>
          <w:szCs w:val="24"/>
        </w:rPr>
        <w:t>isafelixadorno@gmail.com</w:t>
      </w:r>
      <w:r>
        <w:rPr>
          <w:rFonts w:ascii="Times New Roman" w:hAnsi="Times New Roman" w:cs="Times New Roman"/>
          <w:sz w:val="24"/>
          <w:szCs w:val="24"/>
        </w:rPr>
        <w:t xml:space="preserve">; 3 Hospital Universitário - </w:t>
      </w:r>
      <w:r w:rsidRPr="00434B32">
        <w:rPr>
          <w:rFonts w:ascii="Times New Roman" w:hAnsi="Times New Roman" w:cs="Times New Roman"/>
          <w:sz w:val="24"/>
          <w:szCs w:val="24"/>
        </w:rPr>
        <w:t>reinaldomorais.n@gmail.com</w:t>
      </w:r>
      <w:r>
        <w:rPr>
          <w:rFonts w:ascii="Times New Roman" w:hAnsi="Times New Roman" w:cs="Times New Roman"/>
          <w:sz w:val="24"/>
          <w:szCs w:val="24"/>
        </w:rPr>
        <w:t xml:space="preserve">; 4 Hospital Universitário - </w:t>
      </w:r>
      <w:r w:rsidRPr="00434B32">
        <w:rPr>
          <w:rFonts w:ascii="Times New Roman" w:hAnsi="Times New Roman" w:cs="Times New Roman"/>
          <w:sz w:val="24"/>
          <w:szCs w:val="24"/>
        </w:rPr>
        <w:t>tiagotibana@hotmail.com</w:t>
      </w:r>
      <w:r>
        <w:rPr>
          <w:rFonts w:ascii="Times New Roman" w:hAnsi="Times New Roman" w:cs="Times New Roman"/>
          <w:sz w:val="24"/>
          <w:szCs w:val="24"/>
        </w:rPr>
        <w:t xml:space="preserve">; 5 Hospital Universitário - </w:t>
      </w:r>
      <w:r w:rsidRPr="00C149EE">
        <w:rPr>
          <w:rFonts w:ascii="Times New Roman" w:hAnsi="Times New Roman" w:cs="Times New Roman"/>
          <w:sz w:val="24"/>
          <w:szCs w:val="24"/>
        </w:rPr>
        <w:t>denisimaria@gmail.com</w:t>
      </w:r>
      <w:r w:rsidRPr="00434B3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6 Hospital Universitário - renatagrubert@hotmail.com; 7 Universidade para o Desenvolvimento do Estado e da Região do Pantanal/UNIDERP -  camila_klaesener@hotmail.com; 8 Hospital Universitário - </w:t>
      </w:r>
      <w:r w:rsidRPr="00C149EE">
        <w:rPr>
          <w:rFonts w:ascii="Times New Roman" w:hAnsi="Times New Roman" w:cs="Times New Roman"/>
          <w:sz w:val="24"/>
          <w:szCs w:val="24"/>
        </w:rPr>
        <w:t>walberth.junior@ufms.com</w:t>
      </w:r>
      <w:r>
        <w:rPr>
          <w:rFonts w:ascii="Times New Roman" w:hAnsi="Times New Roman" w:cs="Times New Roman"/>
          <w:sz w:val="24"/>
          <w:szCs w:val="24"/>
        </w:rPr>
        <w:t>; 9 Hospital Universitário - thiagofranchinunes@gmail.com.</w:t>
      </w:r>
    </w:p>
    <w:p w:rsidR="005C7EFD" w:rsidRPr="00207462" w:rsidRDefault="005C7EFD" w:rsidP="005C7EFD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EFD" w:rsidRPr="00690422" w:rsidRDefault="005C7EFD" w:rsidP="005C7EF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7462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690422">
        <w:rPr>
          <w:rFonts w:ascii="Times New Roman" w:hAnsi="Times New Roman" w:cs="Times New Roman"/>
          <w:sz w:val="24"/>
          <w:szCs w:val="24"/>
        </w:rPr>
        <w:t xml:space="preserve"> A Síndrome de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Mounier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-Kuhn ou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Traqueobroncomegalia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 (TBM) é uma doença rara, observada principalmente em homens de meia idade¹, caracterizada por atrofia ou ausência das fibras elásticas da musculatura lisa dentro da parede da traqueia e dos brônquios principais</w:t>
      </w:r>
      <w:r w:rsidRPr="00690422">
        <w:rPr>
          <w:rFonts w:ascii="Times New Roman" w:hAnsi="Times New Roman" w:cs="Times New Roman"/>
          <w:sz w:val="24"/>
          <w:szCs w:val="24"/>
          <w:vertAlign w:val="superscript"/>
        </w:rPr>
        <w:t>2-4</w:t>
      </w:r>
      <w:r w:rsidRPr="00690422">
        <w:rPr>
          <w:rFonts w:ascii="Times New Roman" w:hAnsi="Times New Roman" w:cs="Times New Roman"/>
          <w:sz w:val="24"/>
          <w:szCs w:val="24"/>
        </w:rPr>
        <w:t>. Acredita-se que a fraqueza do tecido conjuntivo associada à inalação de poluentes atmosféricos e tabagismo representa o principal fator no desenvolvimento desta afecção</w:t>
      </w:r>
      <w:r w:rsidRPr="006904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90422">
        <w:rPr>
          <w:rFonts w:ascii="Times New Roman" w:hAnsi="Times New Roman" w:cs="Times New Roman"/>
          <w:sz w:val="24"/>
          <w:szCs w:val="24"/>
        </w:rPr>
        <w:t xml:space="preserve">. Com as alterações anatômicas e fisiológicas, as vias aéreas flácidas se alargam durante a inspiração e colapsam durante expiração; além desta mudança dinâmica, a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diverticulose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 brônquica ou traqueal e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bronquiectasias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 são comuns</w:t>
      </w:r>
      <w:r w:rsidRPr="006904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90422">
        <w:rPr>
          <w:rFonts w:ascii="Times New Roman" w:hAnsi="Times New Roman" w:cs="Times New Roman"/>
          <w:sz w:val="24"/>
          <w:szCs w:val="24"/>
        </w:rPr>
        <w:t>. A apresentação clínica é inespecífica, há acúmulo de secreções, tosse produtiva, infecções de repetição do trato respiratório inferior</w:t>
      </w:r>
      <w:r w:rsidRPr="00690422">
        <w:rPr>
          <w:rFonts w:ascii="Times New Roman" w:hAnsi="Times New Roman" w:cs="Times New Roman"/>
          <w:sz w:val="24"/>
          <w:szCs w:val="24"/>
          <w:vertAlign w:val="superscript"/>
        </w:rPr>
        <w:t>2-4</w:t>
      </w:r>
      <w:r w:rsidRPr="00690422">
        <w:rPr>
          <w:rFonts w:ascii="Times New Roman" w:hAnsi="Times New Roman" w:cs="Times New Roman"/>
          <w:sz w:val="24"/>
          <w:szCs w:val="24"/>
        </w:rPr>
        <w:t xml:space="preserve">.  O diagnóstico é realizado por métodos de imagem. A tomografia computadorizada (TC) com imagens da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traquéia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 e dos brônquios principais obtidas em inspiração e expiração é o exame mais sensível</w:t>
      </w:r>
      <w:r w:rsidRPr="00690422">
        <w:rPr>
          <w:rFonts w:ascii="Times New Roman" w:hAnsi="Times New Roman" w:cs="Times New Roman"/>
          <w:sz w:val="24"/>
          <w:szCs w:val="24"/>
          <w:vertAlign w:val="superscript"/>
        </w:rPr>
        <w:t>3,4</w:t>
      </w:r>
      <w:r w:rsidRPr="00690422">
        <w:rPr>
          <w:rFonts w:ascii="Times New Roman" w:hAnsi="Times New Roman" w:cs="Times New Roman"/>
          <w:sz w:val="24"/>
          <w:szCs w:val="24"/>
        </w:rPr>
        <w:t xml:space="preserve">. O tratamento é geralmente de suporte, por meio de fisioterapia respiratória,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antibioticoterapia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 adequada para as infecções recorrentes e cessação do tabagismo</w:t>
      </w:r>
      <w:r w:rsidRPr="00690422">
        <w:rPr>
          <w:rFonts w:ascii="Times New Roman" w:hAnsi="Times New Roman" w:cs="Times New Roman"/>
          <w:sz w:val="24"/>
          <w:szCs w:val="24"/>
          <w:vertAlign w:val="superscript"/>
        </w:rPr>
        <w:t>5,6</w:t>
      </w:r>
      <w:r w:rsidRPr="00690422">
        <w:rPr>
          <w:rFonts w:ascii="Times New Roman" w:hAnsi="Times New Roman" w:cs="Times New Roman"/>
          <w:sz w:val="24"/>
          <w:szCs w:val="24"/>
        </w:rPr>
        <w:t xml:space="preserve">. </w:t>
      </w:r>
      <w:r w:rsidRPr="00207462">
        <w:rPr>
          <w:rFonts w:ascii="Times New Roman" w:hAnsi="Times New Roman" w:cs="Times New Roman"/>
          <w:b/>
          <w:sz w:val="24"/>
          <w:szCs w:val="24"/>
        </w:rPr>
        <w:t>OBJETIVO</w:t>
      </w:r>
      <w:r w:rsidRPr="00690422">
        <w:rPr>
          <w:rFonts w:ascii="Times New Roman" w:hAnsi="Times New Roman" w:cs="Times New Roman"/>
          <w:sz w:val="24"/>
          <w:szCs w:val="24"/>
        </w:rPr>
        <w:t xml:space="preserve">: O presente estudo tem como objetivo descrever os principais achados clínicos e tomográficos na síndrome de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Mounier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-Kuhn. </w:t>
      </w:r>
      <w:r w:rsidRPr="00207462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690422">
        <w:rPr>
          <w:rFonts w:ascii="Times New Roman" w:hAnsi="Times New Roman" w:cs="Times New Roman"/>
          <w:sz w:val="24"/>
          <w:szCs w:val="24"/>
        </w:rPr>
        <w:t xml:space="preserve"> Relatamos o caso de um paciente masculino, de 50 anos, não tabagista, que apresenta infecções recorrentes do trato respiratório inferior há 6 anos, permanecendo assintomático entre os episódios. Ao exame físico apresentava-se em bom estado geral, pressão arterial de 120x80 mmHg, ausculta cardíaca sem alterações, frequência cardíaca de 68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bpm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, ausculta pulmonar com estertores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bolhosos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 esparsos, frequência respiratória de 17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irpm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, saturação de oxigênio em ar ambiente de 93%, abdome nada digno de nota. A TC do tórax em inspiração (Figura 1 A-C) mostrou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traquéia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 e brônquios-fonte dilatados (3,4 e 1,7 cm no diâmetro transverso, respectivamente), além de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bronquiectasias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 nas regiões centrais e basais de ambos os pulmões. Cortes obtidos em expiração (Figura 1D) demonstraram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traquéia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 e brônquios-fonte parcialmente colapsados. O padrão tomográfico foi considerado diagnóstico de TBM. </w:t>
      </w:r>
      <w:r w:rsidRPr="00207462">
        <w:rPr>
          <w:rFonts w:ascii="Times New Roman" w:hAnsi="Times New Roman" w:cs="Times New Roman"/>
          <w:b/>
          <w:sz w:val="24"/>
          <w:szCs w:val="24"/>
        </w:rPr>
        <w:t>CONCLUSÃO:</w:t>
      </w:r>
      <w:r w:rsidRPr="00690422">
        <w:rPr>
          <w:rFonts w:ascii="Times New Roman" w:hAnsi="Times New Roman" w:cs="Times New Roman"/>
          <w:sz w:val="24"/>
          <w:szCs w:val="24"/>
        </w:rPr>
        <w:t xml:space="preserve"> Acreditamos que a aplicação da TC aos pacientes com infecção pulmonar recorrente, mais casos da síndrome de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Mounier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>-Kuhn possam ser identificados no futuro.</w:t>
      </w:r>
    </w:p>
    <w:p w:rsidR="005C7EFD" w:rsidRDefault="005C7EFD" w:rsidP="005C7EFD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835273" w:rsidRPr="005C7EFD" w:rsidRDefault="005C7EFD" w:rsidP="005C7EFD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207462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690422">
        <w:rPr>
          <w:rFonts w:ascii="Times New Roman" w:hAnsi="Times New Roman" w:cs="Times New Roman"/>
          <w:sz w:val="24"/>
          <w:szCs w:val="24"/>
        </w:rPr>
        <w:t xml:space="preserve"> síndrome de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Mounier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-Kuhn, </w:t>
      </w:r>
      <w:proofErr w:type="spellStart"/>
      <w:r w:rsidRPr="00690422">
        <w:rPr>
          <w:rFonts w:ascii="Times New Roman" w:hAnsi="Times New Roman" w:cs="Times New Roman"/>
          <w:sz w:val="24"/>
          <w:szCs w:val="24"/>
        </w:rPr>
        <w:t>traqueobroncomegalia</w:t>
      </w:r>
      <w:proofErr w:type="spellEnd"/>
      <w:r w:rsidRPr="00690422">
        <w:rPr>
          <w:rFonts w:ascii="Times New Roman" w:hAnsi="Times New Roman" w:cs="Times New Roman"/>
          <w:sz w:val="24"/>
          <w:szCs w:val="24"/>
        </w:rPr>
        <w:t xml:space="preserve">, tomografia computadorizada. </w:t>
      </w:r>
      <w:bookmarkStart w:id="0" w:name="_GoBack"/>
      <w:bookmarkEnd w:id="0"/>
    </w:p>
    <w:sectPr w:rsidR="00835273" w:rsidRPr="005C7E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FD"/>
    <w:rsid w:val="005C7EFD"/>
    <w:rsid w:val="0083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5757"/>
  <w15:chartTrackingRefBased/>
  <w15:docId w15:val="{DD8742F1-9D82-4F96-AC2C-7A8870B4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Florencio Tristao Santos</dc:creator>
  <cp:keywords/>
  <dc:description/>
  <cp:lastModifiedBy>Romulo Florencio Tristao Santos</cp:lastModifiedBy>
  <cp:revision>1</cp:revision>
  <dcterms:created xsi:type="dcterms:W3CDTF">2018-04-02T13:27:00Z</dcterms:created>
  <dcterms:modified xsi:type="dcterms:W3CDTF">2018-04-02T13:29:00Z</dcterms:modified>
</cp:coreProperties>
</file>