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802" w:rsidRPr="000E3C99" w:rsidRDefault="00B73FF3" w:rsidP="00B73FF3">
      <w:pPr>
        <w:pStyle w:val="Ttulo"/>
        <w:rPr>
          <w:i w:val="0"/>
        </w:rPr>
      </w:pPr>
      <w:r w:rsidRPr="000E3C99">
        <w:t>POLICY MIXES</w:t>
      </w:r>
      <w:r w:rsidR="000E3C99">
        <w:t xml:space="preserve"> FOR</w:t>
      </w:r>
      <w:r w:rsidR="000E3C99" w:rsidRPr="000E3C99">
        <w:t xml:space="preserve"> </w:t>
      </w:r>
      <w:r w:rsidR="000E3C99" w:rsidRPr="000E3C99">
        <w:t>ENERGY TRANSITIONS</w:t>
      </w:r>
    </w:p>
    <w:p w:rsidR="00CD6802" w:rsidRPr="000E3C99" w:rsidRDefault="0029688C">
      <w:pPr>
        <w:pStyle w:val="Corpodetexto"/>
        <w:rPr>
          <w:sz w:val="24"/>
        </w:rPr>
      </w:pPr>
      <w:r w:rsidRPr="000E3C99">
        <w:br w:type="column"/>
      </w:r>
    </w:p>
    <w:p w:rsidR="00CD6802" w:rsidRPr="000E3C99" w:rsidRDefault="00CD6802">
      <w:pPr>
        <w:pStyle w:val="Corpodetexto"/>
        <w:rPr>
          <w:sz w:val="24"/>
        </w:rPr>
      </w:pPr>
    </w:p>
    <w:p w:rsidR="00CD6802" w:rsidRPr="000E3C99" w:rsidRDefault="00CD6802">
      <w:pPr>
        <w:pStyle w:val="Corpodetexto"/>
        <w:spacing w:before="10"/>
        <w:rPr>
          <w:sz w:val="23"/>
        </w:rPr>
      </w:pPr>
    </w:p>
    <w:p w:rsidR="00903BAF" w:rsidRDefault="00B73FF3">
      <w:pPr>
        <w:pStyle w:val="Corpodetexto"/>
        <w:spacing w:before="1"/>
        <w:ind w:left="112" w:right="103" w:firstLine="64"/>
        <w:jc w:val="right"/>
        <w:rPr>
          <w:w w:val="99"/>
          <w:lang w:val="pt-BR"/>
        </w:rPr>
      </w:pPr>
      <w:r w:rsidRPr="00B73FF3">
        <w:rPr>
          <w:lang w:val="pt-BR"/>
        </w:rPr>
        <w:t>Gustavo Onofre Andreão</w:t>
      </w:r>
      <w:r w:rsidR="0029688C" w:rsidRPr="00B73FF3">
        <w:rPr>
          <w:lang w:val="pt-BR"/>
        </w:rPr>
        <w:t xml:space="preserve">, </w:t>
      </w:r>
      <w:r w:rsidRPr="00B73FF3">
        <w:rPr>
          <w:lang w:val="pt-BR"/>
        </w:rPr>
        <w:t>NEA+ UNICAMP</w:t>
      </w:r>
      <w:r w:rsidR="0029688C" w:rsidRPr="00B73FF3">
        <w:rPr>
          <w:lang w:val="pt-BR"/>
        </w:rPr>
        <w:t xml:space="preserve">, </w:t>
      </w:r>
      <w:r w:rsidRPr="00B73FF3">
        <w:rPr>
          <w:lang w:val="pt-BR"/>
        </w:rPr>
        <w:t>+55193521-5735</w:t>
      </w:r>
      <w:r w:rsidR="0029688C" w:rsidRPr="00B73FF3">
        <w:rPr>
          <w:lang w:val="pt-BR"/>
        </w:rPr>
        <w:t xml:space="preserve">, </w:t>
      </w:r>
      <w:hyperlink r:id="rId4" w:history="1">
        <w:r w:rsidR="00903BAF" w:rsidRPr="00F04E7E">
          <w:rPr>
            <w:rStyle w:val="Hyperlink"/>
            <w:lang w:val="pt-BR"/>
          </w:rPr>
          <w:t>Gustavo.93.andreao@gmail.com</w:t>
        </w:r>
      </w:hyperlink>
    </w:p>
    <w:p w:rsidR="00903BAF" w:rsidRDefault="00B73FF3">
      <w:pPr>
        <w:pStyle w:val="Corpodetexto"/>
        <w:spacing w:before="1"/>
        <w:ind w:left="112" w:right="103" w:firstLine="64"/>
        <w:jc w:val="right"/>
        <w:rPr>
          <w:lang w:val="pt-BR"/>
        </w:rPr>
      </w:pPr>
      <w:r w:rsidRPr="00B73FF3">
        <w:rPr>
          <w:lang w:val="pt-BR"/>
        </w:rPr>
        <w:t>José Maria F. J. da Silveira</w:t>
      </w:r>
      <w:r w:rsidR="0029688C" w:rsidRPr="00B73FF3">
        <w:rPr>
          <w:lang w:val="pt-BR"/>
        </w:rPr>
        <w:t xml:space="preserve">, </w:t>
      </w:r>
      <w:r w:rsidRPr="00B73FF3">
        <w:rPr>
          <w:lang w:val="pt-BR"/>
        </w:rPr>
        <w:t>IE-UNICAMP</w:t>
      </w:r>
      <w:r w:rsidR="0029688C" w:rsidRPr="00B73FF3">
        <w:rPr>
          <w:lang w:val="pt-BR"/>
        </w:rPr>
        <w:t xml:space="preserve">, </w:t>
      </w:r>
      <w:r w:rsidRPr="00B73FF3">
        <w:rPr>
          <w:lang w:val="pt-BR"/>
        </w:rPr>
        <w:t>+55193521-5735</w:t>
      </w:r>
      <w:r w:rsidR="0029688C" w:rsidRPr="00B73FF3">
        <w:rPr>
          <w:lang w:val="pt-BR"/>
        </w:rPr>
        <w:t xml:space="preserve">, </w:t>
      </w:r>
      <w:hyperlink r:id="rId5" w:history="1">
        <w:r w:rsidR="00903BAF" w:rsidRPr="00F04E7E">
          <w:rPr>
            <w:rStyle w:val="Hyperlink"/>
            <w:lang w:val="pt-BR"/>
          </w:rPr>
          <w:t>jmsilv@gmail.com</w:t>
        </w:r>
      </w:hyperlink>
    </w:p>
    <w:p w:rsidR="00CD6802" w:rsidRDefault="00B73FF3">
      <w:pPr>
        <w:pStyle w:val="Corpodetexto"/>
        <w:spacing w:before="1"/>
        <w:ind w:left="112" w:right="103" w:firstLine="64"/>
        <w:jc w:val="right"/>
        <w:rPr>
          <w:sz w:val="22"/>
          <w:lang w:val="pt-BR"/>
        </w:rPr>
      </w:pPr>
      <w:r w:rsidRPr="00B73FF3">
        <w:rPr>
          <w:lang w:val="pt-BR"/>
        </w:rPr>
        <w:t>M</w:t>
      </w:r>
      <w:r>
        <w:rPr>
          <w:lang w:val="pt-BR"/>
        </w:rPr>
        <w:t>iguel Vazquez</w:t>
      </w:r>
      <w:r w:rsidR="0029688C" w:rsidRPr="00B73FF3">
        <w:rPr>
          <w:lang w:val="pt-BR"/>
        </w:rPr>
        <w:t xml:space="preserve">, </w:t>
      </w:r>
      <w:r>
        <w:rPr>
          <w:lang w:val="pt-BR"/>
        </w:rPr>
        <w:t>Bocconi</w:t>
      </w:r>
      <w:r w:rsidR="00903BAF">
        <w:rPr>
          <w:lang w:val="pt-BR"/>
        </w:rPr>
        <w:t xml:space="preserve"> University</w:t>
      </w:r>
      <w:r w:rsidR="0029688C" w:rsidRPr="00B73FF3">
        <w:rPr>
          <w:lang w:val="pt-BR"/>
        </w:rPr>
        <w:t xml:space="preserve">, </w:t>
      </w:r>
      <w:r w:rsidRPr="00B73FF3">
        <w:rPr>
          <w:lang w:val="pt-BR"/>
        </w:rPr>
        <w:t>+39 025836224</w:t>
      </w:r>
      <w:r>
        <w:rPr>
          <w:lang w:val="pt-BR"/>
        </w:rPr>
        <w:t>8</w:t>
      </w:r>
      <w:r w:rsidR="0029688C" w:rsidRPr="00B73FF3">
        <w:rPr>
          <w:lang w:val="pt-BR"/>
        </w:rPr>
        <w:t xml:space="preserve">, </w:t>
      </w:r>
      <w:hyperlink r:id="rId6" w:history="1">
        <w:r w:rsidR="00903BAF" w:rsidRPr="00F04E7E">
          <w:rPr>
            <w:rStyle w:val="Hyperlink"/>
            <w:lang w:val="pt-BR"/>
          </w:rPr>
          <w:t>miguelvazquezmartinez@gmail.com</w:t>
        </w:r>
      </w:hyperlink>
    </w:p>
    <w:p w:rsidR="00CD6802" w:rsidRPr="00B73FF3" w:rsidRDefault="00CD6802">
      <w:pPr>
        <w:jc w:val="right"/>
        <w:rPr>
          <w:lang w:val="pt-BR"/>
        </w:rPr>
        <w:sectPr w:rsidR="00CD6802" w:rsidRPr="00B73FF3">
          <w:type w:val="continuous"/>
          <w:pgSz w:w="12240" w:h="15840"/>
          <w:pgMar w:top="1240" w:right="620" w:bottom="280" w:left="600" w:header="720" w:footer="720" w:gutter="0"/>
          <w:cols w:num="2" w:space="720" w:equalWidth="0">
            <w:col w:w="6778" w:space="49"/>
            <w:col w:w="4193"/>
          </w:cols>
        </w:sectPr>
      </w:pPr>
    </w:p>
    <w:p w:rsidR="00CD6802" w:rsidRPr="00903BAF" w:rsidRDefault="00CD6802">
      <w:pPr>
        <w:pStyle w:val="Corpodetexto"/>
        <w:rPr>
          <w:lang w:val="pt-BR"/>
        </w:rPr>
      </w:pPr>
    </w:p>
    <w:p w:rsidR="00CD6802" w:rsidRPr="00903BAF" w:rsidRDefault="00CD6802">
      <w:pPr>
        <w:pStyle w:val="Corpodetexto"/>
        <w:spacing w:before="3"/>
        <w:rPr>
          <w:sz w:val="28"/>
          <w:lang w:val="pt-BR"/>
        </w:rPr>
      </w:pPr>
    </w:p>
    <w:p w:rsidR="00CD6802" w:rsidRDefault="0029688C">
      <w:pPr>
        <w:pStyle w:val="Ttulo1"/>
      </w:pPr>
      <w:r>
        <w:t>Overview</w:t>
      </w:r>
    </w:p>
    <w:p w:rsidR="00CD6802" w:rsidRDefault="00CD6802">
      <w:pPr>
        <w:pStyle w:val="Corpodetexto"/>
        <w:rPr>
          <w:rFonts w:ascii="Arial"/>
          <w:b/>
        </w:rPr>
      </w:pPr>
    </w:p>
    <w:p w:rsidR="00CD6802" w:rsidRPr="00B73FF3" w:rsidRDefault="00B73FF3" w:rsidP="00903BAF">
      <w:pPr>
        <w:pStyle w:val="Corpodetexto"/>
        <w:jc w:val="both"/>
        <w:rPr>
          <w:rFonts w:ascii="Arial"/>
        </w:rPr>
      </w:pPr>
      <w:r w:rsidRPr="00B73FF3">
        <w:rPr>
          <w:rFonts w:ascii="Arial"/>
        </w:rPr>
        <w:t>Climate change is a phenomenon directly linked to man-made increases in greenhouse gases emissions</w:t>
      </w:r>
      <w:r w:rsidR="003F0ED5">
        <w:rPr>
          <w:rFonts w:ascii="Arial"/>
        </w:rPr>
        <w:t xml:space="preserve"> </w:t>
      </w:r>
      <w:r w:rsidR="003F0ED5">
        <w:rPr>
          <w:rFonts w:ascii="Arial"/>
        </w:rPr>
        <w:fldChar w:fldCharType="begin"/>
      </w:r>
      <w:r w:rsidR="003F0ED5">
        <w:rPr>
          <w:rFonts w:ascii="Arial"/>
        </w:rPr>
        <w:instrText xml:space="preserve"> ADDIN ZOTERO_ITEM CSL_CITATION {"citationID":"NSaVUU6g","properties":{"formattedCitation":"(IPCC 2022a; 2022b)","plainCitation":"(IPCC 2022a; 2022b)","noteIndex":0},"citationItems":[{"id":2053,"uris":["http://zotero.org/users/3640530/items/7L8HEIKS"],"itemData":{"id":2053,"type":"book","collection-number":"VI","collection-title":"Assessment report of the Intergovernmental panel on climate change","event-place":"Geneva","number-of-pages":"2913","publisher":"United Nations","publisher-place":"Geneva","title":"Climate change 2022: mitigation of climate change","URL":"https://report.ipcc.ch/ar6/wg3/IPCC_AR6_WGIII_Full_Report.pdf","author":[{"family":"IPCC","given":"Intergovernmental Panel on Climate Change"}],"issued":{"date-parts":[["2022"]]},"citation-key":"IPCC2022Climatechange2022mitigationclimatechange"}},{"id":2055,"uris":["http://zotero.org/users/3640530/items/A35W3WFD"],"itemData":{"id":2055,"type":"book","collection-number":"VI","collection-title":"Assessment report of the Intergovernmental panel on climate change","event-place":"Geneva","number-of-pages":"2409","publisher":"United Nations","publisher-place":"Geneva","title":"Climate change 2022: the physical sciences basis","URL":"https://report.ipcc.ch/ar6/wg1/IPCC_AR6_WGI_FullReport.pdf","volume":"Contribution of Working Group I to the Sixth Assessment Report of the Intergovernmental Panel on Climate Change","author":[{"family":"IPCC","given":"Intergovernmental Panel on Climate Change"}],"issued":{"date-parts":[["2022"]]},"citation-key":"IPCC2022Climatechange2022physicalsciencesbasis"}}],"schema":"https://github.com/citation-style-language/schema/raw/master/csl-citation.json"} </w:instrText>
      </w:r>
      <w:r w:rsidR="003F0ED5">
        <w:rPr>
          <w:rFonts w:ascii="Arial"/>
        </w:rPr>
        <w:fldChar w:fldCharType="separate"/>
      </w:r>
      <w:r w:rsidR="003F0ED5" w:rsidRPr="003F0ED5">
        <w:rPr>
          <w:rFonts w:ascii="Arial" w:hAnsi="Arial" w:cs="Arial"/>
        </w:rPr>
        <w:t>(IPCC 2022a; 2022b)</w:t>
      </w:r>
      <w:r w:rsidR="003F0ED5">
        <w:rPr>
          <w:rFonts w:ascii="Arial"/>
        </w:rPr>
        <w:fldChar w:fldCharType="end"/>
      </w:r>
      <w:r w:rsidRPr="00B73FF3">
        <w:rPr>
          <w:rFonts w:ascii="Arial"/>
        </w:rPr>
        <w:t>. We as a society must take action and develop means to mitigate climate change and its effects. The energy sector is one of the top emitters of greenhouse gases worldwide. Electricity systems are a relevant portion of the energy sector. One way to mitigate climate change is to transition to low-carbon electricity mixes through the increase of renewables and decline of fossil-fuel electricity generation. Such solution is being attempted by both developed (e.g. EU countries) and developing countries</w:t>
      </w:r>
      <w:r w:rsidR="003F0ED5">
        <w:rPr>
          <w:rFonts w:ascii="Arial"/>
        </w:rPr>
        <w:t xml:space="preserve"> </w:t>
      </w:r>
      <w:r w:rsidR="003F0ED5">
        <w:rPr>
          <w:rFonts w:ascii="Arial"/>
        </w:rPr>
        <w:fldChar w:fldCharType="begin"/>
      </w:r>
      <w:r w:rsidR="003F0ED5">
        <w:rPr>
          <w:rFonts w:ascii="Arial"/>
        </w:rPr>
        <w:instrText xml:space="preserve"> ADDIN ZOTERO_ITEM CSL_CITATION {"citationID":"PPyb1qyN","properties":{"formattedCitation":"(IEA 2016; IEA and IRENA 2017; EPE 2017)","plainCitation":"(IEA 2016; IEA and IRENA 2017; EPE 2017)","noteIndex":0},"citationItems":[{"id":96,"uris":["http://zotero.org/users/3640530/items/R692H8M5"],"itemData":{"id":96,"type":"document","title":"World energy outlook 2016","author":[{"family":"IEA","given":""}],"issued":{"date-parts":[["2016"]]},"citation-key":"IEA2016Worldenergyoutlook2016"}},{"id":95,"uris":["http://zotero.org/users/3640530/items/NN7ID4T3"],"itemData":{"id":95,"type":"book","event-place":"Paris &amp; Abu Dhabi","publisher":"IEA &amp; IRENA","publisher-place":"Paris &amp; Abu Dhabi","title":"Global Renewable Energy: IEA/IRENA joint policies and measure database","author":[{"family":"IEA","given":""},{"family":"IRENA","given":""}],"issued":{"date-parts":[["2017"]]},"citation-key":"IEA.IRENA2017GlobalRenewableEnergyIEAIRENAjointpoliciesandmeasuredatabase"}},{"id":700,"uris":["http://zotero.org/users/3640530/items/R27IB6HJ"],"itemData":{"id":700,"type":"document","title":"Plano decenal de expans</w:instrText>
      </w:r>
      <w:r w:rsidR="003F0ED5">
        <w:rPr>
          <w:rFonts w:ascii="Arial"/>
        </w:rPr>
        <w:instrText>ã</w:instrText>
      </w:r>
      <w:r w:rsidR="003F0ED5">
        <w:rPr>
          <w:rFonts w:ascii="Arial"/>
        </w:rPr>
        <w:instrText xml:space="preserve">o de energia 2026 (preliminary version)","author":[{"family":"EPE","given":""}],"issued":{"date-parts":[["2017"]]},"citation-key":"EPE2017Planodecenaldeexpansaodeenergia2026preliminaryversion"}}],"schema":"https://github.com/citation-style-language/schema/raw/master/csl-citation.json"} </w:instrText>
      </w:r>
      <w:r w:rsidR="003F0ED5">
        <w:rPr>
          <w:rFonts w:ascii="Arial"/>
        </w:rPr>
        <w:fldChar w:fldCharType="separate"/>
      </w:r>
      <w:r w:rsidR="003F0ED5" w:rsidRPr="003F0ED5">
        <w:rPr>
          <w:rFonts w:ascii="Arial" w:hAnsi="Arial" w:cs="Arial"/>
        </w:rPr>
        <w:t>(IEA 2016; IEA and IRENA 2017; EPE 2017)</w:t>
      </w:r>
      <w:r w:rsidR="003F0ED5">
        <w:rPr>
          <w:rFonts w:ascii="Arial"/>
        </w:rPr>
        <w:fldChar w:fldCharType="end"/>
      </w:r>
      <w:r w:rsidRPr="00B73FF3">
        <w:rPr>
          <w:rFonts w:ascii="Arial"/>
        </w:rPr>
        <w:t xml:space="preserve">. This </w:t>
      </w:r>
      <w:r w:rsidR="00903BAF">
        <w:rPr>
          <w:rFonts w:ascii="Arial"/>
        </w:rPr>
        <w:t>article</w:t>
      </w:r>
      <w:r w:rsidRPr="00B73FF3">
        <w:rPr>
          <w:rFonts w:ascii="Arial"/>
        </w:rPr>
        <w:t xml:space="preserve"> focuses on energy transitions towards low-carbon electricity systems in developing countries using mixes of policies.</w:t>
      </w:r>
    </w:p>
    <w:p w:rsidR="00CD6802" w:rsidRDefault="00CD6802">
      <w:pPr>
        <w:pStyle w:val="Corpodetexto"/>
        <w:rPr>
          <w:rFonts w:ascii="Arial"/>
          <w:b/>
          <w:sz w:val="23"/>
        </w:rPr>
      </w:pPr>
    </w:p>
    <w:p w:rsidR="00CD6802" w:rsidRDefault="0029688C">
      <w:pPr>
        <w:ind w:left="840"/>
        <w:rPr>
          <w:rFonts w:ascii="Arial"/>
          <w:b/>
          <w:sz w:val="24"/>
        </w:rPr>
      </w:pPr>
      <w:r>
        <w:rPr>
          <w:rFonts w:ascii="Arial"/>
          <w:b/>
          <w:sz w:val="24"/>
        </w:rPr>
        <w:t>Methods</w:t>
      </w:r>
    </w:p>
    <w:p w:rsidR="00903BAF" w:rsidRDefault="00903BAF">
      <w:pPr>
        <w:ind w:left="840"/>
        <w:rPr>
          <w:rFonts w:ascii="Arial"/>
          <w:b/>
          <w:sz w:val="24"/>
        </w:rPr>
      </w:pPr>
    </w:p>
    <w:p w:rsidR="00CD6802" w:rsidRPr="00903BAF" w:rsidRDefault="00903BAF" w:rsidP="0029688C">
      <w:pPr>
        <w:pStyle w:val="Corpodetexto"/>
        <w:jc w:val="both"/>
        <w:rPr>
          <w:rFonts w:ascii="Arial"/>
        </w:rPr>
      </w:pPr>
      <w:r>
        <w:rPr>
          <w:rFonts w:ascii="Arial"/>
        </w:rPr>
        <w:t>W</w:t>
      </w:r>
      <w:r w:rsidRPr="00903BAF">
        <w:rPr>
          <w:rFonts w:ascii="Arial"/>
        </w:rPr>
        <w:t>e aim to further analyze the effects of financial constraints of such developing countries on transition processes, as well as to analyze the effects of policy interactions in such context. From a methodological standpoint we start from Ostrom</w:t>
      </w:r>
      <w:r w:rsidRPr="00903BAF">
        <w:rPr>
          <w:rFonts w:ascii="Arial"/>
        </w:rPr>
        <w:t>’</w:t>
      </w:r>
      <w:r w:rsidRPr="00903BAF">
        <w:rPr>
          <w:rFonts w:ascii="Arial"/>
        </w:rPr>
        <w:t>s Institutional Analysis Development (IAD) Framework</w:t>
      </w:r>
      <w:r w:rsidR="003F0ED5">
        <w:rPr>
          <w:rFonts w:ascii="Arial"/>
        </w:rPr>
        <w:t xml:space="preserve"> </w:t>
      </w:r>
      <w:r w:rsidR="003F0ED5">
        <w:rPr>
          <w:rFonts w:ascii="Arial"/>
        </w:rPr>
        <w:fldChar w:fldCharType="begin"/>
      </w:r>
      <w:r w:rsidR="003F0ED5">
        <w:rPr>
          <w:rFonts w:ascii="Arial"/>
        </w:rPr>
        <w:instrText xml:space="preserve"> ADDIN ZOTERO_ITEM CSL_CITATION {"citationID":"cDRh4NhY","properties":{"formattedCitation":"(Ostrom 2005; 2011)","plainCitation":"(Ostrom 2005; 2011)","noteIndex":0},"citationItems":[{"id":309,"uris":["http://zotero.org/users/3640530/items/H4RXV643"],"itemData":{"id":309,"type":"book","event-place":"Princeton","ISBN":"978-1-4008-3173-9","language":"English","note":"OCLC: 871578393","publisher":"Princeton University Press","publisher-place":"Princeton","source":"Open WorldCat","title":"Understanding Institutional Diversity","author":[{"family":"Ostrom","given":"E."}],"issued":{"date-parts":[["2005"]]},"citation-key":"Ostrom2005UnderstandingInstitutionalDiversity"}},{"id":320,"uris":["http://zotero.org/users/3640530/items/J3WQJA43"],"itemData":{"id":320,"type":"article-journal","container-title":"Policy Studies Journal","DOI":"10.1111/j.1541-0072.2010.00394.x","ISSN":"0190292X","issue":"1","language":"en","page":"7-27","source":"CrossRef","title":"Background on the Institutional Analysis and Development Framework","title-short":"Background on the Institutional Analysis and Development Framework","volume":"39","author":[{"family":"Ostrom","given":"E."}],"issued":{"date-parts":[["2011",2]]},"citation-key":"Ostrom2011BackgroundontheInstitutionalAnalysisandDevelopmentFramework"}}],"schema":"https://github.com/citation-style-language/schema/raw/master/csl-citation.json"} </w:instrText>
      </w:r>
      <w:r w:rsidR="003F0ED5">
        <w:rPr>
          <w:rFonts w:ascii="Arial"/>
        </w:rPr>
        <w:fldChar w:fldCharType="separate"/>
      </w:r>
      <w:r w:rsidR="003F0ED5" w:rsidRPr="003F0ED5">
        <w:rPr>
          <w:rFonts w:ascii="Arial" w:hAnsi="Arial" w:cs="Arial"/>
        </w:rPr>
        <w:t>(Ostrom 2005; 2011)</w:t>
      </w:r>
      <w:r w:rsidR="003F0ED5">
        <w:rPr>
          <w:rFonts w:ascii="Arial"/>
        </w:rPr>
        <w:fldChar w:fldCharType="end"/>
      </w:r>
      <w:r w:rsidRPr="00903BAF">
        <w:rPr>
          <w:rFonts w:ascii="Arial"/>
        </w:rPr>
        <w:t>. The IAD framework focuses on the interactions and outcomes of agents in a situation that is bounded by multiple rules. Such interactions occur in a computational simulation named Technology, Finance and Energy model (TeFE), i.e., we use an agent based model to simulate interactions between agents</w:t>
      </w:r>
      <w:r w:rsidR="003F0ED5">
        <w:rPr>
          <w:rFonts w:ascii="Arial"/>
        </w:rPr>
        <w:t xml:space="preserve"> </w:t>
      </w:r>
      <w:r w:rsidR="003F0ED5">
        <w:rPr>
          <w:rFonts w:ascii="Arial"/>
        </w:rPr>
        <w:fldChar w:fldCharType="begin"/>
      </w:r>
      <w:r w:rsidR="003F0ED5">
        <w:rPr>
          <w:rFonts w:ascii="Arial"/>
        </w:rPr>
        <w:instrText xml:space="preserve"> ADDIN ZOTERO_ITEM CSL_CITATION {"citationID":"AZA8vHNP","properties":{"formattedCitation":"(de Marchi and Page 2014; Lamperti et al. 2018; Dosi, Fagiolo, and Roventini 2010)","plainCitation":"(de Marchi and Page 2014; Lamperti et al. 2018; Dosi, Fagiolo, and Roventini 2010)","noteIndex":0},"citationItems":[{"id":334,"uris":["http://zotero.org/users/3640530/items/TBXNMSW5"],"itemData":{"id":334,"type":"article-journal","container-title":"Annual Review of Political Science","DOI":"10.1146/annurev-polisci-080812-191558","ISSN":"1094-2939, 1545-1577","issue":"1","language":"en","page":"1-20","source":"CrossRef","title":"Agent-Based Models","volume":"17","author":[{"family":"Marchi","given":"S.","non-dropping-particle":"de"},{"family":"Page","given":"S. E."}],"issued":{"date-parts":[["2014",5,11]]},"citation-key":"deMarchi.Page2014AgentBasedModels"}},{"id":427,"uris":["http://zotero.org/users/3640530/items/LDKPFMUL"],"itemData":{"id":427,"type":"article-journal","container-title":"Ecological Economics","DOI":"10.1016/j.ecolecon.2018.03.023","ISSN":"09218009","language":"en","page":"315-339","source":"Crossref","title":"Faraway, So Close: Coupled Climate and Economic Dynamics in an Agent-based Integrated Assessment Model","title-short":"Faraway, So Close","volume":"150","author":[{"family":"Lamperti","given":"F."},{"family":"Dosi","given":"G."},{"family":"Napoletano","given":"M."},{"family":"Roventini","given":"A."},{"family":"Sapio","given":"A."}],"issued":{"date-parts":[["2018",8]]},"citation-key":"Lamperti.etal2018FarawaySoCloseCoupledClimateandEconomicDynamicsinanAgentbasedIntegratedAssessmentModel"}},{"id":447,"uris":["http://zotero.org/users/3640530/items/Y3ZB5MMX"],"itemData":{"id":447,"type":"article-journal","container-title":"Journal of Economic Dynamics and Control","DOI":"10.1016/j.jedc.2010.06.018","ISSN":"01651889","issue":"9","language":"en","page":"1748-1767","source":"Crossref","title":"Schumpeter meeting Keynes: A policy-friendly model of endogenous growth and business cycles","title-short":"Schumpeter meeting Keynes","volume":"34","author":[{"family":"Dosi","given":"Giovanni"},{"family":"Fagiolo","given":"Giorgio"},{"family":"Roventini","given":"Andrea"}],"issued":{"date-parts":[["2010",9]]},"citation-key":"Dosi.etal2010SchumpetermeetingKeynesApolicyfriendlymodelofendogenousgrowthandbusinesscycles"}}],"schema":"https://github.com/citation-style-language/schema/raw/master/csl-citation.json"} </w:instrText>
      </w:r>
      <w:r w:rsidR="003F0ED5">
        <w:rPr>
          <w:rFonts w:ascii="Arial"/>
        </w:rPr>
        <w:fldChar w:fldCharType="separate"/>
      </w:r>
      <w:r w:rsidR="003F0ED5" w:rsidRPr="003F0ED5">
        <w:rPr>
          <w:rFonts w:ascii="Arial" w:hAnsi="Arial" w:cs="Arial"/>
        </w:rPr>
        <w:t>(de Marchi and Page 2014; Lamperti et al. 2018; Dosi, Fagiolo, and Roventini 2010)</w:t>
      </w:r>
      <w:r w:rsidR="003F0ED5">
        <w:rPr>
          <w:rFonts w:ascii="Arial"/>
        </w:rPr>
        <w:fldChar w:fldCharType="end"/>
      </w:r>
      <w:r w:rsidRPr="00903BAF">
        <w:rPr>
          <w:rFonts w:ascii="Arial"/>
        </w:rPr>
        <w:t>. Such simulated agents are: technology producers, responsible for producing electricity generation assets; energy providers, that acquire such assets in order to produce electricity; an energy policy maker</w:t>
      </w:r>
      <w:bookmarkStart w:id="0" w:name="_GoBack"/>
      <w:bookmarkEnd w:id="0"/>
      <w:r w:rsidRPr="00903BAF">
        <w:rPr>
          <w:rFonts w:ascii="Arial"/>
        </w:rPr>
        <w:t>, responsible for the auction mechanism; a technology policy maker, responsible for giving incentives to technology producers; and a development bank, responsible for financing the acquisition of electricity generation assets by energy producers with subsidized interest rates.</w:t>
      </w:r>
      <w:r w:rsidR="0029688C">
        <w:rPr>
          <w:rFonts w:ascii="Arial"/>
        </w:rPr>
        <w:t xml:space="preserve"> </w:t>
      </w:r>
      <w:r w:rsidR="0029688C" w:rsidRPr="0029688C">
        <w:rPr>
          <w:rFonts w:ascii="Arial"/>
        </w:rPr>
        <w:t>Our model consists of two classes of industry agents and three classes of policy makers. On the industry side, we consider energy providers and technology producers. Technology producers invest in productive capacity or into R\&amp;D and manufacture energy provision assets, focusing on either wind or solar technologies. Energy providers acquire assets from technology producers in order to provide energy. The Energy Policy maker promotes auctions with long-term power purchase agreements, reducing cash flow risk of investments. The Technology Policy maker increases the cash flow of technology producers with incentives. The Development bank finances the acquisition of renewable power plants by energy providers. All agents pursue a satisficing heuristic</w:t>
      </w:r>
      <w:r w:rsidR="0029688C">
        <w:rPr>
          <w:rFonts w:ascii="Arial"/>
        </w:rPr>
        <w:t xml:space="preserve">, </w:t>
      </w:r>
      <w:r w:rsidR="0029688C" w:rsidRPr="00903BAF">
        <w:rPr>
          <w:rFonts w:ascii="Arial"/>
        </w:rPr>
        <w:t>follow</w:t>
      </w:r>
      <w:r w:rsidR="0029688C">
        <w:rPr>
          <w:rFonts w:ascii="Arial"/>
        </w:rPr>
        <w:t>ing</w:t>
      </w:r>
      <w:r w:rsidR="0029688C" w:rsidRPr="00903BAF">
        <w:rPr>
          <w:rFonts w:ascii="Arial"/>
        </w:rPr>
        <w:t xml:space="preserve"> </w:t>
      </w:r>
      <w:r w:rsidR="0029688C">
        <w:rPr>
          <w:rFonts w:ascii="Arial"/>
        </w:rPr>
        <w:fldChar w:fldCharType="begin"/>
      </w:r>
      <w:r w:rsidR="0029688C">
        <w:rPr>
          <w:rFonts w:ascii="Arial"/>
        </w:rPr>
        <w:instrText xml:space="preserve"> ADDIN ZOTERO_ITEM CSL_CITATION {"citationID":"06j4jvI0","properties":{"formattedCitation":"(Simon 1959)","plainCitation":"(Simon 1959)","noteIndex":0},"citationItems":[{"id":615,"uris":["http://zotero.org/users/3640530/items/WEND7QUW"],"itemData":{"id":615,"type":"article-journal","container-title":"The american economic review","issue":"3","page":"253-283","title":"Theories of decision-making in economics and behavioral science","volume":"XLIX","author":[{"family":"Simon","given":"Herbert A."}],"issued":{"date-parts":[["1959",6]]},"citation-key":"Simon1959Theoriesofdecisionmakingineconomicsandbehavioralscience"}}],"schema":"https://github.com/citation-style-language/schema/raw/master/csl-citation.json"} </w:instrText>
      </w:r>
      <w:r w:rsidR="0029688C">
        <w:rPr>
          <w:rFonts w:ascii="Arial"/>
        </w:rPr>
        <w:fldChar w:fldCharType="separate"/>
      </w:r>
      <w:r w:rsidR="0029688C" w:rsidRPr="0029688C">
        <w:rPr>
          <w:rFonts w:ascii="Arial" w:hAnsi="Arial" w:cs="Arial"/>
        </w:rPr>
        <w:t>(Simon 1959)</w:t>
      </w:r>
      <w:r w:rsidR="0029688C">
        <w:rPr>
          <w:rFonts w:ascii="Arial"/>
        </w:rPr>
        <w:fldChar w:fldCharType="end"/>
      </w:r>
      <w:r w:rsidR="0029688C" w:rsidRPr="0029688C">
        <w:rPr>
          <w:rFonts w:ascii="Arial"/>
        </w:rPr>
        <w:t>: private agents attempt to catch up when lagging behind but will accommodate themselves when in front of competition. Public agents increase policy effort (mainly budget) when system results</w:t>
      </w:r>
      <w:r w:rsidR="0029688C" w:rsidRPr="0029688C">
        <w:rPr>
          <w:rFonts w:ascii="Arial"/>
        </w:rPr>
        <w:t>’</w:t>
      </w:r>
      <w:r w:rsidR="0029688C" w:rsidRPr="0029688C">
        <w:rPr>
          <w:rFonts w:ascii="Arial"/>
        </w:rPr>
        <w:t xml:space="preserve"> steer away from policy goals. We consider three types of policy makers</w:t>
      </w:r>
      <w:r w:rsidR="0029688C" w:rsidRPr="0029688C">
        <w:rPr>
          <w:rFonts w:ascii="Arial"/>
        </w:rPr>
        <w:t>’</w:t>
      </w:r>
      <w:r w:rsidR="0029688C" w:rsidRPr="0029688C">
        <w:rPr>
          <w:rFonts w:ascii="Arial"/>
        </w:rPr>
        <w:t xml:space="preserve"> goals regarding renewables: to foster their use in relation to carbon-based sources; to focus on the development of their local productive capacity; and to focus on the development of R\&amp;D capabilities. Different policy makers may have similar or different goals, which increases or reduces the congruity of the policy mix.</w:t>
      </w:r>
      <w:r w:rsidR="0029688C">
        <w:rPr>
          <w:rFonts w:ascii="Arial"/>
        </w:rPr>
        <w:t xml:space="preserve"> </w:t>
      </w:r>
      <w:r w:rsidRPr="00903BAF">
        <w:rPr>
          <w:rFonts w:ascii="Arial"/>
        </w:rPr>
        <w:t>Agents in the IAD framework are also able to evaluate outcomes and</w:t>
      </w:r>
      <w:r w:rsidR="0029688C">
        <w:rPr>
          <w:rFonts w:ascii="Arial"/>
        </w:rPr>
        <w:t xml:space="preserve"> adapt. </w:t>
      </w:r>
      <w:r w:rsidRPr="00903BAF">
        <w:rPr>
          <w:rFonts w:ascii="Arial"/>
        </w:rPr>
        <w:t>Interactions occur in a context in which path dependence, sunk costs and innovation are present, which highlights the relevance of technology adoption.</w:t>
      </w:r>
    </w:p>
    <w:p w:rsidR="00CD6802" w:rsidRDefault="00CD6802">
      <w:pPr>
        <w:pStyle w:val="Corpodetexto"/>
        <w:rPr>
          <w:rFonts w:ascii="Arial"/>
          <w:b/>
          <w:sz w:val="23"/>
        </w:rPr>
      </w:pPr>
    </w:p>
    <w:p w:rsidR="00CD6802" w:rsidRDefault="0029688C">
      <w:pPr>
        <w:pStyle w:val="Ttulo1"/>
      </w:pPr>
      <w:r>
        <w:t>Results</w:t>
      </w:r>
    </w:p>
    <w:p w:rsidR="00CD6802" w:rsidRDefault="00CD6802">
      <w:pPr>
        <w:pStyle w:val="Corpodetexto"/>
        <w:rPr>
          <w:rFonts w:ascii="Arial"/>
          <w:b/>
        </w:rPr>
      </w:pPr>
    </w:p>
    <w:p w:rsidR="00CD6802" w:rsidRDefault="00903BAF" w:rsidP="0029688C">
      <w:pPr>
        <w:pStyle w:val="Corpodetexto"/>
        <w:jc w:val="both"/>
        <w:rPr>
          <w:rFonts w:ascii="Arial"/>
          <w:b/>
        </w:rPr>
      </w:pPr>
      <w:r w:rsidRPr="00903BAF">
        <w:rPr>
          <w:rFonts w:ascii="Arial"/>
        </w:rPr>
        <w:t>The results from model show that a policy mix in which multiple policies are combined leads to energy transitions that are understood as better by both policy makers and private entities, i.e., energy transitions that yield higher profits and better achieve policy goals. Moreover, policy mixes with multiple policies achieve such status faster than scenarios with just one policy in place.</w:t>
      </w:r>
    </w:p>
    <w:p w:rsidR="00CD6802" w:rsidRDefault="00CD6802">
      <w:pPr>
        <w:pStyle w:val="Corpodetexto"/>
        <w:rPr>
          <w:rFonts w:ascii="Arial"/>
          <w:b/>
          <w:sz w:val="23"/>
        </w:rPr>
      </w:pPr>
    </w:p>
    <w:p w:rsidR="00CD6802" w:rsidRDefault="0029688C">
      <w:pPr>
        <w:ind w:left="840"/>
        <w:rPr>
          <w:rFonts w:ascii="Arial"/>
          <w:b/>
          <w:sz w:val="24"/>
        </w:rPr>
      </w:pPr>
      <w:r>
        <w:rPr>
          <w:rFonts w:ascii="Arial"/>
          <w:b/>
          <w:sz w:val="24"/>
        </w:rPr>
        <w:t>Conclusions</w:t>
      </w:r>
    </w:p>
    <w:p w:rsidR="00CD6802" w:rsidRDefault="00CD6802">
      <w:pPr>
        <w:pStyle w:val="Corpodetexto"/>
        <w:rPr>
          <w:rFonts w:ascii="Arial"/>
          <w:b/>
        </w:rPr>
      </w:pPr>
    </w:p>
    <w:p w:rsidR="00CD6802" w:rsidRPr="00903BAF" w:rsidRDefault="00903BAF" w:rsidP="0029688C">
      <w:pPr>
        <w:pStyle w:val="Corpodetexto"/>
        <w:jc w:val="both"/>
        <w:rPr>
          <w:rFonts w:ascii="Arial"/>
        </w:rPr>
      </w:pPr>
      <w:r w:rsidRPr="00903BAF">
        <w:rPr>
          <w:rFonts w:ascii="Arial"/>
        </w:rPr>
        <w:lastRenderedPageBreak/>
        <w:t>In non-central economies, combination of policies through policy mixes produce non-trivial effects regarding both the level and speed of energy transitions</w:t>
      </w:r>
      <w:r w:rsidR="0029688C">
        <w:rPr>
          <w:rFonts w:ascii="Arial"/>
        </w:rPr>
        <w:t xml:space="preserve">. </w:t>
      </w:r>
    </w:p>
    <w:p w:rsidR="00CD6802" w:rsidRDefault="00CD6802">
      <w:pPr>
        <w:pStyle w:val="Corpodetexto"/>
        <w:rPr>
          <w:rFonts w:ascii="Arial"/>
          <w:b/>
          <w:sz w:val="23"/>
        </w:rPr>
      </w:pPr>
    </w:p>
    <w:p w:rsidR="00CD6802" w:rsidRDefault="0029688C" w:rsidP="00B73FF3">
      <w:pPr>
        <w:pStyle w:val="Ttulo1"/>
      </w:pPr>
      <w:r>
        <w:t>References</w:t>
      </w:r>
    </w:p>
    <w:p w:rsidR="003F0ED5" w:rsidRDefault="003F0ED5" w:rsidP="003F0ED5">
      <w:pPr>
        <w:pStyle w:val="Ttulo1"/>
        <w:ind w:left="0"/>
      </w:pPr>
    </w:p>
    <w:p w:rsidR="0029688C" w:rsidRPr="0029688C" w:rsidRDefault="003F0ED5" w:rsidP="0029688C">
      <w:pPr>
        <w:pStyle w:val="Bibliografia"/>
        <w:rPr>
          <w:rFonts w:ascii="Arial" w:hAnsi="Arial" w:cs="Arial"/>
          <w:sz w:val="20"/>
        </w:rPr>
      </w:pPr>
      <w:r w:rsidRPr="003F0ED5">
        <w:rPr>
          <w:rFonts w:ascii="Arial" w:hAnsi="Arial" w:cs="Arial"/>
          <w:sz w:val="20"/>
          <w:szCs w:val="20"/>
        </w:rPr>
        <w:fldChar w:fldCharType="begin"/>
      </w:r>
      <w:r w:rsidRPr="003F0ED5">
        <w:rPr>
          <w:rFonts w:ascii="Arial" w:hAnsi="Arial" w:cs="Arial"/>
          <w:sz w:val="20"/>
          <w:szCs w:val="20"/>
        </w:rPr>
        <w:instrText xml:space="preserve"> ADDIN ZOTERO_BIBL {"uncited":[],"omitted":[],"custom":[]} CSL_BIBLIOGRAPHY </w:instrText>
      </w:r>
      <w:r w:rsidRPr="003F0ED5">
        <w:rPr>
          <w:rFonts w:ascii="Arial" w:hAnsi="Arial" w:cs="Arial"/>
          <w:sz w:val="20"/>
          <w:szCs w:val="20"/>
        </w:rPr>
        <w:fldChar w:fldCharType="separate"/>
      </w:r>
      <w:r w:rsidR="0029688C" w:rsidRPr="0029688C">
        <w:rPr>
          <w:rFonts w:ascii="Arial" w:hAnsi="Arial" w:cs="Arial"/>
          <w:sz w:val="20"/>
        </w:rPr>
        <w:t xml:space="preserve">Dosi, Giovanni, Giorgio Fagiolo, and Andrea Roventini. 2010. “Schumpeter Meeting Keynes: A Policy-Friendly Model of Endogenous Growth and Business Cycles.” </w:t>
      </w:r>
      <w:r w:rsidR="0029688C" w:rsidRPr="0029688C">
        <w:rPr>
          <w:rFonts w:ascii="Arial" w:hAnsi="Arial" w:cs="Arial"/>
          <w:i/>
          <w:iCs/>
          <w:sz w:val="20"/>
        </w:rPr>
        <w:t>Journal of Economic Dynamics and Control</w:t>
      </w:r>
      <w:r w:rsidR="0029688C" w:rsidRPr="0029688C">
        <w:rPr>
          <w:rFonts w:ascii="Arial" w:hAnsi="Arial" w:cs="Arial"/>
          <w:sz w:val="20"/>
        </w:rPr>
        <w:t xml:space="preserve"> 34 (9): 1748–67. https://doi.org/10.1016/j.jedc.2010.06.018.</w:t>
      </w:r>
    </w:p>
    <w:p w:rsidR="0029688C" w:rsidRPr="0029688C" w:rsidRDefault="0029688C" w:rsidP="0029688C">
      <w:pPr>
        <w:pStyle w:val="Bibliografia"/>
        <w:rPr>
          <w:rFonts w:ascii="Arial" w:hAnsi="Arial" w:cs="Arial"/>
          <w:sz w:val="20"/>
          <w:lang w:val="pt-BR"/>
        </w:rPr>
      </w:pPr>
      <w:r w:rsidRPr="0029688C">
        <w:rPr>
          <w:rFonts w:ascii="Arial" w:hAnsi="Arial" w:cs="Arial"/>
          <w:sz w:val="20"/>
          <w:lang w:val="pt-BR"/>
        </w:rPr>
        <w:t>EPE. 2017. “Plano Decenal de Expansão de Energia 2026 (Preliminary Version).”</w:t>
      </w:r>
    </w:p>
    <w:p w:rsidR="0029688C" w:rsidRPr="0029688C" w:rsidRDefault="0029688C" w:rsidP="0029688C">
      <w:pPr>
        <w:pStyle w:val="Bibliografia"/>
        <w:rPr>
          <w:rFonts w:ascii="Arial" w:hAnsi="Arial" w:cs="Arial"/>
          <w:sz w:val="20"/>
        </w:rPr>
      </w:pPr>
      <w:r w:rsidRPr="0029688C">
        <w:rPr>
          <w:rFonts w:ascii="Arial" w:hAnsi="Arial" w:cs="Arial"/>
          <w:sz w:val="20"/>
        </w:rPr>
        <w:t>IEA. 2016. “World Energy Outlook 2016.”</w:t>
      </w:r>
    </w:p>
    <w:p w:rsidR="0029688C" w:rsidRPr="0029688C" w:rsidRDefault="0029688C" w:rsidP="0029688C">
      <w:pPr>
        <w:pStyle w:val="Bibliografia"/>
        <w:rPr>
          <w:rFonts w:ascii="Arial" w:hAnsi="Arial" w:cs="Arial"/>
          <w:sz w:val="20"/>
        </w:rPr>
      </w:pPr>
      <w:r w:rsidRPr="0029688C">
        <w:rPr>
          <w:rFonts w:ascii="Arial" w:hAnsi="Arial" w:cs="Arial"/>
          <w:sz w:val="20"/>
        </w:rPr>
        <w:t xml:space="preserve">IEA, and IRENA. 2017. </w:t>
      </w:r>
      <w:r w:rsidRPr="0029688C">
        <w:rPr>
          <w:rFonts w:ascii="Arial" w:hAnsi="Arial" w:cs="Arial"/>
          <w:i/>
          <w:iCs/>
          <w:sz w:val="20"/>
        </w:rPr>
        <w:t>Global Renewable Energy: IEA/IRENA Joint Policies and Measure Database</w:t>
      </w:r>
      <w:r w:rsidRPr="0029688C">
        <w:rPr>
          <w:rFonts w:ascii="Arial" w:hAnsi="Arial" w:cs="Arial"/>
          <w:sz w:val="20"/>
        </w:rPr>
        <w:t>. Paris &amp; Abu Dhabi: IEA &amp; IRENA.</w:t>
      </w:r>
    </w:p>
    <w:p w:rsidR="0029688C" w:rsidRPr="0029688C" w:rsidRDefault="0029688C" w:rsidP="0029688C">
      <w:pPr>
        <w:pStyle w:val="Bibliografia"/>
        <w:rPr>
          <w:rFonts w:ascii="Arial" w:hAnsi="Arial" w:cs="Arial"/>
          <w:sz w:val="20"/>
        </w:rPr>
      </w:pPr>
      <w:r w:rsidRPr="0029688C">
        <w:rPr>
          <w:rFonts w:ascii="Arial" w:hAnsi="Arial" w:cs="Arial"/>
          <w:sz w:val="20"/>
        </w:rPr>
        <w:t xml:space="preserve">IPCC, Intergovernmental Panel on Climate Change. 2022a. </w:t>
      </w:r>
      <w:r w:rsidRPr="0029688C">
        <w:rPr>
          <w:rFonts w:ascii="Arial" w:hAnsi="Arial" w:cs="Arial"/>
          <w:i/>
          <w:iCs/>
          <w:sz w:val="20"/>
        </w:rPr>
        <w:t>Climate Change 2022: Mitigation of Climate Change</w:t>
      </w:r>
      <w:r w:rsidRPr="0029688C">
        <w:rPr>
          <w:rFonts w:ascii="Arial" w:hAnsi="Arial" w:cs="Arial"/>
          <w:sz w:val="20"/>
        </w:rPr>
        <w:t>. Assessment Report of the Intergovernmental Panel on Climate Change, VI. Geneva: United Nations. https://report.ipcc.ch/ar6/wg3/IPCC_AR6_WGIII_Full_Report.pdf.</w:t>
      </w:r>
    </w:p>
    <w:p w:rsidR="0029688C" w:rsidRPr="0029688C" w:rsidRDefault="0029688C" w:rsidP="0029688C">
      <w:pPr>
        <w:pStyle w:val="Bibliografia"/>
        <w:rPr>
          <w:rFonts w:ascii="Arial" w:hAnsi="Arial" w:cs="Arial"/>
          <w:sz w:val="20"/>
        </w:rPr>
      </w:pPr>
      <w:r w:rsidRPr="0029688C">
        <w:rPr>
          <w:rFonts w:ascii="Arial" w:hAnsi="Arial" w:cs="Arial"/>
          <w:sz w:val="20"/>
        </w:rPr>
        <w:t xml:space="preserve">———. 2022b. </w:t>
      </w:r>
      <w:r w:rsidRPr="0029688C">
        <w:rPr>
          <w:rFonts w:ascii="Arial" w:hAnsi="Arial" w:cs="Arial"/>
          <w:i/>
          <w:iCs/>
          <w:sz w:val="20"/>
        </w:rPr>
        <w:t>Climate Change 2022: The Physical Sciences Basis</w:t>
      </w:r>
      <w:r w:rsidRPr="0029688C">
        <w:rPr>
          <w:rFonts w:ascii="Arial" w:hAnsi="Arial" w:cs="Arial"/>
          <w:sz w:val="20"/>
        </w:rPr>
        <w:t>. Vol. Contribution of Working Group I to the Sixth Assessment Report of the Intergovernmental Panel on Climate Change. Assessment Report of the Intergovernmental Panel on Climate Change, VI. Geneva: United Nations. https://report.ipcc.ch/ar6/wg1/IPCC_AR6_WGI_FullReport.pdf.</w:t>
      </w:r>
    </w:p>
    <w:p w:rsidR="0029688C" w:rsidRPr="0029688C" w:rsidRDefault="0029688C" w:rsidP="0029688C">
      <w:pPr>
        <w:pStyle w:val="Bibliografia"/>
        <w:rPr>
          <w:rFonts w:ascii="Arial" w:hAnsi="Arial" w:cs="Arial"/>
          <w:sz w:val="20"/>
        </w:rPr>
      </w:pPr>
      <w:r w:rsidRPr="0029688C">
        <w:rPr>
          <w:rFonts w:ascii="Arial" w:hAnsi="Arial" w:cs="Arial"/>
          <w:sz w:val="20"/>
          <w:lang w:val="pt-BR"/>
        </w:rPr>
        <w:t xml:space="preserve">Lamperti, F., G. Dosi, M. Napoletano, A. Roventini, and A. Sapio. </w:t>
      </w:r>
      <w:r w:rsidRPr="0029688C">
        <w:rPr>
          <w:rFonts w:ascii="Arial" w:hAnsi="Arial" w:cs="Arial"/>
          <w:sz w:val="20"/>
        </w:rPr>
        <w:t xml:space="preserve">2018. “Faraway, So Close: Coupled Climate and Economic Dynamics in an Agent-Based Integrated Assessment Model.” </w:t>
      </w:r>
      <w:r w:rsidRPr="0029688C">
        <w:rPr>
          <w:rFonts w:ascii="Arial" w:hAnsi="Arial" w:cs="Arial"/>
          <w:i/>
          <w:iCs/>
          <w:sz w:val="20"/>
        </w:rPr>
        <w:t>Ecological Economics</w:t>
      </w:r>
      <w:r w:rsidRPr="0029688C">
        <w:rPr>
          <w:rFonts w:ascii="Arial" w:hAnsi="Arial" w:cs="Arial"/>
          <w:sz w:val="20"/>
        </w:rPr>
        <w:t xml:space="preserve"> 150 (August): 315–39. https://doi.org/10.1016/j.ecolecon.2018.03.023.</w:t>
      </w:r>
    </w:p>
    <w:p w:rsidR="0029688C" w:rsidRPr="0029688C" w:rsidRDefault="0029688C" w:rsidP="0029688C">
      <w:pPr>
        <w:pStyle w:val="Bibliografia"/>
        <w:rPr>
          <w:rFonts w:ascii="Arial" w:hAnsi="Arial" w:cs="Arial"/>
          <w:sz w:val="20"/>
        </w:rPr>
      </w:pPr>
      <w:r w:rsidRPr="0029688C">
        <w:rPr>
          <w:rFonts w:ascii="Arial" w:hAnsi="Arial" w:cs="Arial"/>
          <w:sz w:val="20"/>
        </w:rPr>
        <w:t xml:space="preserve">Marchi, S. de, and S. E. Page. 2014. “Agent-Based Models.” </w:t>
      </w:r>
      <w:r w:rsidRPr="0029688C">
        <w:rPr>
          <w:rFonts w:ascii="Arial" w:hAnsi="Arial" w:cs="Arial"/>
          <w:i/>
          <w:iCs/>
          <w:sz w:val="20"/>
        </w:rPr>
        <w:t>Annual Review of Political Science</w:t>
      </w:r>
      <w:r w:rsidRPr="0029688C">
        <w:rPr>
          <w:rFonts w:ascii="Arial" w:hAnsi="Arial" w:cs="Arial"/>
          <w:sz w:val="20"/>
        </w:rPr>
        <w:t xml:space="preserve"> 17 (1): 1–20. https://doi.org/10.1146/annurev-polisci-080812-191558.</w:t>
      </w:r>
    </w:p>
    <w:p w:rsidR="0029688C" w:rsidRPr="0029688C" w:rsidRDefault="0029688C" w:rsidP="0029688C">
      <w:pPr>
        <w:pStyle w:val="Bibliografia"/>
        <w:rPr>
          <w:rFonts w:ascii="Arial" w:hAnsi="Arial" w:cs="Arial"/>
          <w:sz w:val="20"/>
        </w:rPr>
      </w:pPr>
      <w:r w:rsidRPr="0029688C">
        <w:rPr>
          <w:rFonts w:ascii="Arial" w:hAnsi="Arial" w:cs="Arial"/>
          <w:sz w:val="20"/>
        </w:rPr>
        <w:t xml:space="preserve">Ostrom, E. 2005. </w:t>
      </w:r>
      <w:r w:rsidRPr="0029688C">
        <w:rPr>
          <w:rFonts w:ascii="Arial" w:hAnsi="Arial" w:cs="Arial"/>
          <w:i/>
          <w:iCs/>
          <w:sz w:val="20"/>
        </w:rPr>
        <w:t>Understanding Institutional Diversity</w:t>
      </w:r>
      <w:r w:rsidRPr="0029688C">
        <w:rPr>
          <w:rFonts w:ascii="Arial" w:hAnsi="Arial" w:cs="Arial"/>
          <w:sz w:val="20"/>
        </w:rPr>
        <w:t>. Princeton: Princeton University Press.</w:t>
      </w:r>
    </w:p>
    <w:p w:rsidR="0029688C" w:rsidRPr="0029688C" w:rsidRDefault="0029688C" w:rsidP="0029688C">
      <w:pPr>
        <w:pStyle w:val="Bibliografia"/>
        <w:rPr>
          <w:rFonts w:ascii="Arial" w:hAnsi="Arial" w:cs="Arial"/>
          <w:sz w:val="20"/>
        </w:rPr>
      </w:pPr>
      <w:r w:rsidRPr="0029688C">
        <w:rPr>
          <w:rFonts w:ascii="Arial" w:hAnsi="Arial" w:cs="Arial"/>
          <w:sz w:val="20"/>
        </w:rPr>
        <w:t xml:space="preserve">———. 2011. “Background on the Institutional Analysis and Development Framework.” </w:t>
      </w:r>
      <w:r w:rsidRPr="0029688C">
        <w:rPr>
          <w:rFonts w:ascii="Arial" w:hAnsi="Arial" w:cs="Arial"/>
          <w:i/>
          <w:iCs/>
          <w:sz w:val="20"/>
        </w:rPr>
        <w:t>Policy Studies Journal</w:t>
      </w:r>
      <w:r w:rsidRPr="0029688C">
        <w:rPr>
          <w:rFonts w:ascii="Arial" w:hAnsi="Arial" w:cs="Arial"/>
          <w:sz w:val="20"/>
        </w:rPr>
        <w:t xml:space="preserve"> 39 (1): 7–27. https://doi.org/10.1111/j.1541-0072.2010.00394.x.</w:t>
      </w:r>
    </w:p>
    <w:p w:rsidR="0029688C" w:rsidRPr="0029688C" w:rsidRDefault="0029688C" w:rsidP="0029688C">
      <w:pPr>
        <w:pStyle w:val="Bibliografia"/>
        <w:rPr>
          <w:rFonts w:ascii="Arial" w:hAnsi="Arial" w:cs="Arial"/>
          <w:sz w:val="20"/>
        </w:rPr>
      </w:pPr>
      <w:r w:rsidRPr="0029688C">
        <w:rPr>
          <w:rFonts w:ascii="Arial" w:hAnsi="Arial" w:cs="Arial"/>
          <w:sz w:val="20"/>
        </w:rPr>
        <w:t xml:space="preserve">Simon, Herbert A. 1959. “Theories of Decision-Making in Economics and Behavioral Science.” </w:t>
      </w:r>
      <w:r w:rsidRPr="0029688C">
        <w:rPr>
          <w:rFonts w:ascii="Arial" w:hAnsi="Arial" w:cs="Arial"/>
          <w:i/>
          <w:iCs/>
          <w:sz w:val="20"/>
        </w:rPr>
        <w:t>The American Economic Review</w:t>
      </w:r>
      <w:r w:rsidRPr="0029688C">
        <w:rPr>
          <w:rFonts w:ascii="Arial" w:hAnsi="Arial" w:cs="Arial"/>
          <w:sz w:val="20"/>
        </w:rPr>
        <w:t xml:space="preserve"> XLIX (3): 253–83.</w:t>
      </w:r>
    </w:p>
    <w:p w:rsidR="003F0ED5" w:rsidRDefault="003F0ED5" w:rsidP="003F0ED5">
      <w:pPr>
        <w:pStyle w:val="Ttulo1"/>
        <w:ind w:left="0"/>
      </w:pPr>
      <w:r w:rsidRPr="003F0ED5">
        <w:rPr>
          <w:sz w:val="20"/>
          <w:szCs w:val="20"/>
        </w:rPr>
        <w:fldChar w:fldCharType="end"/>
      </w:r>
    </w:p>
    <w:sectPr w:rsidR="003F0ED5">
      <w:type w:val="continuous"/>
      <w:pgSz w:w="12240" w:h="15840"/>
      <w:pgMar w:top="12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02"/>
    <w:rsid w:val="000E3C99"/>
    <w:rsid w:val="0029688C"/>
    <w:rsid w:val="003F0ED5"/>
    <w:rsid w:val="00903BAF"/>
    <w:rsid w:val="00B73FF3"/>
    <w:rsid w:val="00CD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6AA25-C966-4709-974D-8EDD6D75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840"/>
      <w:outlineLvl w:val="0"/>
    </w:pPr>
    <w:rPr>
      <w:rFonts w:ascii="Arial" w:eastAsia="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73"/>
      <w:ind w:left="112"/>
    </w:pPr>
    <w:rPr>
      <w:b/>
      <w:bCs/>
      <w:i/>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903BAF"/>
    <w:rPr>
      <w:color w:val="0000FF" w:themeColor="hyperlink"/>
      <w:u w:val="single"/>
    </w:rPr>
  </w:style>
  <w:style w:type="paragraph" w:styleId="Bibliografia">
    <w:name w:val="Bibliography"/>
    <w:basedOn w:val="Normal"/>
    <w:next w:val="Normal"/>
    <w:uiPriority w:val="37"/>
    <w:unhideWhenUsed/>
    <w:rsid w:val="003F0ED5"/>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guelvazquezmartinez@gmail.com" TargetMode="External"/><Relationship Id="rId5" Type="http://schemas.openxmlformats.org/officeDocument/2006/relationships/hyperlink" Target="mailto:jmsilv@gmail.com" TargetMode="External"/><Relationship Id="rId4" Type="http://schemas.openxmlformats.org/officeDocument/2006/relationships/hyperlink" Target="mailto:Gustavo.93.andrea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2126</Words>
  <Characters>12123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dc:creator>
  <cp:lastModifiedBy>Conta da Microsoft</cp:lastModifiedBy>
  <cp:revision>2</cp:revision>
  <dcterms:created xsi:type="dcterms:W3CDTF">2024-03-10T19:15:00Z</dcterms:created>
  <dcterms:modified xsi:type="dcterms:W3CDTF">2024-03-10T19:15:00Z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LTSC</vt:lpwstr>
  </property>
  <property fmtid="{D5CDD505-2E9C-101B-9397-08002B2CF9AE}" pid="4" name="LastSaved">
    <vt:filetime>2024-01-16T00:00:00Z</vt:filetime>
  </property>
  <property fmtid="{D5CDD505-2E9C-101B-9397-08002B2CF9AE}" pid="5" name="ZOTERO_PREF_1">
    <vt:lpwstr>&lt;data data-version="3" zotero-version="6.0.30"&gt;&lt;session id="4wfm86Wd"/&gt;&lt;style id="http://www.zotero.org/styles/chicago-author-date" locale="en-US" hasBibliography="1" bibliographyStyleHasBeenSet="1"/&gt;&lt;prefs&gt;&lt;pref name="fieldType" value="Field"/&gt;&lt;/prefs&gt;&lt;/</vt:lpwstr>
  </property>
  <property fmtid="{D5CDD505-2E9C-101B-9397-08002B2CF9AE}" pid="6" name="ZOTERO_PREF_2">
    <vt:lpwstr>data&gt;</vt:lpwstr>
  </property>
</Properties>
</file>