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sz w:val="20"/>
          <w:szCs w:val="20"/>
          <w:rtl w:val="0"/>
        </w:rPr>
        <w:t xml:space="preserve">Giovanni Leão</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sz w:val="20"/>
          <w:szCs w:val="20"/>
          <w:rtl w:val="0"/>
        </w:rPr>
        <w:t xml:space="preserve">Edson Mota</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1"/>
          <w:sz w:val="20"/>
          <w:szCs w:val="20"/>
          <w:rtl w:val="0"/>
        </w:rPr>
        <w:t xml:space="preserve">SENAI CIMATEC university</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1"/>
          <w:sz w:val="20"/>
          <w:szCs w:val="20"/>
          <w:rtl w:val="0"/>
        </w:rPr>
        <w:t xml:space="preserve">Software, Big Data and AI department</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1"/>
          <w:sz w:val="20"/>
          <w:szCs w:val="20"/>
          <w:rtl w:val="0"/>
        </w:rPr>
        <w:t xml:space="preserve">Salvador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1"/>
          <w:sz w:val="20"/>
          <w:szCs w:val="20"/>
          <w:rtl w:val="0"/>
        </w:rPr>
        <w:t xml:space="preserve">Bahia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1"/>
          <w:sz w:val="20"/>
          <w:szCs w:val="20"/>
          <w:rtl w:val="0"/>
        </w:rPr>
        <w:t xml:space="preserve">Brasil</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superscript"/>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1"/>
          <w:sz w:val="20"/>
          <w:szCs w:val="20"/>
          <w:rtl w:val="0"/>
        </w:rPr>
        <w:t xml:space="preserve">SENAI CIMATEC university, Software, Big Data and AI department, Salvador, Bahia, Brasil</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superscript"/>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8" w:right="318"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8" w:right="318"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Abstract: </w:t>
      </w:r>
      <w:r w:rsidDel="00000000" w:rsidR="00000000" w:rsidRPr="00000000">
        <w:rPr>
          <w:rFonts w:ascii="Times New Roman" w:cs="Times New Roman" w:eastAsia="Times New Roman" w:hAnsi="Times New Roman"/>
          <w:b w:val="1"/>
          <w:sz w:val="20"/>
          <w:szCs w:val="20"/>
          <w:rtl w:val="0"/>
        </w:rPr>
        <w:t xml:space="preserve">The demand for sustainability and practicality in the energy sector is driving the creation of new ways to produce and trade energy. This study aims to propose a new ERC standard for energy tokens based on blockchain to represent both renewable energy units and quality certification issuance. The token will be pegged to real energy, ensuring traceability and functionalities such as burn upon consumption and time-lock. By integrating blockchain technology with the energy sector, this work seeks to demonstrate how tokenization can optimize and democratize the distribution of renewable energy, fostering a sustainable ecosystem.</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8" w:right="31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Keywords: </w:t>
      </w:r>
      <w:r w:rsidDel="00000000" w:rsidR="00000000" w:rsidRPr="00000000">
        <w:rPr>
          <w:rFonts w:ascii="Times New Roman" w:cs="Times New Roman" w:eastAsia="Times New Roman" w:hAnsi="Times New Roman"/>
          <w:b w:val="1"/>
          <w:sz w:val="20"/>
          <w:szCs w:val="20"/>
          <w:rtl w:val="0"/>
        </w:rPr>
        <w:t xml:space="preserve">Renewable energy; Blockchain; Token.</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8" w:right="318" w:firstLine="0"/>
        <w:jc w:val="both"/>
        <w:rPr>
          <w:rFonts w:ascii="Times New Roman" w:cs="Times New Roman" w:eastAsia="Times New Roman" w:hAnsi="Times New Roman"/>
          <w:sz w:val="20"/>
          <w:szCs w:val="20"/>
        </w:rPr>
        <w:sectPr>
          <w:headerReference r:id="rId6" w:type="default"/>
          <w:footerReference r:id="rId7" w:type="default"/>
          <w:pgSz w:h="16839" w:w="11907" w:orient="portrait"/>
          <w:pgMar w:bottom="851" w:top="851" w:left="1134" w:right="992" w:header="720" w:footer="720"/>
          <w:pgNumType w:start="1"/>
        </w:sectPr>
      </w:pPr>
      <w:r w:rsidDel="00000000" w:rsidR="00000000" w:rsidRPr="00000000">
        <w:rPr>
          <w:rtl w:val="0"/>
        </w:rPr>
      </w:r>
    </w:p>
    <w:p w:rsidR="00000000" w:rsidDel="00000000" w:rsidP="00000000" w:rsidRDefault="00000000" w:rsidRPr="00000000" w14:paraId="0000000B">
      <w:pPr>
        <w:spacing w:after="0"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1"/>
        <w:tblpPr w:leftFromText="141" w:rightFromText="141" w:topFromText="0" w:bottomFromText="0" w:vertAnchor="text" w:horzAnchor="text" w:tblpX="-8259" w:tblpY="380.9765625"/>
        <w:tblW w:w="50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1101"/>
        <w:gridCol w:w="1167"/>
        <w:gridCol w:w="1302"/>
        <w:gridCol w:w="933"/>
        <w:tblGridChange w:id="0">
          <w:tblGrid>
            <w:gridCol w:w="567"/>
            <w:gridCol w:w="1101"/>
            <w:gridCol w:w="1167"/>
            <w:gridCol w:w="1302"/>
            <w:gridCol w:w="933"/>
          </w:tblGrid>
        </w:tblGridChange>
      </w:tblGrid>
      <w:tr>
        <w:trPr>
          <w:cantSplit w:val="1"/>
          <w:tblHeader w:val="0"/>
        </w:trPr>
        <w:tc>
          <w:tcPr>
            <w:vMerge w:val="restart"/>
          </w:tcPr>
          <w:p w:rsidR="00000000" w:rsidDel="00000000" w:rsidP="00000000" w:rsidRDefault="00000000" w:rsidRPr="00000000" w14:paraId="0000000C">
            <w:pPr>
              <w:spacing w:after="0" w:line="360" w:lineRule="auto"/>
              <w:jc w:val="center"/>
              <w:rPr>
                <w:rFonts w:ascii="Times New Roman" w:cs="Times New Roman" w:eastAsia="Times New Roman" w:hAnsi="Times New Roman"/>
                <w:sz w:val="16"/>
                <w:szCs w:val="16"/>
              </w:rPr>
            </w:pPr>
            <w:r w:rsidDel="00000000" w:rsidR="00000000" w:rsidRPr="00000000">
              <w:rPr>
                <w:rtl w:val="0"/>
              </w:rPr>
            </w:r>
          </w:p>
        </w:tc>
        <w:tc>
          <w:tcPr>
            <w:gridSpan w:val="4"/>
          </w:tcPr>
          <w:p w:rsidR="00000000" w:rsidDel="00000000" w:rsidP="00000000" w:rsidRDefault="00000000" w:rsidRPr="00000000" w14:paraId="0000000D">
            <w:pPr>
              <w:spacing w:after="0" w:line="360" w:lineRule="auto"/>
              <w:jc w:val="center"/>
              <w:rPr>
                <w:rFonts w:ascii="Times New Roman" w:cs="Times New Roman" w:eastAsia="Times New Roman" w:hAnsi="Times New Roman"/>
                <w:sz w:val="16"/>
                <w:szCs w:val="16"/>
              </w:rPr>
            </w:pPr>
            <w:r w:rsidDel="00000000" w:rsidR="00000000" w:rsidRPr="00000000">
              <w:rPr>
                <w:rtl w:val="0"/>
              </w:rPr>
            </w:r>
          </w:p>
        </w:tc>
      </w:tr>
      <w:tr>
        <w:trPr>
          <w:cantSplit w:val="1"/>
          <w:tblHeader w:val="0"/>
        </w:trPr>
        <w:tc>
          <w:tcPr>
            <w:vMerge w:val="continue"/>
          </w:tcPr>
          <w:p w:rsidR="00000000" w:rsidDel="00000000" w:rsidP="00000000" w:rsidRDefault="00000000" w:rsidRPr="00000000" w14:paraId="00000011">
            <w:pPr>
              <w:widowControl w:val="0"/>
              <w:spacing w:after="0" w:line="276" w:lineRule="auto"/>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12">
            <w:pPr>
              <w:spacing w:after="0" w:line="360" w:lineRule="auto"/>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13">
            <w:pPr>
              <w:spacing w:after="0" w:line="360" w:lineRule="auto"/>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14">
            <w:pPr>
              <w:spacing w:after="0" w:line="360" w:lineRule="auto"/>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15">
            <w:pPr>
              <w:spacing w:after="0" w:line="360" w:lineRule="auto"/>
              <w:jc w:val="center"/>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16">
            <w:pPr>
              <w:spacing w:after="0" w:line="360" w:lineRule="auto"/>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17">
            <w:pPr>
              <w:spacing w:after="0" w:line="360" w:lineRule="auto"/>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18">
            <w:pPr>
              <w:spacing w:after="0" w:line="360" w:lineRule="auto"/>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19">
            <w:pPr>
              <w:spacing w:after="0" w:line="360" w:lineRule="auto"/>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1A">
            <w:pPr>
              <w:spacing w:after="0" w:line="360" w:lineRule="auto"/>
              <w:jc w:val="center"/>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1B">
            <w:pPr>
              <w:spacing w:after="0" w:line="360" w:lineRule="auto"/>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1C">
            <w:pPr>
              <w:spacing w:after="0" w:line="360" w:lineRule="auto"/>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1D">
            <w:pPr>
              <w:spacing w:after="0" w:line="360" w:lineRule="auto"/>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1E">
            <w:pPr>
              <w:spacing w:after="0" w:line="360" w:lineRule="auto"/>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1F">
            <w:pPr>
              <w:spacing w:after="0" w:line="360" w:lineRule="auto"/>
              <w:jc w:val="center"/>
              <w:rPr>
                <w:rFonts w:ascii="Times New Roman" w:cs="Times New Roman" w:eastAsia="Times New Roman" w:hAnsi="Times New Roman"/>
                <w:sz w:val="16"/>
                <w:szCs w:val="16"/>
              </w:rPr>
            </w:pPr>
            <w:r w:rsidDel="00000000" w:rsidR="00000000" w:rsidRPr="00000000">
              <w:rPr>
                <w:rtl w:val="0"/>
              </w:rPr>
            </w:r>
          </w:p>
        </w:tc>
      </w:tr>
    </w:tb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sz w:val="24"/>
          <w:szCs w:val="24"/>
          <w:rtl w:val="0"/>
        </w:rPr>
        <w:t xml:space="preserve"> Introduction</w:t>
      </w:r>
      <w:r w:rsidDel="00000000" w:rsidR="00000000" w:rsidRPr="00000000">
        <w:rPr>
          <w:rtl w:val="0"/>
        </w:rPr>
      </w:r>
    </w:p>
    <w:p w:rsidR="00000000" w:rsidDel="00000000" w:rsidP="00000000" w:rsidRDefault="00000000" w:rsidRPr="00000000" w14:paraId="0000002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global climate crisis and the growing demand for sustainable energy sources require technological solutions that not only optimize the use of natural resources but also ensure transparency, traceability, and decentralization in the generation and distribution of energy. In this context, blockchain technology emerges as a strategic tool capable of transforming the energy sector, directly contributing to the transition towards a cleaner, decentralized, and accessible energy matrix.</w:t>
      </w:r>
    </w:p>
    <w:p w:rsidR="00000000" w:rsidDel="00000000" w:rsidP="00000000" w:rsidRDefault="00000000" w:rsidRPr="00000000" w14:paraId="0000002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Blockchain is a distributed, immutable, and decentralized ledger technology that allows storing information in cryptographically linked blocks. Each block contains data (such as transactions or contracts), the hash of the previous block, and a timestamp, ensuring that records are tamper-proof and auditable by any network participant (Rajasekaran et al., 2022 [1]). This structure eliminates the need for a central authority, creating a secure environment for direct transactions between parties with a </w:t>
      </w:r>
    </w:p>
    <w:p w:rsidR="00000000" w:rsidDel="00000000" w:rsidP="00000000" w:rsidRDefault="00000000" w:rsidRPr="00000000" w14:paraId="00000023">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degree of trust and integrity (Dong et al., 2023 [2]).</w:t>
      </w:r>
    </w:p>
    <w:p w:rsidR="00000000" w:rsidDel="00000000" w:rsidP="00000000" w:rsidRDefault="00000000" w:rsidRPr="00000000" w14:paraId="0000002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Originally developed to support cryptocurrencies such as Bitcoin </w:t>
      </w:r>
      <w:r w:rsidDel="00000000" w:rsidR="00000000" w:rsidRPr="00000000">
        <w:rPr>
          <w:rFonts w:ascii="Times New Roman" w:cs="Times New Roman" w:eastAsia="Times New Roman" w:hAnsi="Times New Roman"/>
          <w:sz w:val="24"/>
          <w:szCs w:val="24"/>
          <w:rtl w:val="0"/>
        </w:rPr>
        <w:t xml:space="preserve">(Nakamoto, 2008 [3])</w:t>
      </w:r>
      <w:r w:rsidDel="00000000" w:rsidR="00000000" w:rsidRPr="00000000">
        <w:rPr>
          <w:rFonts w:ascii="Times New Roman" w:cs="Times New Roman" w:eastAsia="Times New Roman" w:hAnsi="Times New Roman"/>
          <w:sz w:val="24"/>
          <w:szCs w:val="24"/>
          <w:rtl w:val="0"/>
        </w:rPr>
        <w:t xml:space="preserve">, blockchain has evolved far beyond the financial sector. Its fundamental properties like:</w:t>
      </w:r>
      <w:r w:rsidDel="00000000" w:rsidR="00000000" w:rsidRPr="00000000">
        <w:rPr>
          <w:rFonts w:ascii="Times New Roman" w:cs="Times New Roman" w:eastAsia="Times New Roman" w:hAnsi="Times New Roman"/>
          <w:sz w:val="24"/>
          <w:szCs w:val="24"/>
          <w:rtl w:val="0"/>
        </w:rPr>
        <w:t xml:space="preserve"> decentralization, transparency, consensus, and traceability </w:t>
      </w:r>
      <w:r w:rsidDel="00000000" w:rsidR="00000000" w:rsidRPr="00000000">
        <w:rPr>
          <w:rFonts w:ascii="Times New Roman" w:cs="Times New Roman" w:eastAsia="Times New Roman" w:hAnsi="Times New Roman"/>
          <w:sz w:val="24"/>
          <w:szCs w:val="24"/>
          <w:rtl w:val="0"/>
        </w:rPr>
        <w:t xml:space="preserve">have made it a viable alternative for applications in critical areas such as healthcare, logistics, digital identity, and, more recently, energy (Dong et al., 2023 [2]; Rajasekaran et al., 2022 [1]).</w:t>
      </w:r>
    </w:p>
    <w:p w:rsidR="00000000" w:rsidDel="00000000" w:rsidP="00000000" w:rsidRDefault="00000000" w:rsidRPr="00000000" w14:paraId="0000002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energy sector, blockchain has the potential to address some of the main barriers to the energy transition: centralized generation, lack of transaction transparency, and difficulty verifying the origin of consumed energy. With blockchain, it becomes possible to create decentralized energy markets where consumers and small producers, </w:t>
      </w:r>
      <w:r w:rsidDel="00000000" w:rsidR="00000000" w:rsidRPr="00000000">
        <w:rPr>
          <w:rFonts w:ascii="Times New Roman" w:cs="Times New Roman" w:eastAsia="Times New Roman" w:hAnsi="Times New Roman"/>
          <w:sz w:val="24"/>
          <w:szCs w:val="24"/>
          <w:rtl w:val="0"/>
        </w:rPr>
        <w:t xml:space="preserve">such as residential solar panel users</w:t>
      </w:r>
      <w:r w:rsidDel="00000000" w:rsidR="00000000" w:rsidRPr="00000000">
        <w:rPr>
          <w:rFonts w:ascii="Times New Roman" w:cs="Times New Roman" w:eastAsia="Times New Roman" w:hAnsi="Times New Roman"/>
          <w:sz w:val="24"/>
          <w:szCs w:val="24"/>
          <w:rtl w:val="0"/>
        </w:rPr>
        <w:t xml:space="preserve">, can trade their energy surpluses directly in a transparent and secure manner (Mbanyele &amp; Muchenje, 2025 [4]).</w:t>
      </w:r>
    </w:p>
    <w:p w:rsidR="00000000" w:rsidDel="00000000" w:rsidP="00000000" w:rsidRDefault="00000000" w:rsidRPr="00000000" w14:paraId="0000002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traceability of </w:t>
      </w:r>
      <w:r w:rsidDel="00000000" w:rsidR="00000000" w:rsidRPr="00000000">
        <w:rPr>
          <w:rFonts w:ascii="Times New Roman" w:cs="Times New Roman" w:eastAsia="Times New Roman" w:hAnsi="Times New Roman"/>
          <w:sz w:val="24"/>
          <w:szCs w:val="24"/>
          <w:rtl w:val="0"/>
        </w:rPr>
        <w:t xml:space="preserve">blockchain</w:t>
      </w:r>
      <w:r w:rsidDel="00000000" w:rsidR="00000000" w:rsidRPr="00000000">
        <w:rPr>
          <w:rFonts w:ascii="Times New Roman" w:cs="Times New Roman" w:eastAsia="Times New Roman" w:hAnsi="Times New Roman"/>
          <w:sz w:val="24"/>
          <w:szCs w:val="24"/>
          <w:rtl w:val="0"/>
        </w:rPr>
        <w:t xml:space="preserve"> enables permanent and tamper-proof recording of the origin and journey of energy until it reaches the end consumer. This is a significant step toward clean energy certification, which is vital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achieving the United Nations Sustainable Development Goal (SDG) 7: Affordable and Clean Energy. Among its targets are ensuring universal access to energy by 2030, increasing the share of renewable energy in the global mix, and doubling the rate of energy efficiency. Blockchain acts as a technical enabler to achieve these goals more effectively, especially in regions with limited infrastructure (Mbanyele &amp; Muchenje, 2025 [4]).</w:t>
      </w:r>
    </w:p>
    <w:p w:rsidR="00000000" w:rsidDel="00000000" w:rsidP="00000000" w:rsidRDefault="00000000" w:rsidRPr="00000000" w14:paraId="0000002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experiences have already demonstrated the applicability of this technology. Initiatives as EY OpsChain ESG and Circularise, use smart contracts to tokenize carbon data and manage environmental credits automatically, reducing operational costs and increasing data reliability (Christodoulou et al., 2023 [5]; Saberi et al., 2019 [6]).</w:t>
      </w:r>
    </w:p>
    <w:p w:rsidR="00000000" w:rsidDel="00000000" w:rsidP="00000000" w:rsidRDefault="00000000" w:rsidRPr="00000000" w14:paraId="0000002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more than a technological innovation, blockchain is a catalyst for global energy transformation, promoting inclusion, reliability, and environmental responsibility in a sector historically dominated by large corporations and low transparency. By integrating blockchain into energy systems, it is possible not only to accelerate the adoption of renewable sources but also to empower communities and citizens to actively participate in building a fairer and more sustainable energy future. </w:t>
      </w:r>
      <w:r w:rsidDel="00000000" w:rsidR="00000000" w:rsidRPr="00000000">
        <w:rPr>
          <w:rFonts w:ascii="Times New Roman" w:cs="Times New Roman" w:eastAsia="Times New Roman" w:hAnsi="Times New Roman"/>
          <w:sz w:val="24"/>
          <w:szCs w:val="24"/>
          <w:highlight w:val="white"/>
          <w:rtl w:val="0"/>
        </w:rPr>
        <w:t xml:space="preserve">Given this scenario, this research proposes an ERC standard for energy tokens on the blockchain. Tokenization aims to optimize and democratize the distribution of renewable energy, fostering a sustainable and transparent ecosystem in the energy sector.</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2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1"/>
          <w:sz w:val="24"/>
          <w:szCs w:val="24"/>
          <w:rtl w:val="0"/>
        </w:rPr>
        <w:t xml:space="preserve">Objectives</w:t>
      </w:r>
      <w:r w:rsidDel="00000000" w:rsidR="00000000" w:rsidRPr="00000000">
        <w:rPr>
          <w:rtl w:val="0"/>
        </w:rPr>
      </w:r>
    </w:p>
    <w:p w:rsidR="00000000" w:rsidDel="00000000" w:rsidP="00000000" w:rsidRDefault="00000000" w:rsidRPr="00000000" w14:paraId="0000002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General Objective:</w:t>
        <w:br w:type="textWrapping"/>
      </w:r>
      <w:r w:rsidDel="00000000" w:rsidR="00000000" w:rsidRPr="00000000">
        <w:rPr>
          <w:rFonts w:ascii="Times New Roman" w:cs="Times New Roman" w:eastAsia="Times New Roman" w:hAnsi="Times New Roman"/>
          <w:sz w:val="24"/>
          <w:szCs w:val="24"/>
          <w:rtl w:val="0"/>
        </w:rPr>
        <w:t xml:space="preserve"> Propose the ERC-730 standard for the tokenization of renewable energy and Renewable Energy Certificates (RECs).</w:t>
      </w:r>
    </w:p>
    <w:p w:rsidR="00000000" w:rsidDel="00000000" w:rsidP="00000000" w:rsidRDefault="00000000" w:rsidRPr="00000000" w14:paraId="0000002C">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Specific Objectives:</w:t>
      </w:r>
    </w:p>
    <w:p w:rsidR="00000000" w:rsidDel="00000000" w:rsidP="00000000" w:rsidRDefault="00000000" w:rsidRPr="00000000" w14:paraId="0000002D">
      <w:pPr>
        <w:numPr>
          <w:ilvl w:val="0"/>
          <w:numId w:val="1"/>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Analyze the limitations of existing blockchain standards (ERC-721, ERC-1155) in the energy sector.</w:t>
        <w:br w:type="textWrapping"/>
      </w:r>
    </w:p>
    <w:p w:rsidR="00000000" w:rsidDel="00000000" w:rsidP="00000000" w:rsidRDefault="00000000" w:rsidRPr="00000000" w14:paraId="0000002E">
      <w:pPr>
        <w:numPr>
          <w:ilvl w:val="0"/>
          <w:numId w:val="1"/>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 key functionalities of ERC-730</w:t>
        <w:br w:type="textWrapping"/>
      </w:r>
    </w:p>
    <w:p w:rsidR="00000000" w:rsidDel="00000000" w:rsidP="00000000" w:rsidRDefault="00000000" w:rsidRPr="00000000" w14:paraId="0000002F">
      <w:pPr>
        <w:numPr>
          <w:ilvl w:val="0"/>
          <w:numId w:val="1"/>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Demonstrate its alignment with the energy transition.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Methodology</w:t>
      </w:r>
    </w:p>
    <w:p w:rsidR="00000000" w:rsidDel="00000000" w:rsidP="00000000" w:rsidRDefault="00000000" w:rsidRPr="00000000" w14:paraId="0000003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an exploratory and qualitative research based on a systematic literature review (2019–2025) in databases such as IEEE Xplore, ScienceDirect, and Scopus.</w:t>
      </w:r>
    </w:p>
    <w:p w:rsidR="00000000" w:rsidDel="00000000" w:rsidP="00000000" w:rsidRDefault="00000000" w:rsidRPr="00000000" w14:paraId="0000003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Selection criteria:</w:t>
      </w:r>
      <w:r w:rsidDel="00000000" w:rsidR="00000000" w:rsidRPr="00000000">
        <w:rPr>
          <w:rFonts w:ascii="Times New Roman" w:cs="Times New Roman" w:eastAsia="Times New Roman" w:hAnsi="Times New Roman"/>
          <w:sz w:val="24"/>
          <w:szCs w:val="24"/>
          <w:rtl w:val="0"/>
        </w:rPr>
        <w:t xml:space="preserve"> Articles addressing blockchain applied to renewable energy, certification, and ERC standards.</w:t>
        <w:br w:type="textWrapping"/>
        <w:t xml:space="preserve"> The comparative analysis focused on functionalities, gaps, and use cases.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Related Work</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recent decades, several proposals have explored the use of blockchain technology to address the challenges of traceability, decentralization, and security in the energy sector, especially in the trading and certification of renewable energy. The ERC-730 proposal, by representing both renewable energy units and certificates (RECs) in unique digital tokens, integrates advanced tracking and temporal control features, standing out from previous models.</w:t>
      </w:r>
    </w:p>
    <w:p w:rsidR="00000000" w:rsidDel="00000000" w:rsidP="00000000" w:rsidRDefault="00000000" w:rsidRPr="00000000" w14:paraId="0000003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(Ramalingam et al., 2025 [7]) proposed a blockchain-based model for decentralized energy trading that optimizes the global supply chain with smart contracts and adaptive pricing algorithms based on historical data. Although the model is robust in terms of market efficiency, it does not directly address REC tokenization or mechanisms such as burn or time-lock, which are differentiators of ERC-730.</w:t>
      </w:r>
    </w:p>
    <w:p w:rsidR="00000000" w:rsidDel="00000000" w:rsidP="00000000" w:rsidRDefault="00000000" w:rsidRPr="00000000" w14:paraId="0000003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(Naraindath et al., 2025 [8]) explored dynamic pricing and adaptive optimization in microgrids, focusing on a reputation system and consensus validation for P2P transactions. The proposal prioritizes operational efficiency and network control but does not delve into the tokenized representation of energy or environmental certification as ERC-730 does.</w:t>
      </w:r>
    </w:p>
    <w:p w:rsidR="00000000" w:rsidDel="00000000" w:rsidP="00000000" w:rsidRDefault="00000000" w:rsidRPr="00000000" w14:paraId="0000003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(Marques et al., 2025 [9]) proposed a system of tokenized renewable energy certificates (RECs) issued and traded through a decentralized autonomous organization (DAO), using smart contracts to regulate periodic negotiations. Although they share with ERC-730 the use of tokens to represent RECs, their proposal focuses on market behavior and investment uncertainty, without technical features such as consumption-based burn or programmable temporal control of tokens.</w:t>
      </w:r>
    </w:p>
    <w:p w:rsidR="00000000" w:rsidDel="00000000" w:rsidP="00000000" w:rsidRDefault="00000000" w:rsidRPr="00000000" w14:paraId="0000003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works have advanced blockchain integration into the REC market.  (Liu et al., 2025 [10]) proposed an approach based on Directed Acyclic Graphs (DAG), emphasizing transaction privacy and scalability, while  (Haryani et al., 2025 [11]) in a study applied to Indonesia, used semi-fungible tokens and a national traceability system focusing on transparency and security of REC transactions.</w:t>
      </w:r>
    </w:p>
    <w:p w:rsidR="00000000" w:rsidDel="00000000" w:rsidP="00000000" w:rsidRDefault="00000000" w:rsidRPr="00000000" w14:paraId="0000003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(Yamaguchi et al., 2021 [12]) analyzed blockchain adoption in the Brazilian energy sector, highlighting the importance of institutional and regulatory factors in the feasibility and implementation of digital solutions such as energy certificates. Although they do not present a technical architecture, the discussion underscores the importance of standardization and compliance, points that ERC-730 addresses directly.</w:t>
      </w:r>
    </w:p>
    <w:p w:rsidR="00000000" w:rsidDel="00000000" w:rsidP="00000000" w:rsidRDefault="00000000" w:rsidRPr="00000000" w14:paraId="0000003C">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(Marin et al., 2023 [13]) proposed the use of multi-token standards such as ERC-1155 to represent electricity and heat simultaneously in energy trading between buildings. Their solution enables integrated transactions in local markets, optimizing the use of thermal and electrical energy. ERC-730, in contrast, presents a more specific approach aimed at certifying renewable electrical energy, with a focus on temporal control, traceability, and REC integrity.</w:t>
      </w:r>
    </w:p>
    <w:p w:rsidR="00000000" w:rsidDel="00000000" w:rsidP="00000000" w:rsidRDefault="00000000" w:rsidRPr="00000000" w14:paraId="0000003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(Singh et al., 2025 [14]) also contributed with a digital twin-based approach for predictive maintenance of renewable energy networks. Although their focus is on maintenance and predictive modeling, they share with ERC-730 the use of tokens for monitoring and automation in decentralized networks, evidencing possibilities for technological convergence.</w:t>
      </w:r>
    </w:p>
    <w:p w:rsidR="00000000" w:rsidDel="00000000" w:rsidP="00000000" w:rsidRDefault="00000000" w:rsidRPr="00000000" w14:paraId="0000003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although various approaches exist for integrating blockchain into the energy sector, ERC-730 stands out by combining energy certification, traceability, and automated control via smart contracts, promoting a robust and auditable model for sustainable and decentralized energy transactions.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Technical Proposal: ERC-730</w:t>
      </w:r>
      <w:r w:rsidDel="00000000" w:rsidR="00000000" w:rsidRPr="00000000">
        <w:rPr>
          <w:rtl w:val="0"/>
        </w:rPr>
      </w:r>
    </w:p>
    <w:p w:rsidR="00000000" w:rsidDel="00000000" w:rsidP="00000000" w:rsidRDefault="00000000" w:rsidRPr="00000000" w14:paraId="0000004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pursuit of sustainable solutions intensifies, especially in the context of renewable energy generation and trading, the need for tools that ensure transparency, traceability, and decentralization in the processes involved becomes evident. Blockchain technology, with its immutable and distributed properties, has already shown great potential in this scenario (Christodoulou et al., 2022 [15]; Dong et al., 2023 [2]). However, for its application in the energy sector to be truly useful, it is elementary to develop specific standards that address the particularities of this field (Marin et al., 2023 [13]).</w:t>
      </w:r>
    </w:p>
    <w:p w:rsidR="00000000" w:rsidDel="00000000" w:rsidP="00000000" w:rsidRDefault="00000000" w:rsidRPr="00000000" w14:paraId="0000004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this context.  ERC-730 is proposed: A technical standard aimed at tokenizing units of energy and renewable energy certificates (RECs) in a secure, auditable, and automated format. Through unique digital tokens, each unit of energy generated, for example: 1 kWh, can be immutably recorded on the blockchain, enabling its traceability and authentication. In addition, the standard enables the tokenization of RECs, ensuring the integrity and origin of the traded energy while facilitating its negotiation in decentralized markets and P2P platforms (Marques et al., 2025 [9]).</w:t>
      </w:r>
    </w:p>
    <w:p w:rsidR="00000000" w:rsidDel="00000000" w:rsidP="00000000" w:rsidRDefault="00000000" w:rsidRPr="00000000" w14:paraId="0000004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ERC-730 is designed to include essential metadata directly in the token, such as: type and source of energy (solar, wind, biomass, etc.), location and date of generation, producer identifier, temporal validity, current status (available, consumed, expired, or retired), and a verification hash linked to external certifications. These elements make it possible to integrate with smart metering systems and reliable oracles, ensuring that the information associated with the token is verifiable and secure.</w:t>
      </w:r>
    </w:p>
    <w:p w:rsidR="00000000" w:rsidDel="00000000" w:rsidP="00000000" w:rsidRDefault="00000000" w:rsidRPr="00000000" w14:paraId="0000004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differential of ERC-730 lies in the proposal for advanced automation features not fully addressed by existing standards such as ERC-721 (NFTs) or ERC-1155 (SFTs) (Haryani et al., 2025 [11]). Among its key functions are:</w:t>
      </w:r>
    </w:p>
    <w:p w:rsidR="00000000" w:rsidDel="00000000" w:rsidP="00000000" w:rsidRDefault="00000000" w:rsidRPr="00000000" w14:paraId="00000045">
      <w:pPr>
        <w:numPr>
          <w:ilvl w:val="0"/>
          <w:numId w:val="2"/>
        </w:numPr>
        <w:spacing w:after="0" w:afterAutospacing="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Burn upon consumption:</w:t>
      </w:r>
      <w:r w:rsidDel="00000000" w:rsidR="00000000" w:rsidRPr="00000000">
        <w:rPr>
          <w:rFonts w:ascii="Times New Roman" w:cs="Times New Roman" w:eastAsia="Times New Roman" w:hAnsi="Times New Roman"/>
          <w:sz w:val="24"/>
          <w:szCs w:val="24"/>
          <w:rtl w:val="0"/>
        </w:rPr>
        <w:t xml:space="preserve"> Automatic deletion of the token when the corresponding energy is effectively consumed, preventing reuse or improper resale and combating greenwashing and double counting (Liu et al., 2025 [10]; Yamaguchi et al., 2021 [12]).</w:t>
        <w:br w:type="textWrapping"/>
      </w:r>
    </w:p>
    <w:p w:rsidR="00000000" w:rsidDel="00000000" w:rsidP="00000000" w:rsidRDefault="00000000" w:rsidRPr="00000000" w14:paraId="00000046">
      <w:pPr>
        <w:numPr>
          <w:ilvl w:val="0"/>
          <w:numId w:val="2"/>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Programmable time-lock:</w:t>
      </w:r>
      <w:r w:rsidDel="00000000" w:rsidR="00000000" w:rsidRPr="00000000">
        <w:rPr>
          <w:rFonts w:ascii="Times New Roman" w:cs="Times New Roman" w:eastAsia="Times New Roman" w:hAnsi="Times New Roman"/>
          <w:sz w:val="24"/>
          <w:szCs w:val="24"/>
          <w:rtl w:val="0"/>
        </w:rPr>
        <w:t xml:space="preserve"> Definition of a temporal validity interval after which the token loses its certifying function, even without recorded consumption. This feature supports regulatory compliance, ESG audits, and contracts tied to specific cycles (Mbanyele and Muchenje, 2025 [4]).</w:t>
        <w:br w:type="textWrapping"/>
      </w:r>
    </w:p>
    <w:p w:rsidR="00000000" w:rsidDel="00000000" w:rsidP="00000000" w:rsidRDefault="00000000" w:rsidRPr="00000000" w14:paraId="00000047">
      <w:pPr>
        <w:numPr>
          <w:ilvl w:val="0"/>
          <w:numId w:val="2"/>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Voluntary retirement:</w:t>
      </w:r>
      <w:r w:rsidDel="00000000" w:rsidR="00000000" w:rsidRPr="00000000">
        <w:rPr>
          <w:rFonts w:ascii="Times New Roman" w:cs="Times New Roman" w:eastAsia="Times New Roman" w:hAnsi="Times New Roman"/>
          <w:sz w:val="24"/>
          <w:szCs w:val="24"/>
          <w:rtl w:val="0"/>
        </w:rPr>
        <w:t xml:space="preserve"> Intentional removal of the token from the market before consumption, often used to prove carbon neutrality or achieve corporate environmental goals.</w:t>
        <w:br w:type="textWrapping"/>
      </w:r>
    </w:p>
    <w:p w:rsidR="00000000" w:rsidDel="00000000" w:rsidP="00000000" w:rsidRDefault="00000000" w:rsidRPr="00000000" w14:paraId="00000048">
      <w:pPr>
        <w:numPr>
          <w:ilvl w:val="0"/>
          <w:numId w:val="2"/>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Origin verification and certification:</w:t>
      </w:r>
      <w:r w:rsidDel="00000000" w:rsidR="00000000" w:rsidRPr="00000000">
        <w:rPr>
          <w:rFonts w:ascii="Times New Roman" w:cs="Times New Roman" w:eastAsia="Times New Roman" w:hAnsi="Times New Roman"/>
          <w:sz w:val="24"/>
          <w:szCs w:val="24"/>
          <w:rtl w:val="0"/>
        </w:rPr>
        <w:t xml:space="preserve"> Linking the token to certificates issued by recognized entities, recorded in a cryptographically verifiable way, ensuring compliance with standards such as I-REC and ISO.</w:t>
        <w:br w:type="textWrapping"/>
      </w:r>
    </w:p>
    <w:p w:rsidR="00000000" w:rsidDel="00000000" w:rsidP="00000000" w:rsidRDefault="00000000" w:rsidRPr="00000000" w14:paraId="00000049">
      <w:pPr>
        <w:numPr>
          <w:ilvl w:val="0"/>
          <w:numId w:val="2"/>
        </w:numPr>
        <w:spacing w:after="24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Compatibility with P2P markets and corporate auctions:</w:t>
      </w:r>
      <w:r w:rsidDel="00000000" w:rsidR="00000000" w:rsidRPr="00000000">
        <w:rPr>
          <w:rFonts w:ascii="Times New Roman" w:cs="Times New Roman" w:eastAsia="Times New Roman" w:hAnsi="Times New Roman"/>
          <w:sz w:val="24"/>
          <w:szCs w:val="24"/>
          <w:rtl w:val="0"/>
        </w:rPr>
        <w:t xml:space="preserve"> Full transferability while valid, enabling direct negotiations between producers and consumers, as well as participation in auctions and private contracts.</w:t>
        <w:br w:type="textWrapping"/>
      </w:r>
    </w:p>
    <w:p w:rsidR="00000000" w:rsidDel="00000000" w:rsidP="00000000" w:rsidRDefault="00000000" w:rsidRPr="00000000" w14:paraId="0000004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characteristics make ERC-730 particularly suitable for decentralized energy ecosystems, such as microgrids, energy communities, and corporate contracts, where small producers, such as households with solar panels, can trade their surplus energy directly with end consumers, eliminating intermediaries. This standard:</w:t>
      </w:r>
    </w:p>
    <w:p w:rsidR="00000000" w:rsidDel="00000000" w:rsidP="00000000" w:rsidRDefault="00000000" w:rsidRPr="00000000" w14:paraId="0000004B">
      <w:pPr>
        <w:numPr>
          <w:ilvl w:val="0"/>
          <w:numId w:val="3"/>
        </w:numPr>
        <w:spacing w:after="0" w:afterAutospacing="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Democratizes access to clean energy.</w:t>
        <w:br w:type="textWrapping"/>
      </w:r>
    </w:p>
    <w:p w:rsidR="00000000" w:rsidDel="00000000" w:rsidP="00000000" w:rsidRDefault="00000000" w:rsidRPr="00000000" w14:paraId="0000004C">
      <w:pPr>
        <w:numPr>
          <w:ilvl w:val="0"/>
          <w:numId w:val="3"/>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Reduces certification and audit operational costs.</w:t>
        <w:br w:type="textWrapping"/>
      </w:r>
    </w:p>
    <w:p w:rsidR="00000000" w:rsidDel="00000000" w:rsidP="00000000" w:rsidRDefault="00000000" w:rsidRPr="00000000" w14:paraId="0000004D">
      <w:pPr>
        <w:numPr>
          <w:ilvl w:val="0"/>
          <w:numId w:val="3"/>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Promotes decentralization of energy production.</w:t>
        <w:br w:type="textWrapping"/>
      </w:r>
    </w:p>
    <w:p w:rsidR="00000000" w:rsidDel="00000000" w:rsidP="00000000" w:rsidRDefault="00000000" w:rsidRPr="00000000" w14:paraId="0000004E">
      <w:pPr>
        <w:numPr>
          <w:ilvl w:val="0"/>
          <w:numId w:val="3"/>
        </w:numPr>
        <w:spacing w:after="24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Creates a secure and auditable secondary market for RECs and green energy.</w:t>
        <w:br w:type="textWrapping"/>
      </w:r>
    </w:p>
    <w:p w:rsidR="00000000" w:rsidDel="00000000" w:rsidP="00000000" w:rsidRDefault="00000000" w:rsidRPr="00000000" w14:paraId="0000004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commercial transactions, ERC-730 can be integrated into government subsidy systems in which tokens are distributed free of charge to low-income families, with usage tracked via smart meters and automatic burn after consumption (Dong et al., 2023 [2]). Another example is the digital export of renewable energy, in which exporting countries sell tokens representing clean energy to foreign consumers as part of carbon neutrality policies with full traceability from origin to consumption (Haryani et al., 2025 [11]).</w:t>
      </w:r>
    </w:p>
    <w:p w:rsidR="00000000" w:rsidDel="00000000" w:rsidP="00000000" w:rsidRDefault="00000000" w:rsidRPr="00000000" w14:paraId="0000005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than just a technical tool, ERC-730 proposes a structural transformation in the energy certification model. It allows the entire trajectory of energy, from generation to consumption, to be recorded publicly, auditably, and reliably, in compliance with good environmental, social, and corporate governance (ESG) practices. The traceability provided by this standard not only hinders fraud such as double counting but also enables automated audits, integration with carbon credit platforms, and interoperability with international standards (Marin, Cioara, and Anghel, 2023 [13]; Mbanyele and Muchenje, 2025 [4]).</w:t>
      </w:r>
    </w:p>
    <w:p w:rsidR="00000000" w:rsidDel="00000000" w:rsidP="00000000" w:rsidRDefault="00000000" w:rsidRPr="00000000" w14:paraId="0000005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proposal is aligned with global goals such as the United Nations Sustainable Development Goal 7 (SDG 7), which aims to ensure reliable, sustainable, and modern energy access for all. By encouraging distributed production, facilitating access to renewable sources, and modernizing energy infrastructure with secure and accessible technologies, ERC-730 directly contributes to this international agenda (Christodoulou et al., 2022 [15]).</w:t>
      </w:r>
    </w:p>
    <w:p w:rsidR="00000000" w:rsidDel="00000000" w:rsidP="00000000" w:rsidRDefault="00000000" w:rsidRPr="00000000" w14:paraId="0000005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ERC-730 represents a proposal to make the energy sector cleaner, more transparent, and more complete. Its adoption could stimulate new business models, reduce entry barriers for small producers, strengthen environmental public policies, and consolidate blockchain as a fundamental infrastructure for a decentralized, fair, and technologically robust energy future.</w:t>
        <w:br w:type="textWrapping"/>
      </w:r>
    </w:p>
    <w:p w:rsidR="00000000" w:rsidDel="00000000" w:rsidP="00000000" w:rsidRDefault="00000000" w:rsidRPr="00000000" w14:paraId="00000053">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Conclusion</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tokens to represent renewable energy is a promising innovation to revolutionize the way the energy sector trades, ensuring security, transparency, and efficiency in transactions. The proposed model promotes autonomy and accessibility to clean and renewable energy.</w:t>
      </w:r>
    </w:p>
    <w:p w:rsidR="00000000" w:rsidDel="00000000" w:rsidP="00000000" w:rsidRDefault="00000000" w:rsidRPr="00000000" w14:paraId="000000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tokens backed by kWh and renewable energy certificates enables a traceable system, in addition to proposing functions such as burn upon consumption and time-lock, strengthening system reliability.</w:t>
      </w:r>
    </w:p>
    <w:p w:rsidR="00000000" w:rsidDel="00000000" w:rsidP="00000000" w:rsidRDefault="00000000" w:rsidRPr="00000000" w14:paraId="0000005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steps will be to develop a computer simulation focused on testing the feasibility of the solution in an experimental environment, verifying aspects such as transaction efficiency, fraud prevention, and impact on democratizing access to renewable energy.</w:t>
      </w:r>
    </w:p>
    <w:p w:rsidR="00000000" w:rsidDel="00000000" w:rsidP="00000000" w:rsidRDefault="00000000" w:rsidRPr="00000000" w14:paraId="000000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one of the first proposals to implement a token standard backed by kWh with automated certification via blockchain, this work enables an unprecedented model for P2P renewable energy trading, aligned with global sustainability demands.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spacing w:after="240" w:before="240" w:line="276" w:lineRule="auto"/>
        <w:ind w:left="4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[1] Rajasekaran AS, Azees M, Al-Turjman F. A comprehensive survey on blockchain technology. </w:t>
      </w:r>
      <w:r w:rsidDel="00000000" w:rsidR="00000000" w:rsidRPr="00000000">
        <w:rPr>
          <w:rFonts w:ascii="Times New Roman" w:cs="Times New Roman" w:eastAsia="Times New Roman" w:hAnsi="Times New Roman"/>
          <w:i w:val="1"/>
          <w:sz w:val="20"/>
          <w:szCs w:val="20"/>
          <w:rtl w:val="0"/>
        </w:rPr>
        <w:t xml:space="preserve">Sustainable Energy Technol Assess</w:t>
      </w:r>
      <w:r w:rsidDel="00000000" w:rsidR="00000000" w:rsidRPr="00000000">
        <w:rPr>
          <w:rFonts w:ascii="Times New Roman" w:cs="Times New Roman" w:eastAsia="Times New Roman" w:hAnsi="Times New Roman"/>
          <w:sz w:val="20"/>
          <w:szCs w:val="20"/>
          <w:rtl w:val="0"/>
        </w:rPr>
        <w:t xml:space="preserve">. 2022;52:102039. Available from:</w:t>
      </w:r>
      <w:hyperlink r:id="rId8">
        <w:r w:rsidDel="00000000" w:rsidR="00000000" w:rsidRPr="00000000">
          <w:rPr>
            <w:rFonts w:ascii="Times New Roman" w:cs="Times New Roman" w:eastAsia="Times New Roman" w:hAnsi="Times New Roman"/>
            <w:sz w:val="20"/>
            <w:szCs w:val="20"/>
            <w:rtl w:val="0"/>
          </w:rPr>
          <w:t xml:space="preserve"> </w:t>
        </w:r>
      </w:hyperlink>
      <w:hyperlink r:id="rId9">
        <w:r w:rsidDel="00000000" w:rsidR="00000000" w:rsidRPr="00000000">
          <w:rPr>
            <w:rFonts w:ascii="Times New Roman" w:cs="Times New Roman" w:eastAsia="Times New Roman" w:hAnsi="Times New Roman"/>
            <w:color w:val="1155cc"/>
            <w:sz w:val="20"/>
            <w:szCs w:val="20"/>
            <w:u w:val="single"/>
            <w:rtl w:val="0"/>
          </w:rPr>
          <w:t xml:space="preserve">https://doi.org/10.1016/j.seta.2022.102039</w:t>
        </w:r>
      </w:hyperlink>
      <w:r w:rsidDel="00000000" w:rsidR="00000000" w:rsidRPr="00000000">
        <w:rPr>
          <w:rFonts w:ascii="Times New Roman" w:cs="Times New Roman" w:eastAsia="Times New Roman" w:hAnsi="Times New Roman"/>
          <w:sz w:val="20"/>
          <w:szCs w:val="20"/>
          <w:rtl w:val="0"/>
        </w:rPr>
        <w:t xml:space="preserve"> [cited 2025 Jul 23].</w:t>
      </w:r>
    </w:p>
    <w:p w:rsidR="00000000" w:rsidDel="00000000" w:rsidP="00000000" w:rsidRDefault="00000000" w:rsidRPr="00000000" w14:paraId="0000005C">
      <w:pPr>
        <w:spacing w:after="240" w:before="240" w:line="276" w:lineRule="auto"/>
        <w:ind w:left="4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[2] Dong S, Abbas K, Li M, Kamruzzaman J. Blockchain technology and application: an overview. </w:t>
      </w:r>
      <w:r w:rsidDel="00000000" w:rsidR="00000000" w:rsidRPr="00000000">
        <w:rPr>
          <w:rFonts w:ascii="Times New Roman" w:cs="Times New Roman" w:eastAsia="Times New Roman" w:hAnsi="Times New Roman"/>
          <w:i w:val="1"/>
          <w:sz w:val="20"/>
          <w:szCs w:val="20"/>
          <w:rtl w:val="0"/>
        </w:rPr>
        <w:t xml:space="preserve">PeerJ Comput Sci</w:t>
      </w:r>
      <w:r w:rsidDel="00000000" w:rsidR="00000000" w:rsidRPr="00000000">
        <w:rPr>
          <w:rFonts w:ascii="Times New Roman" w:cs="Times New Roman" w:eastAsia="Times New Roman" w:hAnsi="Times New Roman"/>
          <w:sz w:val="20"/>
          <w:szCs w:val="20"/>
          <w:rtl w:val="0"/>
        </w:rPr>
        <w:t xml:space="preserve">. 2023;9:e1705. Available from:</w:t>
      </w:r>
      <w:hyperlink r:id="rId10">
        <w:r w:rsidDel="00000000" w:rsidR="00000000" w:rsidRPr="00000000">
          <w:rPr>
            <w:rFonts w:ascii="Times New Roman" w:cs="Times New Roman" w:eastAsia="Times New Roman" w:hAnsi="Times New Roman"/>
            <w:sz w:val="20"/>
            <w:szCs w:val="20"/>
            <w:rtl w:val="0"/>
          </w:rPr>
          <w:t xml:space="preserve"> </w:t>
        </w:r>
      </w:hyperlink>
      <w:hyperlink r:id="rId11">
        <w:r w:rsidDel="00000000" w:rsidR="00000000" w:rsidRPr="00000000">
          <w:rPr>
            <w:rFonts w:ascii="Times New Roman" w:cs="Times New Roman" w:eastAsia="Times New Roman" w:hAnsi="Times New Roman"/>
            <w:color w:val="1155cc"/>
            <w:sz w:val="20"/>
            <w:szCs w:val="20"/>
            <w:u w:val="single"/>
            <w:rtl w:val="0"/>
          </w:rPr>
          <w:t xml:space="preserve">https://peerj.com/articles/cs-1705/</w:t>
        </w:r>
      </w:hyperlink>
      <w:r w:rsidDel="00000000" w:rsidR="00000000" w:rsidRPr="00000000">
        <w:rPr>
          <w:rFonts w:ascii="Times New Roman" w:cs="Times New Roman" w:eastAsia="Times New Roman" w:hAnsi="Times New Roman"/>
          <w:sz w:val="20"/>
          <w:szCs w:val="20"/>
          <w:rtl w:val="0"/>
        </w:rPr>
        <w:t xml:space="preserve"> [cited 2025 Jul 23].</w:t>
      </w:r>
    </w:p>
    <w:p w:rsidR="00000000" w:rsidDel="00000000" w:rsidP="00000000" w:rsidRDefault="00000000" w:rsidRPr="00000000" w14:paraId="0000005D">
      <w:pPr>
        <w:spacing w:after="240" w:before="240" w:line="276" w:lineRule="auto"/>
        <w:ind w:left="4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[3] Nakamoto S. Bitcoin: A Peer-to-Peer Electronic Cash System. 2008. Available from:</w:t>
      </w:r>
      <w:hyperlink r:id="rId12">
        <w:r w:rsidDel="00000000" w:rsidR="00000000" w:rsidRPr="00000000">
          <w:rPr>
            <w:rFonts w:ascii="Times New Roman" w:cs="Times New Roman" w:eastAsia="Times New Roman" w:hAnsi="Times New Roman"/>
            <w:sz w:val="20"/>
            <w:szCs w:val="20"/>
            <w:rtl w:val="0"/>
          </w:rPr>
          <w:t xml:space="preserve"> </w:t>
        </w:r>
      </w:hyperlink>
      <w:hyperlink r:id="rId13">
        <w:r w:rsidDel="00000000" w:rsidR="00000000" w:rsidRPr="00000000">
          <w:rPr>
            <w:rFonts w:ascii="Times New Roman" w:cs="Times New Roman" w:eastAsia="Times New Roman" w:hAnsi="Times New Roman"/>
            <w:color w:val="1155cc"/>
            <w:sz w:val="20"/>
            <w:szCs w:val="20"/>
            <w:u w:val="single"/>
            <w:rtl w:val="0"/>
          </w:rPr>
          <w:t xml:space="preserve">https://bitcoin.org/bitcoin.pdf</w:t>
        </w:r>
      </w:hyperlink>
      <w:r w:rsidDel="00000000" w:rsidR="00000000" w:rsidRPr="00000000">
        <w:rPr>
          <w:rFonts w:ascii="Times New Roman" w:cs="Times New Roman" w:eastAsia="Times New Roman" w:hAnsi="Times New Roman"/>
          <w:sz w:val="20"/>
          <w:szCs w:val="20"/>
          <w:rtl w:val="0"/>
        </w:rPr>
        <w:t xml:space="preserve"> [cited 2025 Jul 23].</w:t>
      </w:r>
    </w:p>
    <w:p w:rsidR="00000000" w:rsidDel="00000000" w:rsidP="00000000" w:rsidRDefault="00000000" w:rsidRPr="00000000" w14:paraId="0000005E">
      <w:pPr>
        <w:spacing w:after="240" w:before="240" w:line="276" w:lineRule="auto"/>
        <w:ind w:left="4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[4] Mbanyele W, Muchenje LT. Towards a greener future: The role of blockchain legislation in promoting corporate green innovation. </w:t>
      </w:r>
      <w:r w:rsidDel="00000000" w:rsidR="00000000" w:rsidRPr="00000000">
        <w:rPr>
          <w:rFonts w:ascii="Times New Roman" w:cs="Times New Roman" w:eastAsia="Times New Roman" w:hAnsi="Times New Roman"/>
          <w:i w:val="1"/>
          <w:sz w:val="20"/>
          <w:szCs w:val="20"/>
          <w:rtl w:val="0"/>
        </w:rPr>
        <w:t xml:space="preserve">Int Rev Econ Finance</w:t>
      </w:r>
      <w:r w:rsidDel="00000000" w:rsidR="00000000" w:rsidRPr="00000000">
        <w:rPr>
          <w:rFonts w:ascii="Times New Roman" w:cs="Times New Roman" w:eastAsia="Times New Roman" w:hAnsi="Times New Roman"/>
          <w:sz w:val="20"/>
          <w:szCs w:val="20"/>
          <w:rtl w:val="0"/>
        </w:rPr>
        <w:t xml:space="preserve">. 2025;103:104400. Available from:</w:t>
      </w:r>
      <w:hyperlink r:id="rId14">
        <w:r w:rsidDel="00000000" w:rsidR="00000000" w:rsidRPr="00000000">
          <w:rPr>
            <w:rFonts w:ascii="Times New Roman" w:cs="Times New Roman" w:eastAsia="Times New Roman" w:hAnsi="Times New Roman"/>
            <w:sz w:val="20"/>
            <w:szCs w:val="20"/>
            <w:rtl w:val="0"/>
          </w:rPr>
          <w:t xml:space="preserve"> </w:t>
        </w:r>
      </w:hyperlink>
      <w:hyperlink r:id="rId15">
        <w:r w:rsidDel="00000000" w:rsidR="00000000" w:rsidRPr="00000000">
          <w:rPr>
            <w:rFonts w:ascii="Times New Roman" w:cs="Times New Roman" w:eastAsia="Times New Roman" w:hAnsi="Times New Roman"/>
            <w:color w:val="1155cc"/>
            <w:sz w:val="20"/>
            <w:szCs w:val="20"/>
            <w:u w:val="single"/>
            <w:rtl w:val="0"/>
          </w:rPr>
          <w:t xml:space="preserve">https://doi.org/10.1016/j.iref.2025.104400</w:t>
        </w:r>
      </w:hyperlink>
      <w:r w:rsidDel="00000000" w:rsidR="00000000" w:rsidRPr="00000000">
        <w:rPr>
          <w:rFonts w:ascii="Times New Roman" w:cs="Times New Roman" w:eastAsia="Times New Roman" w:hAnsi="Times New Roman"/>
          <w:sz w:val="20"/>
          <w:szCs w:val="20"/>
          <w:rtl w:val="0"/>
        </w:rPr>
        <w:t xml:space="preserve"> [cited 2025 Jul 23].</w:t>
      </w:r>
    </w:p>
    <w:p w:rsidR="00000000" w:rsidDel="00000000" w:rsidP="00000000" w:rsidRDefault="00000000" w:rsidRPr="00000000" w14:paraId="0000005F">
      <w:pPr>
        <w:spacing w:after="240" w:before="240" w:line="276" w:lineRule="auto"/>
        <w:ind w:left="4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[5] Christodoulou I, Kapsalis A, Lalis S. Blockchain and energy systems: A comprehensive overview. </w:t>
      </w:r>
      <w:r w:rsidDel="00000000" w:rsidR="00000000" w:rsidRPr="00000000">
        <w:rPr>
          <w:rFonts w:ascii="Times New Roman" w:cs="Times New Roman" w:eastAsia="Times New Roman" w:hAnsi="Times New Roman"/>
          <w:i w:val="1"/>
          <w:sz w:val="20"/>
          <w:szCs w:val="20"/>
          <w:rtl w:val="0"/>
        </w:rPr>
        <w:t xml:space="preserve">Renewable Sustainable Energy Rev</w:t>
      </w:r>
      <w:r w:rsidDel="00000000" w:rsidR="00000000" w:rsidRPr="00000000">
        <w:rPr>
          <w:rFonts w:ascii="Times New Roman" w:cs="Times New Roman" w:eastAsia="Times New Roman" w:hAnsi="Times New Roman"/>
          <w:sz w:val="20"/>
          <w:szCs w:val="20"/>
          <w:rtl w:val="0"/>
        </w:rPr>
        <w:t xml:space="preserve">. 2022;167:112695. Available from:</w:t>
      </w:r>
      <w:hyperlink r:id="rId16">
        <w:r w:rsidDel="00000000" w:rsidR="00000000" w:rsidRPr="00000000">
          <w:rPr>
            <w:rFonts w:ascii="Times New Roman" w:cs="Times New Roman" w:eastAsia="Times New Roman" w:hAnsi="Times New Roman"/>
            <w:sz w:val="20"/>
            <w:szCs w:val="20"/>
            <w:rtl w:val="0"/>
          </w:rPr>
          <w:t xml:space="preserve"> </w:t>
        </w:r>
      </w:hyperlink>
      <w:hyperlink r:id="rId17">
        <w:r w:rsidDel="00000000" w:rsidR="00000000" w:rsidRPr="00000000">
          <w:rPr>
            <w:rFonts w:ascii="Times New Roman" w:cs="Times New Roman" w:eastAsia="Times New Roman" w:hAnsi="Times New Roman"/>
            <w:color w:val="1155cc"/>
            <w:sz w:val="20"/>
            <w:szCs w:val="20"/>
            <w:u w:val="single"/>
            <w:rtl w:val="0"/>
          </w:rPr>
          <w:t xml:space="preserve">https://doi.org/10.1016/j.rser.2022.112695</w:t>
        </w:r>
      </w:hyperlink>
      <w:r w:rsidDel="00000000" w:rsidR="00000000" w:rsidRPr="00000000">
        <w:rPr>
          <w:rFonts w:ascii="Times New Roman" w:cs="Times New Roman" w:eastAsia="Times New Roman" w:hAnsi="Times New Roman"/>
          <w:sz w:val="20"/>
          <w:szCs w:val="20"/>
          <w:rtl w:val="0"/>
        </w:rPr>
        <w:t xml:space="preserve"> [cited 2025 Jul 23].</w:t>
      </w:r>
    </w:p>
    <w:p w:rsidR="00000000" w:rsidDel="00000000" w:rsidP="00000000" w:rsidRDefault="00000000" w:rsidRPr="00000000" w14:paraId="00000060">
      <w:pPr>
        <w:spacing w:after="240" w:before="240" w:line="276" w:lineRule="auto"/>
        <w:ind w:left="4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[6] Saberi S, Kouhizadeh M, Sarkis J, Sherman L. Blockchain technology and its relationships to sustainable supply chain management. </w:t>
      </w:r>
      <w:r w:rsidDel="00000000" w:rsidR="00000000" w:rsidRPr="00000000">
        <w:rPr>
          <w:rFonts w:ascii="Times New Roman" w:cs="Times New Roman" w:eastAsia="Times New Roman" w:hAnsi="Times New Roman"/>
          <w:i w:val="1"/>
          <w:sz w:val="20"/>
          <w:szCs w:val="20"/>
          <w:rtl w:val="0"/>
        </w:rPr>
        <w:t xml:space="preserve">Int J Prod Res</w:t>
      </w:r>
      <w:r w:rsidDel="00000000" w:rsidR="00000000" w:rsidRPr="00000000">
        <w:rPr>
          <w:rFonts w:ascii="Times New Roman" w:cs="Times New Roman" w:eastAsia="Times New Roman" w:hAnsi="Times New Roman"/>
          <w:sz w:val="20"/>
          <w:szCs w:val="20"/>
          <w:rtl w:val="0"/>
        </w:rPr>
        <w:t xml:space="preserve">. 2019;57(7):2117-2135. Available from:</w:t>
      </w:r>
      <w:hyperlink r:id="rId18">
        <w:r w:rsidDel="00000000" w:rsidR="00000000" w:rsidRPr="00000000">
          <w:rPr>
            <w:rFonts w:ascii="Times New Roman" w:cs="Times New Roman" w:eastAsia="Times New Roman" w:hAnsi="Times New Roman"/>
            <w:sz w:val="20"/>
            <w:szCs w:val="20"/>
            <w:rtl w:val="0"/>
          </w:rPr>
          <w:t xml:space="preserve"> </w:t>
        </w:r>
      </w:hyperlink>
      <w:hyperlink r:id="rId19">
        <w:r w:rsidDel="00000000" w:rsidR="00000000" w:rsidRPr="00000000">
          <w:rPr>
            <w:rFonts w:ascii="Times New Roman" w:cs="Times New Roman" w:eastAsia="Times New Roman" w:hAnsi="Times New Roman"/>
            <w:color w:val="1155cc"/>
            <w:sz w:val="20"/>
            <w:szCs w:val="20"/>
            <w:u w:val="single"/>
            <w:rtl w:val="0"/>
          </w:rPr>
          <w:t xml:space="preserve">https://doi.org/10.1080/00207543.2018.1533261</w:t>
        </w:r>
      </w:hyperlink>
      <w:r w:rsidDel="00000000" w:rsidR="00000000" w:rsidRPr="00000000">
        <w:rPr>
          <w:rFonts w:ascii="Times New Roman" w:cs="Times New Roman" w:eastAsia="Times New Roman" w:hAnsi="Times New Roman"/>
          <w:sz w:val="20"/>
          <w:szCs w:val="20"/>
          <w:rtl w:val="0"/>
        </w:rPr>
        <w:t xml:space="preserve"> [cited 2025 Jul 23].</w:t>
      </w:r>
    </w:p>
    <w:p w:rsidR="00000000" w:rsidDel="00000000" w:rsidP="00000000" w:rsidRDefault="00000000" w:rsidRPr="00000000" w14:paraId="00000061">
      <w:pPr>
        <w:spacing w:after="240" w:before="240" w:line="276" w:lineRule="auto"/>
        <w:ind w:left="4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[7] Ramalingam N, et al. A blockchain-based model for token renewable energy certificate offers. </w:t>
      </w:r>
      <w:r w:rsidDel="00000000" w:rsidR="00000000" w:rsidRPr="00000000">
        <w:rPr>
          <w:rFonts w:ascii="Times New Roman" w:cs="Times New Roman" w:eastAsia="Times New Roman" w:hAnsi="Times New Roman"/>
          <w:i w:val="1"/>
          <w:sz w:val="20"/>
          <w:szCs w:val="20"/>
          <w:rtl w:val="0"/>
        </w:rPr>
        <w:t xml:space="preserve">Energy Rep</w:t>
      </w:r>
      <w:r w:rsidDel="00000000" w:rsidR="00000000" w:rsidRPr="00000000">
        <w:rPr>
          <w:rFonts w:ascii="Times New Roman" w:cs="Times New Roman" w:eastAsia="Times New Roman" w:hAnsi="Times New Roman"/>
          <w:sz w:val="20"/>
          <w:szCs w:val="20"/>
          <w:rtl w:val="0"/>
        </w:rPr>
        <w:t xml:space="preserve">. 2025.</w:t>
      </w:r>
    </w:p>
    <w:p w:rsidR="00000000" w:rsidDel="00000000" w:rsidP="00000000" w:rsidRDefault="00000000" w:rsidRPr="00000000" w14:paraId="00000062">
      <w:pPr>
        <w:spacing w:after="240" w:before="240" w:line="276" w:lineRule="auto"/>
        <w:ind w:left="4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[8] Naraindath D, et al. Blockchain-enabled renewable energy certificate trading: A secure and privacy-preserving approach. </w:t>
      </w:r>
      <w:r w:rsidDel="00000000" w:rsidR="00000000" w:rsidRPr="00000000">
        <w:rPr>
          <w:rFonts w:ascii="Times New Roman" w:cs="Times New Roman" w:eastAsia="Times New Roman" w:hAnsi="Times New Roman"/>
          <w:i w:val="1"/>
          <w:sz w:val="20"/>
          <w:szCs w:val="20"/>
          <w:rtl w:val="0"/>
        </w:rPr>
        <w:t xml:space="preserve">Energy Rep</w:t>
      </w:r>
      <w:r w:rsidDel="00000000" w:rsidR="00000000" w:rsidRPr="00000000">
        <w:rPr>
          <w:rFonts w:ascii="Times New Roman" w:cs="Times New Roman" w:eastAsia="Times New Roman" w:hAnsi="Times New Roman"/>
          <w:sz w:val="20"/>
          <w:szCs w:val="20"/>
          <w:rtl w:val="0"/>
        </w:rPr>
        <w:t xml:space="preserve">. 2025.</w:t>
      </w:r>
    </w:p>
    <w:p w:rsidR="00000000" w:rsidDel="00000000" w:rsidP="00000000" w:rsidRDefault="00000000" w:rsidRPr="00000000" w14:paraId="00000063">
      <w:pPr>
        <w:spacing w:after="240" w:before="240" w:line="276" w:lineRule="auto"/>
        <w:ind w:left="4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[9] Marques T, et al. Blockchain-based renewable energy certificate system in Indonesia. </w:t>
      </w:r>
      <w:r w:rsidDel="00000000" w:rsidR="00000000" w:rsidRPr="00000000">
        <w:rPr>
          <w:rFonts w:ascii="Times New Roman" w:cs="Times New Roman" w:eastAsia="Times New Roman" w:hAnsi="Times New Roman"/>
          <w:i w:val="1"/>
          <w:sz w:val="20"/>
          <w:szCs w:val="20"/>
          <w:rtl w:val="0"/>
        </w:rPr>
        <w:t xml:space="preserve">Renewable Sustainable Energy Rev</w:t>
      </w:r>
      <w:r w:rsidDel="00000000" w:rsidR="00000000" w:rsidRPr="00000000">
        <w:rPr>
          <w:rFonts w:ascii="Times New Roman" w:cs="Times New Roman" w:eastAsia="Times New Roman" w:hAnsi="Times New Roman"/>
          <w:sz w:val="20"/>
          <w:szCs w:val="20"/>
          <w:rtl w:val="0"/>
        </w:rPr>
        <w:t xml:space="preserve">. 2025.</w:t>
      </w:r>
    </w:p>
    <w:p w:rsidR="00000000" w:rsidDel="00000000" w:rsidP="00000000" w:rsidRDefault="00000000" w:rsidRPr="00000000" w14:paraId="00000064">
      <w:pPr>
        <w:spacing w:after="240" w:before="240" w:line="276" w:lineRule="auto"/>
        <w:ind w:left="4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[10] Liu Y, et al. Blockchain Technology in Renewable Energy Certificates in Brazil. </w:t>
      </w:r>
      <w:r w:rsidDel="00000000" w:rsidR="00000000" w:rsidRPr="00000000">
        <w:rPr>
          <w:rFonts w:ascii="Times New Roman" w:cs="Times New Roman" w:eastAsia="Times New Roman" w:hAnsi="Times New Roman"/>
          <w:i w:val="1"/>
          <w:sz w:val="20"/>
          <w:szCs w:val="20"/>
          <w:rtl w:val="0"/>
        </w:rPr>
        <w:t xml:space="preserve">Energy Policy J</w:t>
      </w:r>
      <w:r w:rsidDel="00000000" w:rsidR="00000000" w:rsidRPr="00000000">
        <w:rPr>
          <w:rFonts w:ascii="Times New Roman" w:cs="Times New Roman" w:eastAsia="Times New Roman" w:hAnsi="Times New Roman"/>
          <w:sz w:val="20"/>
          <w:szCs w:val="20"/>
          <w:rtl w:val="0"/>
        </w:rPr>
        <w:t xml:space="preserve">. 2025.</w:t>
      </w:r>
    </w:p>
    <w:p w:rsidR="00000000" w:rsidDel="00000000" w:rsidP="00000000" w:rsidRDefault="00000000" w:rsidRPr="00000000" w14:paraId="00000065">
      <w:pPr>
        <w:spacing w:after="240" w:before="240" w:line="276" w:lineRule="auto"/>
        <w:ind w:left="4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[11] Haryani A, et al. Blockchain-based renewable energy certificate system in Indonesia. </w:t>
      </w:r>
      <w:r w:rsidDel="00000000" w:rsidR="00000000" w:rsidRPr="00000000">
        <w:rPr>
          <w:rFonts w:ascii="Times New Roman" w:cs="Times New Roman" w:eastAsia="Times New Roman" w:hAnsi="Times New Roman"/>
          <w:i w:val="1"/>
          <w:sz w:val="20"/>
          <w:szCs w:val="20"/>
          <w:rtl w:val="0"/>
        </w:rPr>
        <w:t xml:space="preserve">Renewable Sustainable Energy Rev</w:t>
      </w:r>
      <w:r w:rsidDel="00000000" w:rsidR="00000000" w:rsidRPr="00000000">
        <w:rPr>
          <w:rFonts w:ascii="Times New Roman" w:cs="Times New Roman" w:eastAsia="Times New Roman" w:hAnsi="Times New Roman"/>
          <w:sz w:val="20"/>
          <w:szCs w:val="20"/>
          <w:rtl w:val="0"/>
        </w:rPr>
        <w:t xml:space="preserve">. 2025.</w:t>
      </w:r>
    </w:p>
    <w:p w:rsidR="00000000" w:rsidDel="00000000" w:rsidP="00000000" w:rsidRDefault="00000000" w:rsidRPr="00000000" w14:paraId="00000066">
      <w:pPr>
        <w:spacing w:after="240" w:before="240" w:line="276" w:lineRule="auto"/>
        <w:ind w:left="4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[12] Yamaguchi H, et al. Blockchain Technology in Renewable Energy Certificates in Brazil. </w:t>
      </w:r>
      <w:r w:rsidDel="00000000" w:rsidR="00000000" w:rsidRPr="00000000">
        <w:rPr>
          <w:rFonts w:ascii="Times New Roman" w:cs="Times New Roman" w:eastAsia="Times New Roman" w:hAnsi="Times New Roman"/>
          <w:i w:val="1"/>
          <w:sz w:val="20"/>
          <w:szCs w:val="20"/>
          <w:rtl w:val="0"/>
        </w:rPr>
        <w:t xml:space="preserve">Energy Policy J</w:t>
      </w:r>
      <w:r w:rsidDel="00000000" w:rsidR="00000000" w:rsidRPr="00000000">
        <w:rPr>
          <w:rFonts w:ascii="Times New Roman" w:cs="Times New Roman" w:eastAsia="Times New Roman" w:hAnsi="Times New Roman"/>
          <w:sz w:val="20"/>
          <w:szCs w:val="20"/>
          <w:rtl w:val="0"/>
        </w:rPr>
        <w:t xml:space="preserve">. 2021.</w:t>
      </w:r>
    </w:p>
    <w:p w:rsidR="00000000" w:rsidDel="00000000" w:rsidP="00000000" w:rsidRDefault="00000000" w:rsidRPr="00000000" w14:paraId="00000067">
      <w:pPr>
        <w:spacing w:after="240" w:before="240" w:line="276" w:lineRule="auto"/>
        <w:ind w:left="4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[13] Marin O, Cioara T, Anghel I. Blockchain solution for buildings’ multi-energy flexibility trading using multi-token standards. </w:t>
      </w:r>
      <w:r w:rsidDel="00000000" w:rsidR="00000000" w:rsidRPr="00000000">
        <w:rPr>
          <w:rFonts w:ascii="Times New Roman" w:cs="Times New Roman" w:eastAsia="Times New Roman" w:hAnsi="Times New Roman"/>
          <w:i w:val="1"/>
          <w:sz w:val="20"/>
          <w:szCs w:val="20"/>
          <w:rtl w:val="0"/>
        </w:rPr>
        <w:t xml:space="preserve">Future Internet</w:t>
      </w:r>
      <w:r w:rsidDel="00000000" w:rsidR="00000000" w:rsidRPr="00000000">
        <w:rPr>
          <w:rFonts w:ascii="Times New Roman" w:cs="Times New Roman" w:eastAsia="Times New Roman" w:hAnsi="Times New Roman"/>
          <w:sz w:val="20"/>
          <w:szCs w:val="20"/>
          <w:rtl w:val="0"/>
        </w:rPr>
        <w:t xml:space="preserve">. 2023;15(5):177.</w:t>
      </w:r>
    </w:p>
    <w:p w:rsidR="00000000" w:rsidDel="00000000" w:rsidP="00000000" w:rsidRDefault="00000000" w:rsidRPr="00000000" w14:paraId="00000068">
      <w:pPr>
        <w:spacing w:after="240" w:before="240" w:line="276" w:lineRule="auto"/>
        <w:ind w:left="4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[14] Singh M, et al. Digital Twins for Predictive Maintenance in Renewable Energy Grids with Tokenized Transactions: A Review. </w:t>
      </w:r>
      <w:r w:rsidDel="00000000" w:rsidR="00000000" w:rsidRPr="00000000">
        <w:rPr>
          <w:rFonts w:ascii="Times New Roman" w:cs="Times New Roman" w:eastAsia="Times New Roman" w:hAnsi="Times New Roman"/>
          <w:i w:val="1"/>
          <w:sz w:val="20"/>
          <w:szCs w:val="20"/>
          <w:rtl w:val="0"/>
        </w:rPr>
        <w:t xml:space="preserve">IEEE Conf Cogn Comput Eng Health</w:t>
      </w:r>
      <w:r w:rsidDel="00000000" w:rsidR="00000000" w:rsidRPr="00000000">
        <w:rPr>
          <w:rFonts w:ascii="Times New Roman" w:cs="Times New Roman" w:eastAsia="Times New Roman" w:hAnsi="Times New Roman"/>
          <w:sz w:val="20"/>
          <w:szCs w:val="20"/>
          <w:rtl w:val="0"/>
        </w:rPr>
        <w:t xml:space="preserve">. 2025.</w:t>
      </w:r>
    </w:p>
    <w:p w:rsidR="00000000" w:rsidDel="00000000" w:rsidP="00000000" w:rsidRDefault="00000000" w:rsidRPr="00000000" w14:paraId="00000069">
      <w:pPr>
        <w:spacing w:after="240" w:before="240" w:line="276" w:lineRule="auto"/>
        <w:ind w:left="4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[15] Christodoulou I, Kapsalis A, Lalis S. Blockchain and energy systems: A comprehensive overview. </w:t>
      </w:r>
      <w:r w:rsidDel="00000000" w:rsidR="00000000" w:rsidRPr="00000000">
        <w:rPr>
          <w:rFonts w:ascii="Times New Roman" w:cs="Times New Roman" w:eastAsia="Times New Roman" w:hAnsi="Times New Roman"/>
          <w:i w:val="1"/>
          <w:sz w:val="20"/>
          <w:szCs w:val="20"/>
          <w:rtl w:val="0"/>
        </w:rPr>
        <w:t xml:space="preserve">Renewable Sustainable Energy Rev</w:t>
      </w:r>
      <w:r w:rsidDel="00000000" w:rsidR="00000000" w:rsidRPr="00000000">
        <w:rPr>
          <w:rFonts w:ascii="Times New Roman" w:cs="Times New Roman" w:eastAsia="Times New Roman" w:hAnsi="Times New Roman"/>
          <w:sz w:val="20"/>
          <w:szCs w:val="20"/>
          <w:rtl w:val="0"/>
        </w:rPr>
        <w:t xml:space="preserve">. 2022;167:112695. Available from:</w:t>
      </w:r>
      <w:hyperlink r:id="rId20">
        <w:r w:rsidDel="00000000" w:rsidR="00000000" w:rsidRPr="00000000">
          <w:rPr>
            <w:rFonts w:ascii="Times New Roman" w:cs="Times New Roman" w:eastAsia="Times New Roman" w:hAnsi="Times New Roman"/>
            <w:sz w:val="20"/>
            <w:szCs w:val="20"/>
            <w:rtl w:val="0"/>
          </w:rPr>
          <w:t xml:space="preserve"> </w:t>
        </w:r>
      </w:hyperlink>
      <w:hyperlink r:id="rId21">
        <w:r w:rsidDel="00000000" w:rsidR="00000000" w:rsidRPr="00000000">
          <w:rPr>
            <w:rFonts w:ascii="Times New Roman" w:cs="Times New Roman" w:eastAsia="Times New Roman" w:hAnsi="Times New Roman"/>
            <w:color w:val="1155cc"/>
            <w:sz w:val="20"/>
            <w:szCs w:val="20"/>
            <w:u w:val="single"/>
            <w:rtl w:val="0"/>
          </w:rPr>
          <w:t xml:space="preserve">https://doi.org/10.1016/j.rser.2022.112695</w:t>
        </w:r>
      </w:hyperlink>
      <w:r w:rsidDel="00000000" w:rsidR="00000000" w:rsidRPr="00000000">
        <w:rPr>
          <w:rFonts w:ascii="Times New Roman" w:cs="Times New Roman" w:eastAsia="Times New Roman" w:hAnsi="Times New Roman"/>
          <w:sz w:val="20"/>
          <w:szCs w:val="20"/>
          <w:rtl w:val="0"/>
        </w:rPr>
        <w:t xml:space="preserve"> [cited 2025 Jul 23].</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type w:val="continuous"/>
      <w:pgSz w:h="16839" w:w="11907" w:orient="portrait"/>
      <w:pgMar w:bottom="851" w:top="1453" w:left="1134" w:right="992" w:header="720" w:footer="720"/>
      <w:cols w:equalWidth="0" w:num="2">
        <w:col w:space="360" w:w="4710.5"/>
        <w:col w:space="0" w:w="4710.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spacing w:after="0" w:lineRule="auto"/>
      <w:rPr>
        <w:b w:val="0"/>
        <w:color w:val="808080"/>
        <w:sz w:val="20"/>
        <w:szCs w:val="20"/>
        <w:vertAlign w:val="baseline"/>
      </w:rPr>
    </w:pPr>
    <w:r w:rsidDel="00000000" w:rsidR="00000000" w:rsidRPr="00000000">
      <w:rPr>
        <w:color w:val="808080"/>
        <w:sz w:val="20"/>
        <w:szCs w:val="20"/>
        <w:vertAlign w:val="baseline"/>
        <w:rtl w:val="0"/>
      </w:rPr>
      <w:t xml:space="preserve">ISSN: 2357-7592</w:t>
    </w:r>
    <w:r w:rsidDel="00000000" w:rsidR="00000000" w:rsidRPr="00000000">
      <w:rPr>
        <w:b w:val="1"/>
        <w:color w:val="808080"/>
        <w:sz w:val="20"/>
        <w:szCs w:val="20"/>
        <w:vertAlign w:val="baseline"/>
        <w:rtl w:val="0"/>
      </w:rPr>
      <w:tab/>
      <w:tab/>
      <w:tab/>
      <w:tab/>
      <w:tab/>
      <w:tab/>
    </w:r>
    <w:r w:rsidDel="00000000" w:rsidR="00000000" w:rsidRPr="00000000">
      <w:rPr>
        <w:rtl w:val="0"/>
      </w:rPr>
    </w:r>
  </w:p>
  <w:p w:rsidR="00000000" w:rsidDel="00000000" w:rsidP="00000000" w:rsidRDefault="00000000" w:rsidRPr="00000000" w14:paraId="00000072">
    <w:pPr>
      <w:spacing w:after="0" w:lineRule="auto"/>
      <w:rPr>
        <w:b w:val="0"/>
        <w:i w:val="0"/>
        <w:color w:val="808080"/>
        <w:sz w:val="18"/>
        <w:szCs w:val="18"/>
        <w:vertAlign w:val="baseline"/>
      </w:rPr>
    </w:pPr>
    <w:r w:rsidDel="00000000" w:rsidR="00000000" w:rsidRPr="00000000">
      <w:rPr>
        <w:b w:val="1"/>
        <w:i w:val="1"/>
        <w:color w:val="808080"/>
        <w:sz w:val="18"/>
        <w:szCs w:val="18"/>
        <w:vertAlign w:val="baseline"/>
        <w:rtl w:val="0"/>
      </w:rPr>
      <w:t xml:space="preserve">XI INTERNATIONAL SYMPOSIUM ON INNOVATION AND TECHNOLOGY</w:t>
    </w:r>
    <w:r w:rsidDel="00000000" w:rsidR="00000000" w:rsidRPr="00000000">
      <w:rPr>
        <w:rtl w:val="0"/>
      </w:rPr>
    </w:r>
  </w:p>
  <w:p w:rsidR="00000000" w:rsidDel="00000000" w:rsidP="00000000" w:rsidRDefault="00000000" w:rsidRPr="00000000" w14:paraId="00000073">
    <w:pPr>
      <w:spacing w:after="0" w:lineRule="auto"/>
      <w:rPr>
        <w:i w:val="0"/>
        <w:color w:val="808080"/>
        <w:sz w:val="18"/>
        <w:szCs w:val="18"/>
        <w:vertAlign w:val="baseline"/>
      </w:rPr>
    </w:pPr>
    <w:r w:rsidDel="00000000" w:rsidR="00000000" w:rsidRPr="00000000">
      <w:rPr>
        <w:i w:val="1"/>
        <w:color w:val="0e101a"/>
        <w:sz w:val="18"/>
        <w:szCs w:val="18"/>
        <w:vertAlign w:val="baseline"/>
        <w:rtl w:val="0"/>
      </w:rPr>
      <w:t xml:space="preserve">Quantum Technologies: The information revolution that will change the future </w:t>
    </w:r>
    <w:r w:rsidDel="00000000" w:rsidR="00000000" w:rsidRPr="00000000">
      <w:rPr>
        <w:i w:val="1"/>
        <w:color w:val="808080"/>
        <w:sz w:val="18"/>
        <w:szCs w:val="18"/>
        <w:vertAlign w:val="baseline"/>
        <w:rtl w:val="0"/>
      </w:rPr>
      <w:t xml:space="preserve">- 2025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spacing w:after="0" w:lineRule="auto"/>
      <w:ind w:left="7200" w:firstLine="0"/>
      <w:jc w:val="center"/>
      <w:rPr>
        <w:vertAlign w:val="baseline"/>
      </w:rPr>
    </w:pPr>
    <w:r w:rsidDel="00000000" w:rsidR="00000000" w:rsidRPr="00000000">
      <w:rP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-714374</wp:posOffset>
          </wp:positionH>
          <wp:positionV relativeFrom="paragraph">
            <wp:posOffset>-476249</wp:posOffset>
          </wp:positionV>
          <wp:extent cx="7550785" cy="84010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50785" cy="840105"/>
                  </a:xfrm>
                  <a:prstGeom prst="rect"/>
                  <a:ln/>
                </pic:spPr>
              </pic:pic>
            </a:graphicData>
          </a:graphic>
        </wp:anchor>
      </w:drawing>
    </w:r>
  </w:p>
  <w:p w:rsidR="00000000" w:rsidDel="00000000" w:rsidP="00000000" w:rsidRDefault="00000000" w:rsidRPr="00000000" w14:paraId="00000070">
    <w:pPr>
      <w:spacing w:after="0" w:lineRule="auto"/>
      <w:jc w:val="right"/>
      <w:rPr>
        <w:color w:val="323e4f"/>
        <w:sz w:val="20"/>
        <w:szCs w:val="20"/>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36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016/j.rser.2022.112695" TargetMode="External"/><Relationship Id="rId11" Type="http://schemas.openxmlformats.org/officeDocument/2006/relationships/hyperlink" Target="https://peerj.com/articles/cs-1705/" TargetMode="External"/><Relationship Id="rId10" Type="http://schemas.openxmlformats.org/officeDocument/2006/relationships/hyperlink" Target="https://peerj.com/articles/cs-1705/" TargetMode="External"/><Relationship Id="rId21" Type="http://schemas.openxmlformats.org/officeDocument/2006/relationships/hyperlink" Target="https://doi.org/10.1016/j.rser.2022.112695" TargetMode="External"/><Relationship Id="rId13" Type="http://schemas.openxmlformats.org/officeDocument/2006/relationships/hyperlink" Target="https://bitcoin.org/bitcoin.pdf" TargetMode="External"/><Relationship Id="rId12" Type="http://schemas.openxmlformats.org/officeDocument/2006/relationships/hyperlink" Target="https://bitcoin.org/bitcoi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16/j.seta.2022.102039" TargetMode="External"/><Relationship Id="rId15" Type="http://schemas.openxmlformats.org/officeDocument/2006/relationships/hyperlink" Target="https://doi.org/10.1016/j.iref.2025.104400" TargetMode="External"/><Relationship Id="rId14" Type="http://schemas.openxmlformats.org/officeDocument/2006/relationships/hyperlink" Target="https://doi.org/10.1016/j.iref.2025.104400" TargetMode="External"/><Relationship Id="rId17" Type="http://schemas.openxmlformats.org/officeDocument/2006/relationships/hyperlink" Target="https://doi.org/10.1016/j.rser.2022.112695" TargetMode="External"/><Relationship Id="rId16" Type="http://schemas.openxmlformats.org/officeDocument/2006/relationships/hyperlink" Target="https://doi.org/10.1016/j.rser.2022.112695" TargetMode="External"/><Relationship Id="rId5" Type="http://schemas.openxmlformats.org/officeDocument/2006/relationships/styles" Target="styles.xml"/><Relationship Id="rId19" Type="http://schemas.openxmlformats.org/officeDocument/2006/relationships/hyperlink" Target="https://doi.org/10.1080/00207543.2018.1533261" TargetMode="External"/><Relationship Id="rId6" Type="http://schemas.openxmlformats.org/officeDocument/2006/relationships/header" Target="header1.xml"/><Relationship Id="rId18" Type="http://schemas.openxmlformats.org/officeDocument/2006/relationships/hyperlink" Target="https://doi.org/10.1080/00207543.2018.1533261" TargetMode="External"/><Relationship Id="rId7" Type="http://schemas.openxmlformats.org/officeDocument/2006/relationships/footer" Target="footer1.xml"/><Relationship Id="rId8" Type="http://schemas.openxmlformats.org/officeDocument/2006/relationships/hyperlink" Target="https://doi.org/10.1016/j.seta.2022.1020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lpwstr>true</vt:lpwstr>
  </property>
</Properties>
</file>