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5" w14:textId="266BB2F4" w:rsidR="009377D3" w:rsidRPr="00F40853" w:rsidRDefault="00426A15" w:rsidP="00BE3AD7">
      <w:pPr>
        <w:pStyle w:val="Ttulo1"/>
        <w:spacing w:before="0" w:after="0"/>
        <w:ind w:leftChars="0" w:left="2" w:right="0" w:hanging="2"/>
      </w:pPr>
      <w:r w:rsidRPr="00F40853">
        <w:t xml:space="preserve">MIGRAÇÕES INTERNACIONAIS E </w:t>
      </w:r>
      <w:r w:rsidR="00BC6DDB" w:rsidRPr="00F40853">
        <w:t>POBREZA</w:t>
      </w:r>
      <w:r w:rsidRPr="00F40853">
        <w:t xml:space="preserve">: IMIGRANTES NO CADÚNICO </w:t>
      </w:r>
      <w:r w:rsidR="008E29AF" w:rsidRPr="00F40853">
        <w:t>E O PAPEL DO BOLSA FAMÍLIA</w:t>
      </w:r>
      <w:r w:rsidRPr="00F40853">
        <w:t xml:space="preserve"> NORDESTE BRASILEIRO</w:t>
      </w:r>
      <w:r w:rsidR="00262CF0" w:rsidRPr="00F40853">
        <w:t xml:space="preserve"> (2012-2022)</w:t>
      </w:r>
    </w:p>
    <w:p w14:paraId="1A541B7D" w14:textId="77777777" w:rsidR="00BE3AD7" w:rsidRPr="00F40853" w:rsidRDefault="00BE3AD7" w:rsidP="00BE3AD7">
      <w:pPr>
        <w:spacing w:after="0" w:line="240" w:lineRule="auto"/>
        <w:ind w:leftChars="0" w:left="2" w:hanging="2"/>
        <w:jc w:val="center"/>
        <w:rPr>
          <w:sz w:val="24"/>
          <w:szCs w:val="24"/>
        </w:rPr>
      </w:pPr>
    </w:p>
    <w:p w14:paraId="00000015" w14:textId="77777777" w:rsidR="009377D3" w:rsidRPr="00F40853" w:rsidRDefault="003F09CD" w:rsidP="00BE3AD7">
      <w:pPr>
        <w:spacing w:after="0" w:line="240" w:lineRule="auto"/>
        <w:ind w:leftChars="0" w:left="2" w:hanging="2"/>
        <w:rPr>
          <w:b/>
          <w:sz w:val="24"/>
          <w:szCs w:val="24"/>
        </w:rPr>
      </w:pPr>
      <w:bookmarkStart w:id="0" w:name="_heading=h.20j934nvywfl" w:colFirst="0" w:colLast="0"/>
      <w:bookmarkEnd w:id="0"/>
      <w:r w:rsidRPr="00F40853">
        <w:rPr>
          <w:b/>
          <w:sz w:val="24"/>
          <w:szCs w:val="24"/>
        </w:rPr>
        <w:t>RESUMO</w:t>
      </w:r>
    </w:p>
    <w:p w14:paraId="50D22ED1" w14:textId="20FA12B9" w:rsidR="00950326" w:rsidRPr="00F40853" w:rsidRDefault="00950326" w:rsidP="00BE3AD7">
      <w:pPr>
        <w:spacing w:after="0" w:line="240" w:lineRule="auto"/>
        <w:ind w:leftChars="0" w:left="2" w:hanging="2"/>
        <w:rPr>
          <w:bCs/>
          <w:sz w:val="24"/>
          <w:szCs w:val="24"/>
        </w:rPr>
      </w:pPr>
      <w:r w:rsidRPr="00F40853">
        <w:rPr>
          <w:bCs/>
          <w:sz w:val="24"/>
          <w:szCs w:val="24"/>
        </w:rPr>
        <w:t>O estudo analisa os imigrantes internacionais registrados no CadÚnico e contemplados pelo Bolsa Família no Nordeste (2012–2022). A partir de dados do OBMigra, identificou-se a presença de 14.436 imigrantes de 124 países, sendo 63% beneficiários. A Venezuela lidera entre os países de origem, e Piauí, R</w:t>
      </w:r>
      <w:r w:rsidR="007F7F26" w:rsidRPr="00F40853">
        <w:rPr>
          <w:bCs/>
          <w:sz w:val="24"/>
          <w:szCs w:val="24"/>
        </w:rPr>
        <w:t>io Grande do Norte</w:t>
      </w:r>
      <w:r w:rsidRPr="00F40853">
        <w:rPr>
          <w:bCs/>
          <w:sz w:val="24"/>
          <w:szCs w:val="24"/>
        </w:rPr>
        <w:t xml:space="preserve"> e Maranhão concentram os maiores percentuais, evidenciando a vulnerabilidade socioeconômica desses grupos e o papel das políticas de transferência de renda.</w:t>
      </w:r>
    </w:p>
    <w:p w14:paraId="05D9E454" w14:textId="77777777" w:rsidR="00F3189D" w:rsidRPr="00F40853" w:rsidRDefault="00F3189D" w:rsidP="00BE3AD7">
      <w:pPr>
        <w:spacing w:after="0" w:line="240" w:lineRule="auto"/>
        <w:ind w:leftChars="0" w:left="2" w:hanging="2"/>
        <w:rPr>
          <w:bCs/>
          <w:sz w:val="24"/>
          <w:szCs w:val="24"/>
        </w:rPr>
      </w:pPr>
    </w:p>
    <w:p w14:paraId="00000016" w14:textId="08D8E860" w:rsidR="009377D3" w:rsidRPr="00F40853" w:rsidRDefault="003F09CD" w:rsidP="00BE3AD7">
      <w:pPr>
        <w:spacing w:after="0" w:line="240" w:lineRule="auto"/>
        <w:ind w:leftChars="0" w:left="2" w:hanging="2"/>
        <w:rPr>
          <w:bCs/>
          <w:sz w:val="24"/>
          <w:szCs w:val="24"/>
        </w:rPr>
      </w:pPr>
      <w:r w:rsidRPr="00F40853">
        <w:rPr>
          <w:b/>
          <w:sz w:val="24"/>
          <w:szCs w:val="24"/>
        </w:rPr>
        <w:t>Palavras-chave:</w:t>
      </w:r>
      <w:r w:rsidR="00373371" w:rsidRPr="00F40853">
        <w:rPr>
          <w:b/>
          <w:sz w:val="24"/>
          <w:szCs w:val="24"/>
        </w:rPr>
        <w:t xml:space="preserve"> </w:t>
      </w:r>
      <w:r w:rsidR="00373371" w:rsidRPr="00F40853">
        <w:rPr>
          <w:bCs/>
          <w:sz w:val="24"/>
          <w:szCs w:val="24"/>
        </w:rPr>
        <w:t>Migração internacional;</w:t>
      </w:r>
      <w:r w:rsidR="00A936D2" w:rsidRPr="00F40853">
        <w:rPr>
          <w:bCs/>
          <w:sz w:val="24"/>
          <w:szCs w:val="24"/>
        </w:rPr>
        <w:t xml:space="preserve"> </w:t>
      </w:r>
      <w:r w:rsidR="00C77C26" w:rsidRPr="00F40853">
        <w:rPr>
          <w:bCs/>
          <w:sz w:val="24"/>
          <w:szCs w:val="24"/>
        </w:rPr>
        <w:t xml:space="preserve">Cadastro Único (CadÚnico); </w:t>
      </w:r>
      <w:r w:rsidR="00A936D2" w:rsidRPr="00F40853">
        <w:rPr>
          <w:bCs/>
          <w:sz w:val="24"/>
          <w:szCs w:val="24"/>
        </w:rPr>
        <w:t>Vulnerabilidade</w:t>
      </w:r>
      <w:r w:rsidR="00195F1E" w:rsidRPr="00F40853">
        <w:rPr>
          <w:bCs/>
          <w:sz w:val="24"/>
          <w:szCs w:val="24"/>
        </w:rPr>
        <w:t xml:space="preserve"> social</w:t>
      </w:r>
      <w:r w:rsidR="008B60B4" w:rsidRPr="00F40853">
        <w:rPr>
          <w:bCs/>
          <w:sz w:val="24"/>
          <w:szCs w:val="24"/>
        </w:rPr>
        <w:t>;</w:t>
      </w:r>
      <w:r w:rsidR="00FA3DEE" w:rsidRPr="00F40853">
        <w:rPr>
          <w:bCs/>
          <w:sz w:val="24"/>
          <w:szCs w:val="24"/>
        </w:rPr>
        <w:t xml:space="preserve"> </w:t>
      </w:r>
      <w:r w:rsidR="007E3A55" w:rsidRPr="00F40853">
        <w:rPr>
          <w:bCs/>
          <w:sz w:val="24"/>
          <w:szCs w:val="24"/>
        </w:rPr>
        <w:t>Transferência de renda</w:t>
      </w:r>
      <w:r w:rsidR="00C21DFF" w:rsidRPr="00F40853">
        <w:rPr>
          <w:bCs/>
          <w:sz w:val="24"/>
          <w:szCs w:val="24"/>
        </w:rPr>
        <w:t>; Nordeste</w:t>
      </w:r>
      <w:r w:rsidR="00FA3DEE" w:rsidRPr="00F40853">
        <w:rPr>
          <w:bCs/>
          <w:sz w:val="24"/>
          <w:szCs w:val="24"/>
        </w:rPr>
        <w:t>.</w:t>
      </w:r>
    </w:p>
    <w:p w14:paraId="3F51FF81" w14:textId="77777777" w:rsidR="0053545E" w:rsidRPr="00F40853" w:rsidRDefault="0053545E" w:rsidP="00BE3AD7">
      <w:pPr>
        <w:spacing w:after="0" w:line="240" w:lineRule="auto"/>
        <w:ind w:leftChars="0" w:left="2" w:hanging="2"/>
        <w:rPr>
          <w:bCs/>
          <w:sz w:val="24"/>
          <w:szCs w:val="24"/>
        </w:rPr>
      </w:pPr>
    </w:p>
    <w:p w14:paraId="3DF4BC34" w14:textId="16A6EDA1" w:rsidR="0053545E" w:rsidRPr="00CC61CE" w:rsidRDefault="0053545E" w:rsidP="0053545E">
      <w:pPr>
        <w:spacing w:after="0" w:line="240" w:lineRule="auto"/>
        <w:ind w:leftChars="0" w:left="2" w:hanging="2"/>
        <w:jc w:val="center"/>
        <w:rPr>
          <w:b/>
          <w:sz w:val="24"/>
          <w:szCs w:val="24"/>
          <w:lang w:val="fr-FR"/>
        </w:rPr>
      </w:pPr>
      <w:r w:rsidRPr="00CC61CE">
        <w:rPr>
          <w:b/>
          <w:sz w:val="24"/>
          <w:szCs w:val="24"/>
          <w:lang w:val="fr-FR"/>
        </w:rPr>
        <w:t>INTERNATIONAL MIGRATION AND POVERTY: IMMIGRANTS IN CADÚNICO AND THE ROLE OF BOLSA FAMÍLIA IN NORTHEAST BRAZIL (2012-2022)</w:t>
      </w:r>
    </w:p>
    <w:p w14:paraId="00000017" w14:textId="77777777" w:rsidR="009377D3" w:rsidRPr="00CC61CE" w:rsidRDefault="009377D3" w:rsidP="00BE3AD7">
      <w:pPr>
        <w:spacing w:after="0" w:line="240" w:lineRule="auto"/>
        <w:ind w:leftChars="0" w:left="2" w:hanging="2"/>
        <w:rPr>
          <w:sz w:val="24"/>
          <w:szCs w:val="24"/>
          <w:lang w:val="fr-FR"/>
        </w:rPr>
      </w:pPr>
    </w:p>
    <w:p w14:paraId="6BE0B97B" w14:textId="04CC03AF" w:rsidR="00E810E1" w:rsidRPr="00CC61CE" w:rsidRDefault="00BE5855" w:rsidP="00E810E1">
      <w:pPr>
        <w:spacing w:after="0" w:line="240" w:lineRule="auto"/>
        <w:ind w:leftChars="0" w:left="2" w:hanging="2"/>
        <w:rPr>
          <w:b/>
          <w:sz w:val="24"/>
          <w:szCs w:val="24"/>
          <w:lang w:val="fr-FR"/>
        </w:rPr>
      </w:pPr>
      <w:r w:rsidRPr="00CC61CE">
        <w:rPr>
          <w:b/>
          <w:sz w:val="24"/>
          <w:szCs w:val="24"/>
          <w:lang w:val="fr-FR"/>
        </w:rPr>
        <w:t>ABSTRACT</w:t>
      </w:r>
    </w:p>
    <w:p w14:paraId="1417E8CA" w14:textId="5B42D4A2" w:rsidR="00950326" w:rsidRPr="00CC61CE" w:rsidRDefault="007F7F26" w:rsidP="00950326">
      <w:pPr>
        <w:spacing w:after="0" w:line="240" w:lineRule="auto"/>
        <w:ind w:leftChars="0" w:left="2" w:hanging="2"/>
        <w:rPr>
          <w:bCs/>
          <w:sz w:val="24"/>
          <w:szCs w:val="24"/>
          <w:lang w:val="fr-FR"/>
        </w:rPr>
      </w:pPr>
      <w:r w:rsidRPr="00CC61CE">
        <w:rPr>
          <w:bCs/>
          <w:sz w:val="24"/>
          <w:szCs w:val="24"/>
          <w:lang w:val="fr-FR"/>
        </w:rPr>
        <w:t>The study analyzes international immigrants registered with CadÚnico and covered by Bolsa Família in the Northeast (2012–2022). Based on data from OBMigra, the presence of 14.436 immigrants from 124 countries was identified, 63% of whom were beneficiaries. Venezuela leads among the countries of origin, and Piauí, Rio Grande do Norte and Maranhão concentrate the highest percentages, highlighting the socioeconomic vulnerability of these groups and the role of income transfer policies.</w:t>
      </w:r>
    </w:p>
    <w:p w14:paraId="1C160704" w14:textId="77777777" w:rsidR="00950326" w:rsidRPr="00CC61CE" w:rsidRDefault="00950326" w:rsidP="00E810E1">
      <w:pPr>
        <w:spacing w:after="0" w:line="240" w:lineRule="auto"/>
        <w:ind w:leftChars="0" w:left="2" w:hanging="2"/>
        <w:rPr>
          <w:b/>
          <w:sz w:val="24"/>
          <w:szCs w:val="24"/>
          <w:lang w:val="fr-FR"/>
        </w:rPr>
      </w:pPr>
    </w:p>
    <w:p w14:paraId="4A79FD8A" w14:textId="152F3C2F" w:rsidR="00E810E1" w:rsidRPr="00F40853" w:rsidRDefault="00E810E1" w:rsidP="00E810E1">
      <w:pPr>
        <w:spacing w:after="0" w:line="240" w:lineRule="auto"/>
        <w:ind w:leftChars="0" w:left="2" w:hanging="2"/>
        <w:rPr>
          <w:sz w:val="24"/>
          <w:szCs w:val="24"/>
        </w:rPr>
      </w:pPr>
      <w:proofErr w:type="spellStart"/>
      <w:r w:rsidRPr="00F40853">
        <w:rPr>
          <w:b/>
          <w:sz w:val="24"/>
          <w:szCs w:val="24"/>
        </w:rPr>
        <w:t>Keyo</w:t>
      </w:r>
      <w:r w:rsidR="00BE5855" w:rsidRPr="00F40853">
        <w:rPr>
          <w:b/>
          <w:sz w:val="24"/>
          <w:szCs w:val="24"/>
        </w:rPr>
        <w:t>wrds</w:t>
      </w:r>
      <w:proofErr w:type="spellEnd"/>
      <w:r w:rsidRPr="00F40853">
        <w:rPr>
          <w:b/>
          <w:sz w:val="24"/>
          <w:szCs w:val="24"/>
        </w:rPr>
        <w:t xml:space="preserve">: </w:t>
      </w:r>
      <w:proofErr w:type="spellStart"/>
      <w:r w:rsidR="00E56EED" w:rsidRPr="00F40853">
        <w:rPr>
          <w:bCs/>
          <w:sz w:val="24"/>
          <w:szCs w:val="24"/>
        </w:rPr>
        <w:t>International</w:t>
      </w:r>
      <w:proofErr w:type="spellEnd"/>
      <w:r w:rsidR="00E56EED" w:rsidRPr="00F40853">
        <w:rPr>
          <w:bCs/>
          <w:sz w:val="24"/>
          <w:szCs w:val="24"/>
        </w:rPr>
        <w:t xml:space="preserve"> </w:t>
      </w:r>
      <w:proofErr w:type="spellStart"/>
      <w:r w:rsidR="00E56EED" w:rsidRPr="00F40853">
        <w:rPr>
          <w:bCs/>
          <w:sz w:val="24"/>
          <w:szCs w:val="24"/>
        </w:rPr>
        <w:t>migration</w:t>
      </w:r>
      <w:proofErr w:type="spellEnd"/>
      <w:r w:rsidR="00E56EED" w:rsidRPr="00F40853">
        <w:rPr>
          <w:bCs/>
          <w:sz w:val="24"/>
          <w:szCs w:val="24"/>
        </w:rPr>
        <w:t xml:space="preserve">; </w:t>
      </w:r>
      <w:proofErr w:type="spellStart"/>
      <w:r w:rsidR="00E56EED" w:rsidRPr="00F40853">
        <w:rPr>
          <w:bCs/>
          <w:sz w:val="24"/>
          <w:szCs w:val="24"/>
        </w:rPr>
        <w:t>Unified</w:t>
      </w:r>
      <w:proofErr w:type="spellEnd"/>
      <w:r w:rsidR="00E56EED" w:rsidRPr="00F40853">
        <w:rPr>
          <w:bCs/>
          <w:sz w:val="24"/>
          <w:szCs w:val="24"/>
        </w:rPr>
        <w:t xml:space="preserve"> Registry (CadÚnico); </w:t>
      </w:r>
      <w:proofErr w:type="gramStart"/>
      <w:r w:rsidR="00E56EED" w:rsidRPr="00F40853">
        <w:rPr>
          <w:bCs/>
          <w:sz w:val="24"/>
          <w:szCs w:val="24"/>
        </w:rPr>
        <w:t>Social</w:t>
      </w:r>
      <w:proofErr w:type="gramEnd"/>
      <w:r w:rsidR="00E56EED" w:rsidRPr="00F40853">
        <w:rPr>
          <w:bCs/>
          <w:sz w:val="24"/>
          <w:szCs w:val="24"/>
        </w:rPr>
        <w:t xml:space="preserve"> </w:t>
      </w:r>
      <w:proofErr w:type="spellStart"/>
      <w:r w:rsidR="00E56EED" w:rsidRPr="00F40853">
        <w:rPr>
          <w:bCs/>
          <w:sz w:val="24"/>
          <w:szCs w:val="24"/>
        </w:rPr>
        <w:t>vulnerability</w:t>
      </w:r>
      <w:proofErr w:type="spellEnd"/>
      <w:r w:rsidR="00E56EED" w:rsidRPr="00F40853">
        <w:rPr>
          <w:bCs/>
          <w:sz w:val="24"/>
          <w:szCs w:val="24"/>
        </w:rPr>
        <w:t xml:space="preserve">; Cash </w:t>
      </w:r>
      <w:proofErr w:type="spellStart"/>
      <w:r w:rsidR="00E56EED" w:rsidRPr="00F40853">
        <w:rPr>
          <w:bCs/>
          <w:sz w:val="24"/>
          <w:szCs w:val="24"/>
        </w:rPr>
        <w:t>transfer</w:t>
      </w:r>
      <w:proofErr w:type="spellEnd"/>
      <w:r w:rsidR="00E56EED" w:rsidRPr="00F40853">
        <w:rPr>
          <w:bCs/>
          <w:sz w:val="24"/>
          <w:szCs w:val="24"/>
        </w:rPr>
        <w:t xml:space="preserve">; </w:t>
      </w:r>
      <w:proofErr w:type="spellStart"/>
      <w:r w:rsidR="00E56EED" w:rsidRPr="00F40853">
        <w:rPr>
          <w:bCs/>
          <w:sz w:val="24"/>
          <w:szCs w:val="24"/>
        </w:rPr>
        <w:t>Northeast</w:t>
      </w:r>
      <w:proofErr w:type="spellEnd"/>
      <w:r w:rsidR="00E56EED" w:rsidRPr="00F40853">
        <w:rPr>
          <w:bCs/>
          <w:sz w:val="24"/>
          <w:szCs w:val="24"/>
        </w:rPr>
        <w:t>.</w:t>
      </w:r>
    </w:p>
    <w:p w14:paraId="3B8802D0" w14:textId="77777777" w:rsidR="00E810E1" w:rsidRPr="00F40853" w:rsidRDefault="00E810E1" w:rsidP="00BE3AD7">
      <w:pPr>
        <w:spacing w:after="0" w:line="240" w:lineRule="auto"/>
        <w:ind w:leftChars="0" w:left="2" w:hanging="2"/>
        <w:rPr>
          <w:sz w:val="24"/>
          <w:szCs w:val="24"/>
        </w:rPr>
      </w:pPr>
    </w:p>
    <w:p w14:paraId="00000018" w14:textId="77777777" w:rsidR="009377D3" w:rsidRPr="00F40853" w:rsidRDefault="003F09CD" w:rsidP="00662BF3">
      <w:pPr>
        <w:pStyle w:val="Ttulo2"/>
        <w:spacing w:line="360" w:lineRule="auto"/>
        <w:ind w:left="0" w:hanging="2"/>
      </w:pPr>
      <w:bookmarkStart w:id="1" w:name="_heading=h.sir6zwasl3lx" w:colFirst="0" w:colLast="0"/>
      <w:bookmarkEnd w:id="1"/>
      <w:r w:rsidRPr="00F40853">
        <w:t>Introdução</w:t>
      </w:r>
    </w:p>
    <w:p w14:paraId="750560C6" w14:textId="1FD9C38E" w:rsidR="00D32E54" w:rsidRPr="00F40853" w:rsidRDefault="00D20CD5" w:rsidP="001A5FFE">
      <w:pPr>
        <w:spacing w:after="0" w:line="360" w:lineRule="auto"/>
        <w:ind w:left="-2" w:firstLineChars="0" w:firstLine="720"/>
        <w:rPr>
          <w:sz w:val="24"/>
          <w:szCs w:val="24"/>
        </w:rPr>
      </w:pPr>
      <w:r w:rsidRPr="00F40853">
        <w:rPr>
          <w:sz w:val="24"/>
          <w:szCs w:val="24"/>
        </w:rPr>
        <w:t>As migrações internacionais vêm</w:t>
      </w:r>
      <w:r w:rsidR="00E24BEA" w:rsidRPr="00F40853">
        <w:rPr>
          <w:sz w:val="24"/>
          <w:szCs w:val="24"/>
        </w:rPr>
        <w:t xml:space="preserve"> desempenhando um papel fundamental nas sociedades contemporâneas, </w:t>
      </w:r>
      <w:r w:rsidR="00CA1CA8" w:rsidRPr="00F40853">
        <w:rPr>
          <w:sz w:val="24"/>
          <w:szCs w:val="24"/>
        </w:rPr>
        <w:t>apresentando</w:t>
      </w:r>
      <w:r w:rsidR="00BE3AD7" w:rsidRPr="00F40853">
        <w:rPr>
          <w:sz w:val="24"/>
          <w:szCs w:val="24"/>
        </w:rPr>
        <w:t xml:space="preserve"> </w:t>
      </w:r>
      <w:r w:rsidR="00E24BEA" w:rsidRPr="00F40853">
        <w:rPr>
          <w:sz w:val="24"/>
          <w:szCs w:val="24"/>
        </w:rPr>
        <w:t xml:space="preserve">desafios significativos para a </w:t>
      </w:r>
      <w:r w:rsidR="00CA1CA8" w:rsidRPr="00F40853">
        <w:rPr>
          <w:sz w:val="24"/>
          <w:szCs w:val="24"/>
        </w:rPr>
        <w:t>formulação</w:t>
      </w:r>
      <w:r w:rsidR="00BE3AD7" w:rsidRPr="00F40853">
        <w:rPr>
          <w:sz w:val="24"/>
          <w:szCs w:val="24"/>
        </w:rPr>
        <w:t xml:space="preserve"> </w:t>
      </w:r>
      <w:r w:rsidR="00E24BEA" w:rsidRPr="00F40853">
        <w:rPr>
          <w:sz w:val="24"/>
          <w:szCs w:val="24"/>
        </w:rPr>
        <w:t>de políticas públicas</w:t>
      </w:r>
      <w:r w:rsidR="00F67A79" w:rsidRPr="00F40853">
        <w:rPr>
          <w:sz w:val="24"/>
          <w:szCs w:val="24"/>
        </w:rPr>
        <w:t xml:space="preserve"> (</w:t>
      </w:r>
      <w:r w:rsidR="00792E5D" w:rsidRPr="00F40853">
        <w:rPr>
          <w:sz w:val="24"/>
          <w:szCs w:val="24"/>
        </w:rPr>
        <w:t>Silva</w:t>
      </w:r>
      <w:r w:rsidR="00F63270" w:rsidRPr="00F40853">
        <w:rPr>
          <w:sz w:val="24"/>
          <w:szCs w:val="24"/>
        </w:rPr>
        <w:t>;</w:t>
      </w:r>
      <w:r w:rsidR="00792E5D" w:rsidRPr="00F40853">
        <w:rPr>
          <w:sz w:val="24"/>
          <w:szCs w:val="24"/>
        </w:rPr>
        <w:t xml:space="preserve"> Ojima, 2017</w:t>
      </w:r>
      <w:r w:rsidR="00F67A79" w:rsidRPr="00F40853">
        <w:rPr>
          <w:sz w:val="24"/>
          <w:szCs w:val="24"/>
        </w:rPr>
        <w:t>)</w:t>
      </w:r>
      <w:r w:rsidR="00E24BEA" w:rsidRPr="00F40853">
        <w:rPr>
          <w:sz w:val="24"/>
          <w:szCs w:val="24"/>
        </w:rPr>
        <w:t>.</w:t>
      </w:r>
      <w:r w:rsidR="00FB7560" w:rsidRPr="00F40853">
        <w:rPr>
          <w:sz w:val="24"/>
          <w:szCs w:val="24"/>
        </w:rPr>
        <w:t xml:space="preserve"> </w:t>
      </w:r>
      <w:r w:rsidR="001A5FFE" w:rsidRPr="00F40853">
        <w:rPr>
          <w:sz w:val="24"/>
          <w:szCs w:val="24"/>
        </w:rPr>
        <w:t xml:space="preserve">Neste contexto, a região Nordeste do Brasil, historicamente caracterizada por intensas perdas migratórias internas, passou a </w:t>
      </w:r>
      <w:r w:rsidR="00CA1CA8" w:rsidRPr="00F40853">
        <w:rPr>
          <w:sz w:val="24"/>
          <w:szCs w:val="24"/>
        </w:rPr>
        <w:t>registrar</w:t>
      </w:r>
      <w:r w:rsidR="001A5FFE" w:rsidRPr="00F40853">
        <w:rPr>
          <w:sz w:val="24"/>
          <w:szCs w:val="24"/>
        </w:rPr>
        <w:t xml:space="preserve">, desde a década de 1980 — e de forma mais </w:t>
      </w:r>
      <w:r w:rsidR="00CA1CA8" w:rsidRPr="00F40853">
        <w:rPr>
          <w:sz w:val="24"/>
          <w:szCs w:val="24"/>
        </w:rPr>
        <w:t>acentuada</w:t>
      </w:r>
      <w:r w:rsidR="001A5FFE" w:rsidRPr="00F40853">
        <w:rPr>
          <w:sz w:val="24"/>
          <w:szCs w:val="24"/>
        </w:rPr>
        <w:t xml:space="preserve"> a partir dos anos </w:t>
      </w:r>
      <w:r w:rsidR="00CA1CA8" w:rsidRPr="00F40853">
        <w:rPr>
          <w:sz w:val="24"/>
          <w:szCs w:val="24"/>
        </w:rPr>
        <w:t xml:space="preserve">de </w:t>
      </w:r>
      <w:r w:rsidR="001A5FFE" w:rsidRPr="00F40853">
        <w:rPr>
          <w:sz w:val="24"/>
          <w:szCs w:val="24"/>
        </w:rPr>
        <w:t>1990 —</w:t>
      </w:r>
      <w:r w:rsidR="00CA1CA8" w:rsidRPr="00F40853">
        <w:rPr>
          <w:sz w:val="24"/>
          <w:szCs w:val="24"/>
        </w:rPr>
        <w:t>,</w:t>
      </w:r>
      <w:r w:rsidR="001A5FFE" w:rsidRPr="00F40853">
        <w:rPr>
          <w:sz w:val="24"/>
          <w:szCs w:val="24"/>
        </w:rPr>
        <w:t xml:space="preserve"> uma desaceleração desses fluxos. </w:t>
      </w:r>
      <w:r w:rsidR="00CA1CA8" w:rsidRPr="00F40853">
        <w:rPr>
          <w:sz w:val="24"/>
          <w:szCs w:val="24"/>
        </w:rPr>
        <w:t>Assim,</w:t>
      </w:r>
      <w:r w:rsidR="00BE3AD7" w:rsidRPr="00F40853">
        <w:rPr>
          <w:sz w:val="24"/>
          <w:szCs w:val="24"/>
        </w:rPr>
        <w:t xml:space="preserve"> </w:t>
      </w:r>
      <w:r w:rsidR="001A5FFE" w:rsidRPr="00F40853">
        <w:rPr>
          <w:sz w:val="24"/>
          <w:szCs w:val="24"/>
        </w:rPr>
        <w:t xml:space="preserve">partir do século XXI, </w:t>
      </w:r>
      <w:r w:rsidR="00CA1CA8" w:rsidRPr="00F40853">
        <w:rPr>
          <w:sz w:val="24"/>
          <w:szCs w:val="24"/>
        </w:rPr>
        <w:t xml:space="preserve">observa-se </w:t>
      </w:r>
      <w:r w:rsidR="001A5FFE" w:rsidRPr="00F40853">
        <w:rPr>
          <w:sz w:val="24"/>
          <w:szCs w:val="24"/>
        </w:rPr>
        <w:t>um aumento na atração de migrantes internacionais (Queiroz</w:t>
      </w:r>
      <w:r w:rsidR="003A21B6" w:rsidRPr="00F40853">
        <w:rPr>
          <w:sz w:val="24"/>
          <w:szCs w:val="24"/>
        </w:rPr>
        <w:t>;</w:t>
      </w:r>
      <w:r w:rsidR="001A5FFE" w:rsidRPr="00F40853">
        <w:rPr>
          <w:sz w:val="24"/>
          <w:szCs w:val="24"/>
        </w:rPr>
        <w:t xml:space="preserve"> Baeninger</w:t>
      </w:r>
      <w:r w:rsidR="003A21B6" w:rsidRPr="00F40853">
        <w:rPr>
          <w:sz w:val="24"/>
          <w:szCs w:val="24"/>
        </w:rPr>
        <w:t xml:space="preserve">; </w:t>
      </w:r>
      <w:r w:rsidR="001A5FFE" w:rsidRPr="00F40853">
        <w:rPr>
          <w:sz w:val="24"/>
          <w:szCs w:val="24"/>
        </w:rPr>
        <w:t>Carvalho, 2024)</w:t>
      </w:r>
      <w:r w:rsidR="00473689" w:rsidRPr="00F40853">
        <w:rPr>
          <w:sz w:val="24"/>
          <w:szCs w:val="24"/>
        </w:rPr>
        <w:t xml:space="preserve">, </w:t>
      </w:r>
      <w:r w:rsidR="00CA1CA8" w:rsidRPr="00F40853">
        <w:rPr>
          <w:sz w:val="24"/>
          <w:szCs w:val="24"/>
        </w:rPr>
        <w:t>provenientes tanto</w:t>
      </w:r>
      <w:r w:rsidR="00BE3AD7" w:rsidRPr="00F40853">
        <w:rPr>
          <w:sz w:val="24"/>
          <w:szCs w:val="24"/>
        </w:rPr>
        <w:t xml:space="preserve"> </w:t>
      </w:r>
      <w:r w:rsidR="002D4C21" w:rsidRPr="00F40853">
        <w:rPr>
          <w:sz w:val="24"/>
          <w:szCs w:val="24"/>
        </w:rPr>
        <w:t xml:space="preserve">de países desenvolvidos </w:t>
      </w:r>
      <w:r w:rsidR="00CA1CA8" w:rsidRPr="00F40853">
        <w:rPr>
          <w:sz w:val="24"/>
          <w:szCs w:val="24"/>
        </w:rPr>
        <w:t xml:space="preserve">quanto, principalmente, de </w:t>
      </w:r>
      <w:r w:rsidR="002D4C21" w:rsidRPr="00F40853">
        <w:rPr>
          <w:sz w:val="24"/>
          <w:szCs w:val="24"/>
        </w:rPr>
        <w:t xml:space="preserve">nações </w:t>
      </w:r>
      <w:r w:rsidR="00CA1CA8" w:rsidRPr="00F40853">
        <w:rPr>
          <w:sz w:val="24"/>
          <w:szCs w:val="24"/>
        </w:rPr>
        <w:t>latino-americanas em situação de pobreza</w:t>
      </w:r>
      <w:r w:rsidR="002E3FAE" w:rsidRPr="00F40853">
        <w:rPr>
          <w:sz w:val="24"/>
          <w:szCs w:val="24"/>
        </w:rPr>
        <w:t xml:space="preserve"> (Bógus; Fabiano, 2015)</w:t>
      </w:r>
      <w:r w:rsidR="002D4C21" w:rsidRPr="00F40853">
        <w:rPr>
          <w:sz w:val="24"/>
          <w:szCs w:val="24"/>
        </w:rPr>
        <w:t>.</w:t>
      </w:r>
    </w:p>
    <w:p w14:paraId="02F841F8" w14:textId="244DB4F8" w:rsidR="00423C5A" w:rsidRPr="00F40853" w:rsidRDefault="001E775F" w:rsidP="00BE3AD7">
      <w:pPr>
        <w:spacing w:after="0" w:line="360" w:lineRule="auto"/>
        <w:ind w:leftChars="0" w:left="0" w:firstLineChars="0" w:firstLine="718"/>
        <w:rPr>
          <w:sz w:val="24"/>
          <w:szCs w:val="24"/>
        </w:rPr>
      </w:pPr>
      <w:r w:rsidRPr="00F40853">
        <w:rPr>
          <w:sz w:val="24"/>
          <w:szCs w:val="24"/>
        </w:rPr>
        <w:t>O Nordeste brasileiro</w:t>
      </w:r>
      <w:r w:rsidR="00904126" w:rsidRPr="00F40853">
        <w:rPr>
          <w:sz w:val="24"/>
          <w:szCs w:val="24"/>
        </w:rPr>
        <w:t xml:space="preserve"> tem registrado um aumento nas migrações internacionais</w:t>
      </w:r>
      <w:r w:rsidR="00423C5A" w:rsidRPr="00F40853">
        <w:rPr>
          <w:sz w:val="24"/>
          <w:szCs w:val="24"/>
        </w:rPr>
        <w:t>, alterando a dinâmica histórica de emigração para uma condição crescente de destino de imigrantes. Dentre esses, muitos se encontram em situação de vulnerabilidade social e econômica, o que demanda atenção por parte das políticas públicas (Silva; Ojima, 2017; Jarochinski-Silva; Baeninger, 2021; Queiroz; Baeninger; Carvalho, 2024).</w:t>
      </w:r>
    </w:p>
    <w:p w14:paraId="090765E5" w14:textId="77777777" w:rsidR="00423C5A" w:rsidRPr="00F40853" w:rsidRDefault="00423C5A" w:rsidP="00BE3AD7">
      <w:pPr>
        <w:spacing w:after="0" w:line="360" w:lineRule="auto"/>
        <w:ind w:leftChars="0" w:left="0" w:firstLineChars="0" w:firstLine="718"/>
        <w:rPr>
          <w:sz w:val="24"/>
          <w:szCs w:val="24"/>
        </w:rPr>
      </w:pPr>
      <w:r w:rsidRPr="00F40853">
        <w:rPr>
          <w:sz w:val="24"/>
          <w:szCs w:val="24"/>
        </w:rPr>
        <w:lastRenderedPageBreak/>
        <w:t>Neste contexto, o Cadastro Único (CadÚnico) emerge como uma importante ferramenta para identificar e atender a essas populações, sendo fundamental para o acesso a benefícios como o Programa Bolsa Família. No entanto, pouco se conhece sobre a abrangência e as características da presença imigrante no CadÚnico, especialmente no recorte regional nordestino.</w:t>
      </w:r>
    </w:p>
    <w:p w14:paraId="72A63F13" w14:textId="4B404EC3" w:rsidR="007237A1" w:rsidRPr="00F40853" w:rsidRDefault="00AF2025" w:rsidP="00662BF3">
      <w:pPr>
        <w:spacing w:after="0" w:line="360" w:lineRule="auto"/>
        <w:ind w:left="-2" w:firstLineChars="0" w:firstLine="720"/>
        <w:rPr>
          <w:sz w:val="24"/>
          <w:szCs w:val="24"/>
        </w:rPr>
      </w:pPr>
      <w:r w:rsidRPr="00F40853">
        <w:rPr>
          <w:sz w:val="24"/>
          <w:szCs w:val="24"/>
        </w:rPr>
        <w:t>Dessa forma, es</w:t>
      </w:r>
      <w:r w:rsidR="00B3773C" w:rsidRPr="00F40853">
        <w:rPr>
          <w:sz w:val="24"/>
          <w:szCs w:val="24"/>
        </w:rPr>
        <w:t>te trabalho</w:t>
      </w:r>
      <w:r w:rsidRPr="00F40853">
        <w:rPr>
          <w:sz w:val="24"/>
          <w:szCs w:val="24"/>
        </w:rPr>
        <w:t xml:space="preserve"> </w:t>
      </w:r>
      <w:r w:rsidR="00A36079" w:rsidRPr="00F40853">
        <w:rPr>
          <w:sz w:val="24"/>
          <w:szCs w:val="24"/>
        </w:rPr>
        <w:t>objetiva</w:t>
      </w:r>
      <w:r w:rsidR="00423C5A" w:rsidRPr="00F40853">
        <w:rPr>
          <w:sz w:val="24"/>
          <w:szCs w:val="24"/>
        </w:rPr>
        <w:t xml:space="preserve"> </w:t>
      </w:r>
      <w:r w:rsidR="00AA0609" w:rsidRPr="00F40853">
        <w:rPr>
          <w:sz w:val="24"/>
          <w:szCs w:val="24"/>
        </w:rPr>
        <w:t>destacar</w:t>
      </w:r>
      <w:r w:rsidR="00413887" w:rsidRPr="00F40853">
        <w:rPr>
          <w:sz w:val="24"/>
          <w:szCs w:val="24"/>
        </w:rPr>
        <w:t xml:space="preserve"> os países de origem e os estados de destino dos</w:t>
      </w:r>
      <w:r w:rsidR="00AC4E91" w:rsidRPr="00F40853">
        <w:rPr>
          <w:sz w:val="24"/>
          <w:szCs w:val="24"/>
        </w:rPr>
        <w:t xml:space="preserve"> </w:t>
      </w:r>
      <w:r w:rsidR="00423C5A" w:rsidRPr="00F40853">
        <w:rPr>
          <w:sz w:val="24"/>
          <w:szCs w:val="24"/>
        </w:rPr>
        <w:t>imigrantes internacionais registrados no Cadastro Único em Programas Sociais (CadÚnico), na região Nordeste do Brasil, entre 2012 e 2022, com ênfase nas condições de vulnerabilidade e no acesso a políticas de transferência de renda, especialmente o Programa Bolsa Família.</w:t>
      </w:r>
      <w:r w:rsidR="00A36079" w:rsidRPr="00F40853">
        <w:rPr>
          <w:sz w:val="24"/>
          <w:szCs w:val="24"/>
        </w:rPr>
        <w:t xml:space="preserve"> </w:t>
      </w:r>
      <w:r w:rsidR="00F34B34" w:rsidRPr="00F40853">
        <w:rPr>
          <w:sz w:val="24"/>
          <w:szCs w:val="24"/>
        </w:rPr>
        <w:t>A</w:t>
      </w:r>
      <w:r w:rsidR="005C4B86" w:rsidRPr="00F40853">
        <w:rPr>
          <w:sz w:val="24"/>
          <w:szCs w:val="24"/>
        </w:rPr>
        <w:t xml:space="preserve">lém desta introdução, </w:t>
      </w:r>
      <w:r w:rsidR="00F34B34" w:rsidRPr="00F40853">
        <w:rPr>
          <w:sz w:val="24"/>
          <w:szCs w:val="24"/>
        </w:rPr>
        <w:t xml:space="preserve">o trabalho está organizado </w:t>
      </w:r>
      <w:r w:rsidR="005C4B86" w:rsidRPr="00F40853">
        <w:rPr>
          <w:sz w:val="24"/>
          <w:szCs w:val="24"/>
        </w:rPr>
        <w:t>com mais três seções</w:t>
      </w:r>
      <w:r w:rsidR="00F34B34" w:rsidRPr="00F40853">
        <w:rPr>
          <w:sz w:val="24"/>
          <w:szCs w:val="24"/>
        </w:rPr>
        <w:t>; a</w:t>
      </w:r>
      <w:r w:rsidR="005C4B86" w:rsidRPr="00F40853">
        <w:rPr>
          <w:sz w:val="24"/>
          <w:szCs w:val="24"/>
        </w:rPr>
        <w:t xml:space="preserve"> segunda </w:t>
      </w:r>
      <w:r w:rsidR="00FE3BC4" w:rsidRPr="00F40853">
        <w:rPr>
          <w:sz w:val="24"/>
          <w:szCs w:val="24"/>
        </w:rPr>
        <w:t>apresenta os procedimentos metodológicos</w:t>
      </w:r>
      <w:r w:rsidR="00F34B34" w:rsidRPr="00F40853">
        <w:rPr>
          <w:sz w:val="24"/>
          <w:szCs w:val="24"/>
        </w:rPr>
        <w:t>; a</w:t>
      </w:r>
      <w:r w:rsidR="00FE3BC4" w:rsidRPr="00F40853">
        <w:rPr>
          <w:sz w:val="24"/>
          <w:szCs w:val="24"/>
        </w:rPr>
        <w:t xml:space="preserve"> terceira</w:t>
      </w:r>
      <w:r w:rsidR="00D60097" w:rsidRPr="00F40853">
        <w:rPr>
          <w:sz w:val="24"/>
          <w:szCs w:val="24"/>
        </w:rPr>
        <w:t xml:space="preserve"> </w:t>
      </w:r>
      <w:r w:rsidR="00F34B34" w:rsidRPr="00F40853">
        <w:rPr>
          <w:sz w:val="24"/>
          <w:szCs w:val="24"/>
        </w:rPr>
        <w:t>expõe e discute</w:t>
      </w:r>
      <w:r w:rsidR="00BE3AD7" w:rsidRPr="00F40853">
        <w:rPr>
          <w:sz w:val="24"/>
          <w:szCs w:val="24"/>
        </w:rPr>
        <w:t xml:space="preserve"> </w:t>
      </w:r>
      <w:r w:rsidR="00D60097" w:rsidRPr="00F40853">
        <w:rPr>
          <w:sz w:val="24"/>
          <w:szCs w:val="24"/>
        </w:rPr>
        <w:t>os resultados</w:t>
      </w:r>
      <w:r w:rsidR="00F34B34" w:rsidRPr="00F40853">
        <w:rPr>
          <w:sz w:val="24"/>
          <w:szCs w:val="24"/>
        </w:rPr>
        <w:t>; e</w:t>
      </w:r>
      <w:r w:rsidR="00D60097" w:rsidRPr="00F40853">
        <w:rPr>
          <w:sz w:val="24"/>
          <w:szCs w:val="24"/>
        </w:rPr>
        <w:t xml:space="preserve">, a última </w:t>
      </w:r>
      <w:r w:rsidR="00F34B34" w:rsidRPr="00F40853">
        <w:rPr>
          <w:sz w:val="24"/>
          <w:szCs w:val="24"/>
        </w:rPr>
        <w:t>reúne</w:t>
      </w:r>
      <w:r w:rsidR="00BE3AD7" w:rsidRPr="00F40853">
        <w:rPr>
          <w:sz w:val="24"/>
          <w:szCs w:val="24"/>
        </w:rPr>
        <w:t xml:space="preserve"> </w:t>
      </w:r>
      <w:r w:rsidR="00D60097" w:rsidRPr="00F40853">
        <w:rPr>
          <w:sz w:val="24"/>
          <w:szCs w:val="24"/>
        </w:rPr>
        <w:t>as conclusões.</w:t>
      </w:r>
    </w:p>
    <w:p w14:paraId="5FBBE997" w14:textId="77777777" w:rsidR="009955AD" w:rsidRPr="00F40853" w:rsidRDefault="009955AD" w:rsidP="009955AD">
      <w:pPr>
        <w:spacing w:after="0" w:line="360" w:lineRule="auto"/>
        <w:ind w:leftChars="0" w:left="0" w:firstLineChars="0" w:firstLine="0"/>
        <w:rPr>
          <w:sz w:val="24"/>
          <w:szCs w:val="24"/>
          <w:u w:val="single"/>
        </w:rPr>
      </w:pPr>
    </w:p>
    <w:p w14:paraId="5E9494FE" w14:textId="47C11D4E" w:rsidR="00A6596A" w:rsidRPr="00F40853" w:rsidRDefault="003F09CD" w:rsidP="00A6596A">
      <w:pPr>
        <w:pStyle w:val="Ttulo2"/>
        <w:spacing w:line="360" w:lineRule="auto"/>
        <w:ind w:left="0" w:hanging="2"/>
      </w:pPr>
      <w:bookmarkStart w:id="2" w:name="_heading=h.5fkfjb71bgr" w:colFirst="0" w:colLast="0"/>
      <w:bookmarkEnd w:id="2"/>
      <w:r w:rsidRPr="00F40853">
        <w:t>Material e Métodos</w:t>
      </w:r>
    </w:p>
    <w:p w14:paraId="2791FC0F" w14:textId="2245DBDA" w:rsidR="00A6596A" w:rsidRPr="00F40853" w:rsidRDefault="00A6596A" w:rsidP="00A6596A">
      <w:pPr>
        <w:spacing w:after="0" w:line="360" w:lineRule="auto"/>
        <w:ind w:leftChars="0" w:left="0" w:firstLineChars="0" w:firstLine="720"/>
        <w:rPr>
          <w:sz w:val="24"/>
          <w:szCs w:val="24"/>
        </w:rPr>
      </w:pPr>
      <w:r w:rsidRPr="00F40853">
        <w:rPr>
          <w:sz w:val="24"/>
          <w:szCs w:val="24"/>
        </w:rPr>
        <w:t>Trata-se de um estudo descritivo, com recorte temporal de 2012 a 2022, abrangendo os nove estados do Nordeste brasileiro. A análise baseia-se nos microdados do CadÚnico, organizados pelo OBMigra, com foco nos imigrantes internacionais, incluindo solicitantes de refúgio, que acessaram programas de transferência de renda federais.</w:t>
      </w:r>
    </w:p>
    <w:p w14:paraId="5D536019" w14:textId="77777777" w:rsidR="00D82439" w:rsidRPr="00F40853" w:rsidRDefault="00D82439" w:rsidP="00662BF3">
      <w:pPr>
        <w:spacing w:after="0" w:line="360" w:lineRule="auto"/>
        <w:ind w:left="-2" w:firstLineChars="0" w:firstLine="720"/>
        <w:rPr>
          <w:sz w:val="24"/>
          <w:szCs w:val="24"/>
        </w:rPr>
      </w:pPr>
    </w:p>
    <w:p w14:paraId="0000001A" w14:textId="77777777" w:rsidR="009377D3" w:rsidRPr="00F40853" w:rsidRDefault="003F09CD" w:rsidP="00662BF3">
      <w:pPr>
        <w:pStyle w:val="Ttulo2"/>
        <w:spacing w:line="360" w:lineRule="auto"/>
        <w:ind w:left="0" w:hanging="2"/>
      </w:pPr>
      <w:bookmarkStart w:id="3" w:name="_heading=h.p2q1028yp2bm" w:colFirst="0" w:colLast="0"/>
      <w:bookmarkEnd w:id="3"/>
      <w:r w:rsidRPr="00F40853">
        <w:t>Resultados</w:t>
      </w:r>
    </w:p>
    <w:p w14:paraId="39BE8366" w14:textId="76A7E600" w:rsidR="00D86C43" w:rsidRPr="00F40853" w:rsidRDefault="004D2C7D" w:rsidP="00773E1D">
      <w:pPr>
        <w:spacing w:after="0" w:line="360" w:lineRule="auto"/>
        <w:ind w:left="-2" w:firstLineChars="0" w:firstLine="720"/>
        <w:rPr>
          <w:sz w:val="24"/>
          <w:szCs w:val="24"/>
        </w:rPr>
      </w:pPr>
      <w:r w:rsidRPr="00F40853">
        <w:rPr>
          <w:sz w:val="24"/>
          <w:szCs w:val="24"/>
        </w:rPr>
        <w:t>E</w:t>
      </w:r>
      <w:r w:rsidR="00D10D0D" w:rsidRPr="00F40853">
        <w:rPr>
          <w:sz w:val="24"/>
          <w:szCs w:val="24"/>
        </w:rPr>
        <w:t xml:space="preserve">ntre 2012 e 2022, a região Nordeste </w:t>
      </w:r>
      <w:r w:rsidRPr="00F40853">
        <w:rPr>
          <w:sz w:val="24"/>
          <w:szCs w:val="24"/>
        </w:rPr>
        <w:t>contabilizou</w:t>
      </w:r>
      <w:r w:rsidR="00BE3AD7" w:rsidRPr="00F40853">
        <w:rPr>
          <w:sz w:val="24"/>
          <w:szCs w:val="24"/>
        </w:rPr>
        <w:t xml:space="preserve"> </w:t>
      </w:r>
      <w:r w:rsidR="00D10D0D" w:rsidRPr="00F40853">
        <w:rPr>
          <w:sz w:val="24"/>
          <w:szCs w:val="24"/>
        </w:rPr>
        <w:t xml:space="preserve">14.436 imigrantes de 124 países distintos </w:t>
      </w:r>
      <w:r w:rsidR="00D1112B" w:rsidRPr="00F40853">
        <w:rPr>
          <w:sz w:val="24"/>
          <w:szCs w:val="24"/>
        </w:rPr>
        <w:t>registrados</w:t>
      </w:r>
      <w:r w:rsidR="00D10D0D" w:rsidRPr="00F40853">
        <w:rPr>
          <w:sz w:val="24"/>
          <w:szCs w:val="24"/>
        </w:rPr>
        <w:t xml:space="preserve"> no CadÚnico</w:t>
      </w:r>
      <w:r w:rsidRPr="00F40853">
        <w:rPr>
          <w:sz w:val="24"/>
          <w:szCs w:val="24"/>
        </w:rPr>
        <w:t>, conforme dados do OBMigra</w:t>
      </w:r>
      <w:r w:rsidR="00D10D0D" w:rsidRPr="00F40853">
        <w:rPr>
          <w:sz w:val="24"/>
          <w:szCs w:val="24"/>
        </w:rPr>
        <w:t xml:space="preserve">. </w:t>
      </w:r>
      <w:r w:rsidR="00B04676" w:rsidRPr="00F40853">
        <w:rPr>
          <w:sz w:val="24"/>
          <w:szCs w:val="24"/>
        </w:rPr>
        <w:t>Desse</w:t>
      </w:r>
      <w:r w:rsidRPr="00F40853">
        <w:rPr>
          <w:sz w:val="24"/>
          <w:szCs w:val="24"/>
        </w:rPr>
        <w:t>s</w:t>
      </w:r>
      <w:r w:rsidR="00B04676" w:rsidRPr="00F40853">
        <w:rPr>
          <w:sz w:val="24"/>
          <w:szCs w:val="24"/>
        </w:rPr>
        <w:t xml:space="preserve">, </w:t>
      </w:r>
      <w:r w:rsidR="00952DF6" w:rsidRPr="00F40853">
        <w:rPr>
          <w:sz w:val="24"/>
          <w:szCs w:val="24"/>
        </w:rPr>
        <w:t>aproximadamente 63% eram beneficiários do Programa Bolsa Família</w:t>
      </w:r>
      <w:r w:rsidR="00DA18C0" w:rsidRPr="00F40853">
        <w:rPr>
          <w:sz w:val="24"/>
          <w:szCs w:val="24"/>
        </w:rPr>
        <w:t xml:space="preserve">, </w:t>
      </w:r>
      <w:r w:rsidRPr="00F40853">
        <w:rPr>
          <w:sz w:val="24"/>
          <w:szCs w:val="24"/>
        </w:rPr>
        <w:t>enquanto</w:t>
      </w:r>
      <w:r w:rsidR="00BE3AD7" w:rsidRPr="00F40853">
        <w:rPr>
          <w:sz w:val="24"/>
          <w:szCs w:val="24"/>
        </w:rPr>
        <w:t xml:space="preserve"> </w:t>
      </w:r>
      <w:r w:rsidR="007C72D3" w:rsidRPr="00F40853">
        <w:rPr>
          <w:sz w:val="24"/>
          <w:szCs w:val="24"/>
        </w:rPr>
        <w:t>cerca</w:t>
      </w:r>
      <w:r w:rsidR="00DA18C0" w:rsidRPr="00F40853">
        <w:rPr>
          <w:sz w:val="24"/>
          <w:szCs w:val="24"/>
        </w:rPr>
        <w:t xml:space="preserve"> </w:t>
      </w:r>
      <w:r w:rsidRPr="00F40853">
        <w:rPr>
          <w:sz w:val="24"/>
          <w:szCs w:val="24"/>
        </w:rPr>
        <w:t xml:space="preserve">de </w:t>
      </w:r>
      <w:r w:rsidR="00DA18C0" w:rsidRPr="00F40853">
        <w:rPr>
          <w:sz w:val="24"/>
          <w:szCs w:val="24"/>
        </w:rPr>
        <w:t>37%</w:t>
      </w:r>
      <w:r w:rsidRPr="00F40853">
        <w:rPr>
          <w:sz w:val="24"/>
          <w:szCs w:val="24"/>
        </w:rPr>
        <w:t xml:space="preserve"> não recebiam o benefício</w:t>
      </w:r>
      <w:r w:rsidR="00DA18C0" w:rsidRPr="00F40853">
        <w:rPr>
          <w:sz w:val="24"/>
          <w:szCs w:val="24"/>
        </w:rPr>
        <w:t xml:space="preserve">, conforme </w:t>
      </w:r>
      <w:r w:rsidRPr="00F40853">
        <w:rPr>
          <w:sz w:val="24"/>
          <w:szCs w:val="24"/>
        </w:rPr>
        <w:t xml:space="preserve">mostra o </w:t>
      </w:r>
      <w:r w:rsidR="00DA18C0" w:rsidRPr="00F40853">
        <w:rPr>
          <w:sz w:val="24"/>
          <w:szCs w:val="24"/>
        </w:rPr>
        <w:t>Gráfico 1.</w:t>
      </w:r>
    </w:p>
    <w:p w14:paraId="70D4429A" w14:textId="77777777" w:rsidR="00B04676" w:rsidRPr="00F40853" w:rsidRDefault="00B04676" w:rsidP="00B04676">
      <w:pPr>
        <w:spacing w:after="0" w:line="360" w:lineRule="auto"/>
        <w:ind w:leftChars="0" w:left="0" w:firstLineChars="0" w:firstLine="0"/>
        <w:rPr>
          <w:sz w:val="24"/>
          <w:szCs w:val="24"/>
        </w:rPr>
      </w:pPr>
    </w:p>
    <w:p w14:paraId="296DE316" w14:textId="01406D7A" w:rsidR="00B04676" w:rsidRPr="00F40853" w:rsidRDefault="00B04676" w:rsidP="007E623D">
      <w:pPr>
        <w:spacing w:after="0" w:line="240" w:lineRule="auto"/>
        <w:ind w:leftChars="0" w:left="0" w:firstLineChars="0" w:firstLine="0"/>
        <w:jc w:val="center"/>
        <w:rPr>
          <w:sz w:val="24"/>
          <w:szCs w:val="24"/>
        </w:rPr>
      </w:pPr>
      <w:r w:rsidRPr="00F40853">
        <w:rPr>
          <w:sz w:val="24"/>
          <w:szCs w:val="24"/>
        </w:rPr>
        <w:t xml:space="preserve">Gráfico 1 – Imigrantes com registros no CadÚnico, </w:t>
      </w:r>
      <w:r w:rsidR="00FC6442" w:rsidRPr="00F40853">
        <w:rPr>
          <w:sz w:val="24"/>
          <w:szCs w:val="24"/>
        </w:rPr>
        <w:t>contemplados com</w:t>
      </w:r>
      <w:r w:rsidR="003A0FF0" w:rsidRPr="00F40853">
        <w:rPr>
          <w:sz w:val="24"/>
          <w:szCs w:val="24"/>
        </w:rPr>
        <w:t xml:space="preserve"> Bolsa Família</w:t>
      </w:r>
      <w:r w:rsidRPr="00F40853">
        <w:rPr>
          <w:sz w:val="24"/>
          <w:szCs w:val="24"/>
        </w:rPr>
        <w:t>, no Nordeste – 2012 a 2022</w:t>
      </w:r>
    </w:p>
    <w:p w14:paraId="77AD7C89" w14:textId="38C10BA5" w:rsidR="00B04676" w:rsidRPr="00F40853" w:rsidRDefault="006645E2" w:rsidP="007E623D">
      <w:pPr>
        <w:spacing w:after="0" w:line="240" w:lineRule="auto"/>
        <w:ind w:leftChars="0" w:left="0" w:firstLineChars="0" w:firstLine="0"/>
        <w:jc w:val="center"/>
        <w:rPr>
          <w:sz w:val="20"/>
          <w:szCs w:val="20"/>
        </w:rPr>
      </w:pPr>
      <w:r w:rsidRPr="00F40853">
        <w:rPr>
          <w:noProof/>
        </w:rPr>
        <w:drawing>
          <wp:inline distT="0" distB="0" distL="0" distR="0" wp14:anchorId="60E89806" wp14:editId="523441B4">
            <wp:extent cx="2664000" cy="1332000"/>
            <wp:effectExtent l="0" t="0" r="3175" b="1905"/>
            <wp:docPr id="1359740506" name="Gráfico 1">
              <a:extLst xmlns:a="http://schemas.openxmlformats.org/drawingml/2006/main">
                <a:ext uri="{FF2B5EF4-FFF2-40B4-BE49-F238E27FC236}">
                  <a16:creationId xmlns:a16="http://schemas.microsoft.com/office/drawing/2014/main" id="{1EEA0360-3FB7-4142-B704-02E46C887943}"/>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58F80CA" w14:textId="77777777" w:rsidR="00B04676" w:rsidRPr="00F40853" w:rsidRDefault="00B04676" w:rsidP="007E623D">
      <w:pPr>
        <w:spacing w:after="0" w:line="240" w:lineRule="auto"/>
        <w:ind w:leftChars="0" w:left="0" w:firstLineChars="0" w:firstLine="0"/>
        <w:jc w:val="center"/>
        <w:rPr>
          <w:sz w:val="20"/>
          <w:szCs w:val="20"/>
        </w:rPr>
      </w:pPr>
      <w:r w:rsidRPr="00F40853">
        <w:rPr>
          <w:sz w:val="20"/>
          <w:szCs w:val="20"/>
        </w:rPr>
        <w:t>Fonte: Organizado pelo Observatório das Migrações em São Paulo NEPO/Unicamp e OMEC/URCA, a partir dos microdados do CadÚnico do OBMigra</w:t>
      </w:r>
    </w:p>
    <w:p w14:paraId="2176B02A" w14:textId="32527305" w:rsidR="00F41F99" w:rsidRPr="00F40853" w:rsidRDefault="00F25F12" w:rsidP="00773E1D">
      <w:pPr>
        <w:spacing w:after="0" w:line="360" w:lineRule="auto"/>
        <w:ind w:left="-2" w:firstLineChars="0" w:firstLine="720"/>
        <w:rPr>
          <w:sz w:val="24"/>
          <w:szCs w:val="24"/>
        </w:rPr>
      </w:pPr>
      <w:r w:rsidRPr="00F40853">
        <w:rPr>
          <w:sz w:val="24"/>
          <w:szCs w:val="24"/>
        </w:rPr>
        <w:lastRenderedPageBreak/>
        <w:t>A Venezuela desponta como o principal país de origem dos imigrantes beneficiados, com 80,26% de seus nacionais recebendo o auxílio</w:t>
      </w:r>
      <w:r w:rsidR="003000EE" w:rsidRPr="00F40853">
        <w:rPr>
          <w:sz w:val="24"/>
          <w:szCs w:val="24"/>
        </w:rPr>
        <w:t>.</w:t>
      </w:r>
      <w:r w:rsidR="00F54CE1" w:rsidRPr="00F40853">
        <w:rPr>
          <w:sz w:val="24"/>
          <w:szCs w:val="24"/>
        </w:rPr>
        <w:t xml:space="preserve"> Jarochinski-Silva e Baeninger (2021) destacam que a migração venezuelana, especialmente para países da América Latina, representa </w:t>
      </w:r>
      <w:r w:rsidRPr="00F40853">
        <w:rPr>
          <w:sz w:val="24"/>
          <w:szCs w:val="24"/>
        </w:rPr>
        <w:t xml:space="preserve">em anos recentes </w:t>
      </w:r>
      <w:r w:rsidR="00F54CE1" w:rsidRPr="00F40853">
        <w:rPr>
          <w:sz w:val="24"/>
          <w:szCs w:val="24"/>
        </w:rPr>
        <w:t>o movimento de mobilidade humana mais significativo</w:t>
      </w:r>
      <w:r w:rsidRPr="00F40853">
        <w:rPr>
          <w:sz w:val="24"/>
          <w:szCs w:val="24"/>
        </w:rPr>
        <w:t>, caracterizado por uma população em situação de vulnerabilidade tanto na origem quanto no destino</w:t>
      </w:r>
      <w:r w:rsidR="00F54CE1" w:rsidRPr="00F40853">
        <w:rPr>
          <w:sz w:val="24"/>
          <w:szCs w:val="24"/>
        </w:rPr>
        <w:t>.</w:t>
      </w:r>
    </w:p>
    <w:p w14:paraId="68A3C9BA" w14:textId="77777777" w:rsidR="00BF3F38" w:rsidRPr="00F40853" w:rsidRDefault="00BF3F38" w:rsidP="00BF3F38">
      <w:pPr>
        <w:spacing w:after="0" w:line="360" w:lineRule="auto"/>
        <w:ind w:leftChars="0" w:left="0" w:firstLineChars="0" w:firstLine="0"/>
        <w:rPr>
          <w:sz w:val="24"/>
          <w:szCs w:val="24"/>
        </w:rPr>
      </w:pPr>
    </w:p>
    <w:p w14:paraId="3731A622" w14:textId="6F6D4257" w:rsidR="00BF3F38" w:rsidRPr="00F40853" w:rsidRDefault="00BF3F38" w:rsidP="001E56C6">
      <w:pPr>
        <w:spacing w:after="0" w:line="240" w:lineRule="auto"/>
        <w:ind w:leftChars="0" w:left="0" w:firstLineChars="0" w:firstLine="0"/>
        <w:jc w:val="center"/>
        <w:rPr>
          <w:sz w:val="24"/>
          <w:szCs w:val="24"/>
        </w:rPr>
      </w:pPr>
      <w:r w:rsidRPr="00F40853">
        <w:rPr>
          <w:sz w:val="24"/>
          <w:szCs w:val="24"/>
        </w:rPr>
        <w:t>Gráfico 2 – Imigrantes com registros no CadÚnico,</w:t>
      </w:r>
      <w:r w:rsidR="00916981" w:rsidRPr="00F40853">
        <w:rPr>
          <w:sz w:val="24"/>
          <w:szCs w:val="24"/>
        </w:rPr>
        <w:t xml:space="preserve"> contemplados com Bolsa Família,</w:t>
      </w:r>
      <w:r w:rsidRPr="00F40853">
        <w:rPr>
          <w:sz w:val="24"/>
          <w:szCs w:val="24"/>
        </w:rPr>
        <w:t xml:space="preserve"> </w:t>
      </w:r>
      <w:r w:rsidR="00B831A6" w:rsidRPr="00F40853">
        <w:rPr>
          <w:sz w:val="24"/>
          <w:szCs w:val="24"/>
        </w:rPr>
        <w:t>por país de origem</w:t>
      </w:r>
      <w:r w:rsidRPr="00F40853">
        <w:rPr>
          <w:sz w:val="24"/>
          <w:szCs w:val="24"/>
        </w:rPr>
        <w:t>, no Nordeste – 2012 a 2022</w:t>
      </w:r>
    </w:p>
    <w:p w14:paraId="06BF2D63" w14:textId="5A756FA6" w:rsidR="00BF3F38" w:rsidRPr="00F40853" w:rsidRDefault="000A4078" w:rsidP="001E56C6">
      <w:pPr>
        <w:spacing w:after="0" w:line="240" w:lineRule="auto"/>
        <w:ind w:leftChars="0" w:left="0" w:firstLineChars="0" w:firstLine="0"/>
        <w:jc w:val="center"/>
        <w:rPr>
          <w:sz w:val="20"/>
          <w:szCs w:val="20"/>
        </w:rPr>
      </w:pPr>
      <w:r w:rsidRPr="00F40853">
        <w:rPr>
          <w:noProof/>
        </w:rPr>
        <w:drawing>
          <wp:inline distT="0" distB="0" distL="0" distR="0" wp14:anchorId="66490BA5" wp14:editId="6058203E">
            <wp:extent cx="3600000" cy="1800000"/>
            <wp:effectExtent l="0" t="0" r="635" b="10160"/>
            <wp:docPr id="1913130865" name="Gráfico 1">
              <a:extLst xmlns:a="http://schemas.openxmlformats.org/drawingml/2006/main">
                <a:ext uri="{FF2B5EF4-FFF2-40B4-BE49-F238E27FC236}">
                  <a16:creationId xmlns:a16="http://schemas.microsoft.com/office/drawing/2014/main" id="{56989C04-F8E0-45A7-BAF5-846BA20951F7}"/>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F3CE9EE" w14:textId="77777777" w:rsidR="00BF3F38" w:rsidRPr="00F40853" w:rsidRDefault="00BF3F38" w:rsidP="001E56C6">
      <w:pPr>
        <w:spacing w:after="0" w:line="240" w:lineRule="auto"/>
        <w:ind w:leftChars="0" w:left="0" w:firstLineChars="0" w:firstLine="0"/>
        <w:jc w:val="center"/>
        <w:rPr>
          <w:sz w:val="24"/>
          <w:szCs w:val="24"/>
        </w:rPr>
      </w:pPr>
      <w:r w:rsidRPr="00F40853">
        <w:rPr>
          <w:sz w:val="20"/>
          <w:szCs w:val="20"/>
        </w:rPr>
        <w:t>Fonte: Organizado pelo Observatório das Migrações em São Paulo NEPO/Unicamp e OMEC/URCA, a partir dos microdados do CadÚnico do OBMigra</w:t>
      </w:r>
    </w:p>
    <w:p w14:paraId="113B9E39" w14:textId="77777777" w:rsidR="00BF3F38" w:rsidRPr="00F40853" w:rsidRDefault="00BF3F38" w:rsidP="00BF3F38">
      <w:pPr>
        <w:spacing w:after="0" w:line="360" w:lineRule="auto"/>
        <w:ind w:leftChars="0" w:left="0" w:firstLineChars="0" w:firstLine="0"/>
        <w:rPr>
          <w:sz w:val="24"/>
          <w:szCs w:val="24"/>
        </w:rPr>
      </w:pPr>
    </w:p>
    <w:p w14:paraId="13D0C5B6" w14:textId="19AB9FC6" w:rsidR="00887423" w:rsidRPr="00F40853" w:rsidRDefault="00E52F9C" w:rsidP="000550B1">
      <w:pPr>
        <w:ind w:leftChars="0" w:left="0" w:firstLineChars="0" w:firstLine="718"/>
        <w:rPr>
          <w:sz w:val="24"/>
          <w:szCs w:val="24"/>
        </w:rPr>
      </w:pPr>
      <w:r w:rsidRPr="00F40853">
        <w:rPr>
          <w:sz w:val="24"/>
          <w:szCs w:val="24"/>
        </w:rPr>
        <w:t xml:space="preserve">Em se tratando da distribuição espacial entre os </w:t>
      </w:r>
      <w:r w:rsidR="00F25F12" w:rsidRPr="00F40853">
        <w:rPr>
          <w:sz w:val="24"/>
          <w:szCs w:val="24"/>
        </w:rPr>
        <w:t>nove</w:t>
      </w:r>
      <w:r w:rsidRPr="00F40853">
        <w:rPr>
          <w:sz w:val="24"/>
          <w:szCs w:val="24"/>
        </w:rPr>
        <w:t xml:space="preserve"> estados do Nordeste</w:t>
      </w:r>
      <w:r w:rsidR="00BF4AA5" w:rsidRPr="00F40853">
        <w:rPr>
          <w:sz w:val="24"/>
          <w:szCs w:val="24"/>
        </w:rPr>
        <w:t>,</w:t>
      </w:r>
      <w:r w:rsidR="008A3932" w:rsidRPr="00F40853">
        <w:rPr>
          <w:sz w:val="24"/>
          <w:szCs w:val="24"/>
        </w:rPr>
        <w:t xml:space="preserve"> o Piauí</w:t>
      </w:r>
      <w:r w:rsidR="00AC3331" w:rsidRPr="00F40853">
        <w:rPr>
          <w:sz w:val="24"/>
          <w:szCs w:val="24"/>
        </w:rPr>
        <w:t xml:space="preserve"> (74,95%)</w:t>
      </w:r>
      <w:r w:rsidR="008A3932" w:rsidRPr="00F40853">
        <w:rPr>
          <w:sz w:val="24"/>
          <w:szCs w:val="24"/>
        </w:rPr>
        <w:t xml:space="preserve"> concentra o maior </w:t>
      </w:r>
      <w:r w:rsidR="00F25F12" w:rsidRPr="00F40853">
        <w:rPr>
          <w:sz w:val="24"/>
          <w:szCs w:val="24"/>
        </w:rPr>
        <w:t>percentual</w:t>
      </w:r>
      <w:r w:rsidR="008A3932" w:rsidRPr="00F40853">
        <w:rPr>
          <w:sz w:val="24"/>
          <w:szCs w:val="24"/>
        </w:rPr>
        <w:t xml:space="preserve"> de </w:t>
      </w:r>
      <w:r w:rsidR="00F25F12" w:rsidRPr="00F40853">
        <w:rPr>
          <w:sz w:val="24"/>
          <w:szCs w:val="24"/>
        </w:rPr>
        <w:t>beneficiário</w:t>
      </w:r>
      <w:r w:rsidR="00BE3AD7" w:rsidRPr="00F40853">
        <w:rPr>
          <w:sz w:val="24"/>
          <w:szCs w:val="24"/>
        </w:rPr>
        <w:t xml:space="preserve"> </w:t>
      </w:r>
      <w:r w:rsidR="008A3932" w:rsidRPr="00F40853">
        <w:rPr>
          <w:sz w:val="24"/>
          <w:szCs w:val="24"/>
        </w:rPr>
        <w:t xml:space="preserve">do PBF, seguido </w:t>
      </w:r>
      <w:r w:rsidR="005174BA" w:rsidRPr="00F40853">
        <w:rPr>
          <w:sz w:val="24"/>
          <w:szCs w:val="24"/>
        </w:rPr>
        <w:t>de perto pelo Rio Grande do Norte (73,6%) e Maranhão (73,28%).</w:t>
      </w:r>
      <w:r w:rsidR="00F25F12" w:rsidRPr="00F40853">
        <w:rPr>
          <w:sz w:val="24"/>
          <w:szCs w:val="24"/>
        </w:rPr>
        <w:t xml:space="preserve"> </w:t>
      </w:r>
      <w:r w:rsidR="000550B1" w:rsidRPr="00F40853">
        <w:rPr>
          <w:sz w:val="24"/>
          <w:szCs w:val="24"/>
        </w:rPr>
        <w:t>A concentração nesses estados está relacionada à sua condição socioeconômica; em especial, Piauí e Maranhão figuram entre os mais pobres não apenas da região, mas de todo o país (</w:t>
      </w:r>
      <w:proofErr w:type="spellStart"/>
      <w:r w:rsidR="000550B1" w:rsidRPr="00F40853">
        <w:rPr>
          <w:sz w:val="24"/>
          <w:szCs w:val="24"/>
        </w:rPr>
        <w:t>Sátyro</w:t>
      </w:r>
      <w:proofErr w:type="spellEnd"/>
      <w:r w:rsidR="000550B1" w:rsidRPr="00F40853">
        <w:rPr>
          <w:sz w:val="24"/>
          <w:szCs w:val="24"/>
        </w:rPr>
        <w:t>; Soares, 2009).</w:t>
      </w:r>
    </w:p>
    <w:p w14:paraId="14B82B9B" w14:textId="77777777" w:rsidR="000A765A" w:rsidRPr="00F40853" w:rsidRDefault="000A765A" w:rsidP="000A765A">
      <w:pPr>
        <w:spacing w:after="0" w:line="360" w:lineRule="auto"/>
        <w:ind w:leftChars="0" w:left="0" w:firstLineChars="0" w:firstLine="0"/>
        <w:rPr>
          <w:sz w:val="24"/>
          <w:szCs w:val="24"/>
        </w:rPr>
      </w:pPr>
    </w:p>
    <w:p w14:paraId="2DE1AD79" w14:textId="70D0B7C6" w:rsidR="00887423" w:rsidRPr="00F40853" w:rsidRDefault="00887423" w:rsidP="00887423">
      <w:pPr>
        <w:spacing w:after="0" w:line="240" w:lineRule="auto"/>
        <w:ind w:leftChars="0" w:left="0" w:firstLineChars="0" w:firstLine="0"/>
        <w:jc w:val="center"/>
        <w:rPr>
          <w:sz w:val="24"/>
          <w:szCs w:val="24"/>
        </w:rPr>
      </w:pPr>
      <w:r w:rsidRPr="00F40853">
        <w:rPr>
          <w:sz w:val="24"/>
          <w:szCs w:val="24"/>
        </w:rPr>
        <w:t xml:space="preserve">Gráfico </w:t>
      </w:r>
      <w:r w:rsidR="00B03788" w:rsidRPr="00F40853">
        <w:rPr>
          <w:sz w:val="24"/>
          <w:szCs w:val="24"/>
        </w:rPr>
        <w:t>3</w:t>
      </w:r>
      <w:r w:rsidRPr="00F40853">
        <w:rPr>
          <w:sz w:val="24"/>
          <w:szCs w:val="24"/>
        </w:rPr>
        <w:t xml:space="preserve"> – Imigrantes com registros no CadÚnico, </w:t>
      </w:r>
      <w:r w:rsidR="00916981" w:rsidRPr="00F40853">
        <w:rPr>
          <w:sz w:val="24"/>
          <w:szCs w:val="24"/>
        </w:rPr>
        <w:t xml:space="preserve">contemplados com Bolsa Família, </w:t>
      </w:r>
      <w:r w:rsidRPr="00F40853">
        <w:rPr>
          <w:sz w:val="24"/>
          <w:szCs w:val="24"/>
        </w:rPr>
        <w:t xml:space="preserve">por </w:t>
      </w:r>
      <w:r w:rsidR="0078122B" w:rsidRPr="00F40853">
        <w:rPr>
          <w:sz w:val="24"/>
          <w:szCs w:val="24"/>
        </w:rPr>
        <w:t>UF de destino</w:t>
      </w:r>
      <w:r w:rsidRPr="00F40853">
        <w:rPr>
          <w:sz w:val="24"/>
          <w:szCs w:val="24"/>
        </w:rPr>
        <w:t>, no Nordeste – 2012 a 2022</w:t>
      </w:r>
    </w:p>
    <w:p w14:paraId="45C8C0CA" w14:textId="1F5DACAD" w:rsidR="00887423" w:rsidRPr="00F40853" w:rsidRDefault="00C9488E" w:rsidP="00887423">
      <w:pPr>
        <w:spacing w:after="0" w:line="240" w:lineRule="auto"/>
        <w:ind w:leftChars="0" w:left="0" w:firstLineChars="0" w:firstLine="0"/>
        <w:jc w:val="center"/>
        <w:rPr>
          <w:sz w:val="20"/>
          <w:szCs w:val="20"/>
        </w:rPr>
      </w:pPr>
      <w:r w:rsidRPr="00F40853">
        <w:rPr>
          <w:noProof/>
        </w:rPr>
        <w:drawing>
          <wp:inline distT="0" distB="0" distL="0" distR="0" wp14:anchorId="67B63606" wp14:editId="26C5146C">
            <wp:extent cx="3600000" cy="1800000"/>
            <wp:effectExtent l="0" t="0" r="635" b="10160"/>
            <wp:docPr id="784892488" name="Gráfico 1">
              <a:extLst xmlns:a="http://schemas.openxmlformats.org/drawingml/2006/main">
                <a:ext uri="{FF2B5EF4-FFF2-40B4-BE49-F238E27FC236}">
                  <a16:creationId xmlns:a16="http://schemas.microsoft.com/office/drawing/2014/main" id="{CF66EF10-9854-4ECE-9353-A67224D0B1B2}"/>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98EA50" w14:textId="77777777" w:rsidR="00887423" w:rsidRPr="00F40853" w:rsidRDefault="00887423" w:rsidP="00887423">
      <w:pPr>
        <w:spacing w:after="0" w:line="240" w:lineRule="auto"/>
        <w:ind w:leftChars="0" w:left="0" w:firstLineChars="0" w:firstLine="0"/>
        <w:jc w:val="center"/>
        <w:rPr>
          <w:sz w:val="24"/>
          <w:szCs w:val="24"/>
        </w:rPr>
      </w:pPr>
      <w:r w:rsidRPr="00F40853">
        <w:rPr>
          <w:sz w:val="20"/>
          <w:szCs w:val="20"/>
        </w:rPr>
        <w:t>Fonte: Organizado pelo Observatório das Migrações em São Paulo NEPO/Unicamp e OMEC/URCA, a partir dos microdados do CadÚnico do OBMigra</w:t>
      </w:r>
    </w:p>
    <w:p w14:paraId="3BA4B5A8" w14:textId="2C434313" w:rsidR="009C69B2" w:rsidRPr="00F40853" w:rsidRDefault="009C69B2" w:rsidP="00B97A40">
      <w:pPr>
        <w:spacing w:after="0" w:line="360" w:lineRule="auto"/>
        <w:ind w:leftChars="0" w:left="0" w:firstLineChars="0" w:firstLine="0"/>
        <w:rPr>
          <w:sz w:val="24"/>
          <w:szCs w:val="24"/>
        </w:rPr>
      </w:pPr>
    </w:p>
    <w:p w14:paraId="73F023C0" w14:textId="77777777" w:rsidR="007F7F26" w:rsidRPr="00F40853" w:rsidRDefault="007F7F26" w:rsidP="007F7F26">
      <w:pPr>
        <w:ind w:left="0" w:hanging="2"/>
        <w:jc w:val="right"/>
        <w:rPr>
          <w:sz w:val="24"/>
          <w:szCs w:val="24"/>
        </w:rPr>
      </w:pPr>
    </w:p>
    <w:p w14:paraId="0000001B" w14:textId="77777777" w:rsidR="009377D3" w:rsidRPr="00F40853" w:rsidRDefault="003F09CD" w:rsidP="00B97A40">
      <w:pPr>
        <w:pStyle w:val="Ttulo2"/>
        <w:spacing w:line="360" w:lineRule="auto"/>
        <w:ind w:left="0" w:hanging="2"/>
      </w:pPr>
      <w:bookmarkStart w:id="4" w:name="_heading=h.aead2z20m4h" w:colFirst="0" w:colLast="0"/>
      <w:bookmarkEnd w:id="4"/>
      <w:r w:rsidRPr="00F40853">
        <w:lastRenderedPageBreak/>
        <w:t>Conclusões</w:t>
      </w:r>
    </w:p>
    <w:p w14:paraId="0269D3F7" w14:textId="77777777" w:rsidR="00950326" w:rsidRPr="00F40853" w:rsidRDefault="00950326" w:rsidP="00950326">
      <w:pPr>
        <w:spacing w:after="0" w:line="360" w:lineRule="auto"/>
        <w:ind w:leftChars="0" w:left="0" w:firstLineChars="0" w:firstLine="720"/>
        <w:rPr>
          <w:sz w:val="24"/>
          <w:szCs w:val="24"/>
        </w:rPr>
      </w:pPr>
      <w:r w:rsidRPr="00F40853">
        <w:rPr>
          <w:sz w:val="24"/>
          <w:szCs w:val="24"/>
        </w:rPr>
        <w:t>Os resultados revelam a importância das políticas de proteção social para imigrantes internacionais em situação de vulnerabilidade. O Nordeste, tradicionalmente emissor de migrantes, passou a receber um número crescente de imigrantes latino-americanos pobres, com destaque para venezuelanos. A atuação do CadÚnico e do Bolsa Família é estratégica para a inclusão social desses grupos, indicando a necessidade de políticas públicas sensíveis às suas demandas específicas.</w:t>
      </w:r>
    </w:p>
    <w:p w14:paraId="67705EAF" w14:textId="77777777" w:rsidR="00950326" w:rsidRPr="00F40853" w:rsidRDefault="00950326" w:rsidP="00950326">
      <w:pPr>
        <w:spacing w:after="0" w:line="360" w:lineRule="auto"/>
        <w:ind w:leftChars="0" w:left="2" w:hanging="2"/>
        <w:rPr>
          <w:sz w:val="24"/>
          <w:szCs w:val="24"/>
        </w:rPr>
      </w:pPr>
    </w:p>
    <w:p w14:paraId="00000025" w14:textId="0F227A5C" w:rsidR="009377D3" w:rsidRPr="00F40853" w:rsidRDefault="003F09CD" w:rsidP="00662BF3">
      <w:pPr>
        <w:pStyle w:val="Ttulo2"/>
        <w:spacing w:after="240"/>
        <w:ind w:left="0" w:hanging="2"/>
        <w:contextualSpacing/>
      </w:pPr>
      <w:bookmarkStart w:id="5" w:name="_heading=h.ykrpt77nfbur" w:colFirst="0" w:colLast="0"/>
      <w:bookmarkEnd w:id="5"/>
      <w:r w:rsidRPr="00F40853">
        <w:t>Referências</w:t>
      </w:r>
    </w:p>
    <w:p w14:paraId="74A8427E" w14:textId="1B15A0B5" w:rsidR="0004730B" w:rsidRPr="00F40853" w:rsidRDefault="00304B3B" w:rsidP="00F40853">
      <w:pPr>
        <w:spacing w:after="240" w:line="240" w:lineRule="auto"/>
        <w:ind w:left="0" w:hanging="2"/>
        <w:contextualSpacing/>
        <w:rPr>
          <w:sz w:val="24"/>
          <w:szCs w:val="24"/>
        </w:rPr>
      </w:pPr>
      <w:r w:rsidRPr="00F40853">
        <w:rPr>
          <w:sz w:val="24"/>
          <w:szCs w:val="24"/>
        </w:rPr>
        <w:t>BÓGUS</w:t>
      </w:r>
      <w:r w:rsidR="0004730B" w:rsidRPr="00F40853">
        <w:rPr>
          <w:sz w:val="24"/>
          <w:szCs w:val="24"/>
        </w:rPr>
        <w:t>, L</w:t>
      </w:r>
      <w:r w:rsidR="00951D64" w:rsidRPr="00F40853">
        <w:rPr>
          <w:sz w:val="24"/>
          <w:szCs w:val="24"/>
        </w:rPr>
        <w:t>ucia</w:t>
      </w:r>
      <w:r w:rsidR="0004730B" w:rsidRPr="00F40853">
        <w:rPr>
          <w:sz w:val="24"/>
          <w:szCs w:val="24"/>
        </w:rPr>
        <w:t xml:space="preserve"> M</w:t>
      </w:r>
      <w:r w:rsidR="00951D64" w:rsidRPr="00F40853">
        <w:rPr>
          <w:sz w:val="24"/>
          <w:szCs w:val="24"/>
        </w:rPr>
        <w:t>aria</w:t>
      </w:r>
      <w:r w:rsidR="0004730B" w:rsidRPr="00F40853">
        <w:rPr>
          <w:sz w:val="24"/>
          <w:szCs w:val="24"/>
        </w:rPr>
        <w:t xml:space="preserve"> M</w:t>
      </w:r>
      <w:r w:rsidRPr="00F40853">
        <w:rPr>
          <w:sz w:val="24"/>
          <w:szCs w:val="24"/>
        </w:rPr>
        <w:t>achado</w:t>
      </w:r>
      <w:r w:rsidR="0004730B" w:rsidRPr="00F40853">
        <w:rPr>
          <w:sz w:val="24"/>
          <w:szCs w:val="24"/>
        </w:rPr>
        <w:t xml:space="preserve">; </w:t>
      </w:r>
      <w:r w:rsidRPr="00F40853">
        <w:rPr>
          <w:sz w:val="24"/>
          <w:szCs w:val="24"/>
        </w:rPr>
        <w:t>FABIANO</w:t>
      </w:r>
      <w:r w:rsidR="0004730B" w:rsidRPr="00F40853">
        <w:rPr>
          <w:sz w:val="24"/>
          <w:szCs w:val="24"/>
        </w:rPr>
        <w:t>, M</w:t>
      </w:r>
      <w:r w:rsidR="0027002C" w:rsidRPr="00F40853">
        <w:rPr>
          <w:sz w:val="24"/>
          <w:szCs w:val="24"/>
        </w:rPr>
        <w:t>aria</w:t>
      </w:r>
      <w:r w:rsidR="0004730B" w:rsidRPr="00F40853">
        <w:rPr>
          <w:sz w:val="24"/>
          <w:szCs w:val="24"/>
        </w:rPr>
        <w:t xml:space="preserve"> L</w:t>
      </w:r>
      <w:r w:rsidR="0027002C" w:rsidRPr="00F40853">
        <w:rPr>
          <w:sz w:val="24"/>
          <w:szCs w:val="24"/>
        </w:rPr>
        <w:t>ucia</w:t>
      </w:r>
      <w:r w:rsidR="0004730B" w:rsidRPr="00F40853">
        <w:rPr>
          <w:sz w:val="24"/>
          <w:szCs w:val="24"/>
        </w:rPr>
        <w:t xml:space="preserve"> A</w:t>
      </w:r>
      <w:r w:rsidR="0027002C" w:rsidRPr="00F40853">
        <w:rPr>
          <w:sz w:val="24"/>
          <w:szCs w:val="24"/>
        </w:rPr>
        <w:t>lves</w:t>
      </w:r>
      <w:r w:rsidR="0004730B" w:rsidRPr="00F40853">
        <w:rPr>
          <w:sz w:val="24"/>
          <w:szCs w:val="24"/>
        </w:rPr>
        <w:t>. O Brasil como destino das migrações internacionais recentes: novas relações, possibilidades e desafios. </w:t>
      </w:r>
      <w:r w:rsidR="0004730B" w:rsidRPr="00F40853">
        <w:rPr>
          <w:b/>
          <w:bCs/>
          <w:sz w:val="24"/>
          <w:szCs w:val="24"/>
        </w:rPr>
        <w:t>Ponto-e-Vírgula: Revista de Ciências Sociais</w:t>
      </w:r>
      <w:r w:rsidR="0004730B" w:rsidRPr="00F40853">
        <w:rPr>
          <w:sz w:val="24"/>
          <w:szCs w:val="24"/>
        </w:rPr>
        <w:t>, n. 18, 2015.</w:t>
      </w:r>
    </w:p>
    <w:p w14:paraId="64859B6B" w14:textId="77777777" w:rsidR="0004730B" w:rsidRPr="00F40853" w:rsidRDefault="0004730B" w:rsidP="005C3832">
      <w:pPr>
        <w:spacing w:after="240" w:line="240" w:lineRule="auto"/>
        <w:ind w:left="0" w:hanging="2"/>
        <w:contextualSpacing/>
        <w:rPr>
          <w:sz w:val="24"/>
          <w:szCs w:val="24"/>
        </w:rPr>
      </w:pPr>
    </w:p>
    <w:p w14:paraId="09C1773E" w14:textId="020C05F0" w:rsidR="005C3832" w:rsidRPr="00F40853" w:rsidRDefault="005C3832" w:rsidP="005C3832">
      <w:pPr>
        <w:spacing w:after="240" w:line="240" w:lineRule="auto"/>
        <w:ind w:left="0" w:hanging="2"/>
        <w:contextualSpacing/>
        <w:rPr>
          <w:sz w:val="24"/>
          <w:szCs w:val="24"/>
        </w:rPr>
      </w:pPr>
      <w:r w:rsidRPr="00F40853">
        <w:rPr>
          <w:sz w:val="24"/>
          <w:szCs w:val="24"/>
        </w:rPr>
        <w:t>JAROCHINSKI-SILVA, João Carlos; BAENINGER, Rosana. O êxodo venezuelano como fenômeno da migração Sul-Sul. </w:t>
      </w:r>
      <w:r w:rsidRPr="00F40853">
        <w:rPr>
          <w:b/>
          <w:bCs/>
          <w:sz w:val="24"/>
          <w:szCs w:val="24"/>
        </w:rPr>
        <w:t>REMHU: Revista Interdisciplinar da Mobilidade Humana</w:t>
      </w:r>
      <w:r w:rsidRPr="00F40853">
        <w:rPr>
          <w:sz w:val="24"/>
          <w:szCs w:val="24"/>
        </w:rPr>
        <w:t>, v. 29, n. 63, p. 123-139, 2021.</w:t>
      </w:r>
    </w:p>
    <w:p w14:paraId="79982C8F" w14:textId="77777777" w:rsidR="00A95503" w:rsidRPr="00F40853" w:rsidRDefault="00A95503" w:rsidP="00A95503">
      <w:pPr>
        <w:spacing w:after="240" w:line="240" w:lineRule="auto"/>
        <w:ind w:left="0" w:hanging="2"/>
        <w:contextualSpacing/>
        <w:rPr>
          <w:iCs/>
          <w:sz w:val="24"/>
          <w:szCs w:val="24"/>
        </w:rPr>
      </w:pPr>
    </w:p>
    <w:p w14:paraId="2B00662B" w14:textId="481884BC" w:rsidR="00A95503" w:rsidRPr="00F40853" w:rsidRDefault="00A95503" w:rsidP="00A95503">
      <w:pPr>
        <w:spacing w:after="240" w:line="240" w:lineRule="auto"/>
        <w:ind w:left="0" w:hanging="2"/>
        <w:contextualSpacing/>
        <w:rPr>
          <w:iCs/>
          <w:sz w:val="24"/>
          <w:szCs w:val="24"/>
        </w:rPr>
      </w:pPr>
      <w:r w:rsidRPr="00F40853">
        <w:rPr>
          <w:iCs/>
          <w:sz w:val="24"/>
          <w:szCs w:val="24"/>
        </w:rPr>
        <w:t xml:space="preserve">Observatório das Migrações Internacionais (OBMigra). Microdados, 2024. </w:t>
      </w:r>
      <w:r w:rsidRPr="00F40853">
        <w:rPr>
          <w:i/>
          <w:sz w:val="24"/>
          <w:szCs w:val="24"/>
        </w:rPr>
        <w:t>In</w:t>
      </w:r>
      <w:r w:rsidRPr="00F40853">
        <w:rPr>
          <w:iCs/>
          <w:sz w:val="24"/>
          <w:szCs w:val="24"/>
        </w:rPr>
        <w:t xml:space="preserve">: </w:t>
      </w:r>
      <w:r w:rsidR="00DE02FF" w:rsidRPr="00F40853">
        <w:rPr>
          <w:b/>
          <w:bCs/>
          <w:iCs/>
          <w:sz w:val="24"/>
          <w:szCs w:val="24"/>
        </w:rPr>
        <w:t>Cadastro Único para Programas Sociais (CadÚnico)</w:t>
      </w:r>
      <w:r w:rsidRPr="00F40853">
        <w:rPr>
          <w:b/>
          <w:bCs/>
          <w:iCs/>
          <w:sz w:val="24"/>
          <w:szCs w:val="24"/>
        </w:rPr>
        <w:t xml:space="preserve"> </w:t>
      </w:r>
      <w:r w:rsidRPr="00F40853">
        <w:rPr>
          <w:iCs/>
          <w:sz w:val="24"/>
          <w:szCs w:val="24"/>
        </w:rPr>
        <w:t xml:space="preserve">– Ministério da Justiça e Segurança Pública. Disponível em: </w:t>
      </w:r>
      <w:r w:rsidR="00270B54" w:rsidRPr="00F40853">
        <w:rPr>
          <w:iCs/>
          <w:sz w:val="24"/>
          <w:szCs w:val="24"/>
        </w:rPr>
        <w:t>https://portaldeimigracao.mj.gov.br/pt/base-de-dados/datamigra</w:t>
      </w:r>
      <w:r w:rsidRPr="00F40853">
        <w:rPr>
          <w:iCs/>
          <w:sz w:val="24"/>
          <w:szCs w:val="24"/>
        </w:rPr>
        <w:t>. Acesso em: 8 de abril, 2025.</w:t>
      </w:r>
    </w:p>
    <w:p w14:paraId="6966E231" w14:textId="77777777" w:rsidR="00A95503" w:rsidRPr="00F40853" w:rsidRDefault="00A95503" w:rsidP="005C3832">
      <w:pPr>
        <w:spacing w:after="240" w:line="240" w:lineRule="auto"/>
        <w:ind w:left="0" w:hanging="2"/>
        <w:contextualSpacing/>
        <w:rPr>
          <w:sz w:val="24"/>
          <w:szCs w:val="24"/>
        </w:rPr>
      </w:pPr>
    </w:p>
    <w:p w14:paraId="37C97B58" w14:textId="523EA6E5" w:rsidR="003B5C55" w:rsidRPr="00F40853" w:rsidRDefault="002D7762" w:rsidP="003B5C55">
      <w:pPr>
        <w:spacing w:after="240" w:line="240" w:lineRule="auto"/>
        <w:ind w:left="0" w:hanging="2"/>
        <w:contextualSpacing/>
        <w:rPr>
          <w:sz w:val="24"/>
          <w:szCs w:val="24"/>
        </w:rPr>
      </w:pPr>
      <w:r w:rsidRPr="00F40853">
        <w:rPr>
          <w:sz w:val="24"/>
          <w:szCs w:val="24"/>
        </w:rPr>
        <w:t>QUEIROZ</w:t>
      </w:r>
      <w:r w:rsidR="003B5C55" w:rsidRPr="00F40853">
        <w:rPr>
          <w:sz w:val="24"/>
          <w:szCs w:val="24"/>
        </w:rPr>
        <w:t xml:space="preserve">, Silvana Nunes de; </w:t>
      </w:r>
      <w:r w:rsidRPr="00F40853">
        <w:rPr>
          <w:sz w:val="24"/>
          <w:szCs w:val="24"/>
        </w:rPr>
        <w:t>BAENINGER</w:t>
      </w:r>
      <w:r w:rsidR="003B5C55" w:rsidRPr="00F40853">
        <w:rPr>
          <w:sz w:val="24"/>
          <w:szCs w:val="24"/>
        </w:rPr>
        <w:t xml:space="preserve">, Rosana; </w:t>
      </w:r>
      <w:r w:rsidRPr="00F40853">
        <w:rPr>
          <w:sz w:val="24"/>
          <w:szCs w:val="24"/>
        </w:rPr>
        <w:t>CARVALHO</w:t>
      </w:r>
      <w:r w:rsidR="003B5C55" w:rsidRPr="00F40853">
        <w:rPr>
          <w:sz w:val="24"/>
          <w:szCs w:val="24"/>
        </w:rPr>
        <w:t xml:space="preserve">, Ricardo Monteiro de. Imigração dos países de língua portuguesa para a região Nordeste do Brasil: 2010 a </w:t>
      </w:r>
    </w:p>
    <w:p w14:paraId="5DE9B83A" w14:textId="478DA76D" w:rsidR="003B5C55" w:rsidRPr="00F40853" w:rsidRDefault="003B5C55" w:rsidP="003B5C55">
      <w:pPr>
        <w:spacing w:after="240" w:line="240" w:lineRule="auto"/>
        <w:ind w:left="0" w:hanging="2"/>
        <w:contextualSpacing/>
        <w:rPr>
          <w:sz w:val="24"/>
          <w:szCs w:val="24"/>
        </w:rPr>
      </w:pPr>
      <w:r w:rsidRPr="00F40853">
        <w:rPr>
          <w:sz w:val="24"/>
          <w:szCs w:val="24"/>
        </w:rPr>
        <w:t xml:space="preserve">2024. </w:t>
      </w:r>
      <w:r w:rsidRPr="00F40853">
        <w:rPr>
          <w:i/>
          <w:iCs/>
          <w:sz w:val="24"/>
          <w:szCs w:val="24"/>
        </w:rPr>
        <w:t>In</w:t>
      </w:r>
      <w:r w:rsidRPr="00F40853">
        <w:rPr>
          <w:sz w:val="24"/>
          <w:szCs w:val="24"/>
        </w:rPr>
        <w:t xml:space="preserve">: III Congresso Internacional sobre Migração e Diáspora Acadêmica Brasileira, Braga-PT. </w:t>
      </w:r>
      <w:r w:rsidRPr="00F40853">
        <w:rPr>
          <w:b/>
          <w:bCs/>
          <w:sz w:val="24"/>
          <w:szCs w:val="24"/>
        </w:rPr>
        <w:t xml:space="preserve">Anais </w:t>
      </w:r>
      <w:r w:rsidRPr="00F40853">
        <w:rPr>
          <w:sz w:val="24"/>
          <w:szCs w:val="24"/>
        </w:rPr>
        <w:t>[...]. Braga-PT, 2024.</w:t>
      </w:r>
    </w:p>
    <w:p w14:paraId="1A3DD6FB" w14:textId="77777777" w:rsidR="007F7F26" w:rsidRPr="00F40853" w:rsidRDefault="007F7F26" w:rsidP="003B5C55">
      <w:pPr>
        <w:spacing w:after="240" w:line="240" w:lineRule="auto"/>
        <w:ind w:left="0" w:hanging="2"/>
        <w:contextualSpacing/>
        <w:rPr>
          <w:sz w:val="24"/>
          <w:szCs w:val="24"/>
        </w:rPr>
      </w:pPr>
    </w:p>
    <w:p w14:paraId="7C21B9C8" w14:textId="2DB3D08E" w:rsidR="00BF7698" w:rsidRPr="00F40853" w:rsidRDefault="00BF7698" w:rsidP="003B5C55">
      <w:pPr>
        <w:spacing w:after="240" w:line="240" w:lineRule="auto"/>
        <w:ind w:left="0" w:hanging="2"/>
        <w:contextualSpacing/>
        <w:rPr>
          <w:sz w:val="24"/>
          <w:szCs w:val="24"/>
        </w:rPr>
      </w:pPr>
      <w:r w:rsidRPr="00F40853">
        <w:rPr>
          <w:sz w:val="24"/>
          <w:szCs w:val="24"/>
        </w:rPr>
        <w:t>SÁTYRO, Natália; SOARES, Sergei. </w:t>
      </w:r>
      <w:r w:rsidRPr="00F40853">
        <w:rPr>
          <w:b/>
          <w:bCs/>
          <w:sz w:val="24"/>
          <w:szCs w:val="24"/>
        </w:rPr>
        <w:t>Análise do impacto do Programa Bolsa Família e do Benefício de Prestação Continuada na Redução da desigualdade nos estados brasileiros: 2004 a 2006</w:t>
      </w:r>
      <w:r w:rsidRPr="00F40853">
        <w:rPr>
          <w:sz w:val="24"/>
          <w:szCs w:val="24"/>
        </w:rPr>
        <w:t>. Texto para discussão, 2009.</w:t>
      </w:r>
    </w:p>
    <w:p w14:paraId="11566007" w14:textId="77777777" w:rsidR="005C3832" w:rsidRPr="00F40853" w:rsidRDefault="005C3832" w:rsidP="005C3832">
      <w:pPr>
        <w:spacing w:after="240" w:line="240" w:lineRule="auto"/>
        <w:ind w:left="0" w:hanging="2"/>
        <w:contextualSpacing/>
        <w:rPr>
          <w:sz w:val="24"/>
          <w:szCs w:val="24"/>
        </w:rPr>
      </w:pPr>
    </w:p>
    <w:p w14:paraId="00000026" w14:textId="17B07844" w:rsidR="009377D3" w:rsidRPr="00F40853" w:rsidRDefault="00F43F33" w:rsidP="005E2864">
      <w:pPr>
        <w:spacing w:after="240" w:line="240" w:lineRule="auto"/>
        <w:ind w:left="0" w:hanging="2"/>
        <w:contextualSpacing/>
        <w:rPr>
          <w:sz w:val="24"/>
          <w:szCs w:val="24"/>
        </w:rPr>
      </w:pPr>
      <w:r w:rsidRPr="00F40853">
        <w:rPr>
          <w:sz w:val="24"/>
          <w:szCs w:val="24"/>
        </w:rPr>
        <w:t xml:space="preserve">SILVA, Marcos Antonio da; OJIMA, Ricardo. Entre o sertão e o mar: migrações internacionais contemporâneas no Nordeste brasileiro. </w:t>
      </w:r>
      <w:r w:rsidR="004B2AE5" w:rsidRPr="00F40853">
        <w:rPr>
          <w:i/>
          <w:iCs/>
          <w:sz w:val="24"/>
          <w:szCs w:val="24"/>
        </w:rPr>
        <w:t>In</w:t>
      </w:r>
      <w:r w:rsidR="004B2AE5" w:rsidRPr="00F40853">
        <w:rPr>
          <w:sz w:val="24"/>
          <w:szCs w:val="24"/>
        </w:rPr>
        <w:t>: III Congresso Internacional do OBSERVARE</w:t>
      </w:r>
      <w:r w:rsidR="00936331" w:rsidRPr="00F40853">
        <w:rPr>
          <w:sz w:val="24"/>
          <w:szCs w:val="24"/>
        </w:rPr>
        <w:t xml:space="preserve"> – Para Além das Fronteiras</w:t>
      </w:r>
      <w:r w:rsidR="003433D3" w:rsidRPr="00F40853">
        <w:rPr>
          <w:sz w:val="24"/>
          <w:szCs w:val="24"/>
        </w:rPr>
        <w:t>, Lisboa</w:t>
      </w:r>
      <w:r w:rsidR="00D81689" w:rsidRPr="00F40853">
        <w:rPr>
          <w:sz w:val="24"/>
          <w:szCs w:val="24"/>
        </w:rPr>
        <w:t xml:space="preserve">-PT. </w:t>
      </w:r>
      <w:r w:rsidR="00D81689" w:rsidRPr="00F40853">
        <w:rPr>
          <w:b/>
          <w:bCs/>
          <w:sz w:val="24"/>
          <w:szCs w:val="24"/>
        </w:rPr>
        <w:t xml:space="preserve">Anais </w:t>
      </w:r>
      <w:r w:rsidR="00D81689" w:rsidRPr="00F40853">
        <w:rPr>
          <w:sz w:val="24"/>
          <w:szCs w:val="24"/>
        </w:rPr>
        <w:t>[...]. Lisboa-PT,</w:t>
      </w:r>
      <w:r w:rsidR="00E16BAF" w:rsidRPr="00F40853">
        <w:rPr>
          <w:sz w:val="24"/>
          <w:szCs w:val="24"/>
        </w:rPr>
        <w:t xml:space="preserve"> 2017</w:t>
      </w:r>
      <w:r w:rsidR="00D81689" w:rsidRPr="00F40853">
        <w:rPr>
          <w:sz w:val="24"/>
          <w:szCs w:val="24"/>
        </w:rPr>
        <w:t>.</w:t>
      </w:r>
    </w:p>
    <w:sectPr w:rsidR="009377D3" w:rsidRPr="00F40853">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75387" w14:textId="77777777" w:rsidR="00CA6019" w:rsidRPr="007F7F26" w:rsidRDefault="00CA6019">
      <w:pPr>
        <w:spacing w:after="0" w:line="240" w:lineRule="auto"/>
        <w:ind w:left="0" w:hanging="2"/>
      </w:pPr>
      <w:r w:rsidRPr="007F7F26">
        <w:separator/>
      </w:r>
    </w:p>
  </w:endnote>
  <w:endnote w:type="continuationSeparator" w:id="0">
    <w:p w14:paraId="68F28032" w14:textId="77777777" w:rsidR="00CA6019" w:rsidRPr="007F7F26" w:rsidRDefault="00CA6019">
      <w:pPr>
        <w:spacing w:after="0" w:line="240" w:lineRule="auto"/>
        <w:ind w:left="0" w:hanging="2"/>
      </w:pPr>
      <w:r w:rsidRPr="007F7F2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17ADA" w14:textId="77777777" w:rsidR="00EF6319" w:rsidRPr="007F7F26" w:rsidRDefault="00EF6319">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8" w14:textId="0F5401E0" w:rsidR="009377D3" w:rsidRPr="007F7F26" w:rsidRDefault="003F09CD">
    <w:pPr>
      <w:pBdr>
        <w:top w:val="nil"/>
        <w:left w:val="nil"/>
        <w:bottom w:val="nil"/>
        <w:right w:val="nil"/>
        <w:between w:val="nil"/>
      </w:pBdr>
      <w:tabs>
        <w:tab w:val="center" w:pos="4252"/>
        <w:tab w:val="right" w:pos="8504"/>
      </w:tabs>
      <w:ind w:left="0" w:hanging="2"/>
      <w:jc w:val="right"/>
      <w:rPr>
        <w:rFonts w:eastAsia="Calibri"/>
        <w:color w:val="000000"/>
        <w:sz w:val="24"/>
        <w:szCs w:val="24"/>
      </w:rPr>
    </w:pPr>
    <w:r w:rsidRPr="007F7F26">
      <w:rPr>
        <w:rFonts w:eastAsia="Calibri"/>
        <w:color w:val="000000"/>
        <w:sz w:val="24"/>
        <w:szCs w:val="24"/>
      </w:rPr>
      <w:fldChar w:fldCharType="begin"/>
    </w:r>
    <w:r w:rsidRPr="007F7F26">
      <w:rPr>
        <w:rFonts w:eastAsia="Calibri"/>
        <w:color w:val="000000"/>
        <w:sz w:val="24"/>
        <w:szCs w:val="24"/>
      </w:rPr>
      <w:instrText>PAGE</w:instrText>
    </w:r>
    <w:r w:rsidRPr="007F7F26">
      <w:rPr>
        <w:rFonts w:eastAsia="Calibri"/>
        <w:color w:val="000000"/>
        <w:sz w:val="24"/>
        <w:szCs w:val="24"/>
      </w:rPr>
      <w:fldChar w:fldCharType="separate"/>
    </w:r>
    <w:r w:rsidR="00EF6319" w:rsidRPr="007F7F26">
      <w:rPr>
        <w:rFonts w:eastAsia="Calibri"/>
        <w:color w:val="000000"/>
        <w:sz w:val="24"/>
        <w:szCs w:val="24"/>
      </w:rPr>
      <w:t>2</w:t>
    </w:r>
    <w:r w:rsidRPr="007F7F26">
      <w:rPr>
        <w:rFonts w:eastAsia="Calibri"/>
        <w:color w:val="000000"/>
        <w:sz w:val="24"/>
        <w:szCs w:val="24"/>
      </w:rPr>
      <w:fldChar w:fldCharType="end"/>
    </w:r>
  </w:p>
  <w:p w14:paraId="00000029" w14:textId="77777777" w:rsidR="009377D3" w:rsidRPr="007F7F26" w:rsidRDefault="009377D3">
    <w:pPr>
      <w:pBdr>
        <w:top w:val="nil"/>
        <w:left w:val="nil"/>
        <w:bottom w:val="nil"/>
        <w:right w:val="nil"/>
        <w:between w:val="nil"/>
      </w:pBdr>
      <w:tabs>
        <w:tab w:val="center" w:pos="4252"/>
        <w:tab w:val="right" w:pos="8504"/>
      </w:tabs>
      <w:ind w:left="0" w:hanging="2"/>
      <w:jc w:val="left"/>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614EF" w14:textId="77777777" w:rsidR="00EF6319" w:rsidRPr="007F7F26" w:rsidRDefault="00EF6319">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5303C" w14:textId="77777777" w:rsidR="00CA6019" w:rsidRPr="007F7F26" w:rsidRDefault="00CA6019">
      <w:pPr>
        <w:spacing w:after="0" w:line="240" w:lineRule="auto"/>
        <w:ind w:left="0" w:hanging="2"/>
      </w:pPr>
      <w:r w:rsidRPr="007F7F26">
        <w:separator/>
      </w:r>
    </w:p>
  </w:footnote>
  <w:footnote w:type="continuationSeparator" w:id="0">
    <w:p w14:paraId="4FF76B71" w14:textId="77777777" w:rsidR="00CA6019" w:rsidRPr="007F7F26" w:rsidRDefault="00CA6019">
      <w:pPr>
        <w:spacing w:after="0" w:line="240" w:lineRule="auto"/>
        <w:ind w:left="0" w:hanging="2"/>
      </w:pPr>
      <w:r w:rsidRPr="007F7F2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1E89F" w14:textId="77777777" w:rsidR="00EF6319" w:rsidRPr="007F7F26" w:rsidRDefault="00EF6319">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7" w14:textId="33D72795" w:rsidR="009377D3" w:rsidRPr="007F7F26" w:rsidRDefault="009377D3" w:rsidP="00EF4A2F">
    <w:pPr>
      <w:pBdr>
        <w:top w:val="nil"/>
        <w:left w:val="nil"/>
        <w:bottom w:val="nil"/>
        <w:right w:val="nil"/>
        <w:between w:val="nil"/>
      </w:pBdr>
      <w:tabs>
        <w:tab w:val="center" w:pos="4252"/>
        <w:tab w:val="right" w:pos="8504"/>
      </w:tabs>
      <w:spacing w:line="240" w:lineRule="auto"/>
      <w:ind w:leftChars="0" w:left="0" w:firstLineChars="0" w:firstLine="0"/>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9DA10" w14:textId="77777777" w:rsidR="00EF6319" w:rsidRPr="007F7F26" w:rsidRDefault="00EF6319">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4C26AF"/>
    <w:multiLevelType w:val="multilevel"/>
    <w:tmpl w:val="93CEB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2973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D3"/>
    <w:rsid w:val="000022CA"/>
    <w:rsid w:val="00002D92"/>
    <w:rsid w:val="000044D0"/>
    <w:rsid w:val="00014E63"/>
    <w:rsid w:val="00015475"/>
    <w:rsid w:val="00022674"/>
    <w:rsid w:val="00037875"/>
    <w:rsid w:val="00045F02"/>
    <w:rsid w:val="00046E82"/>
    <w:rsid w:val="0004730B"/>
    <w:rsid w:val="00052BE1"/>
    <w:rsid w:val="000550B1"/>
    <w:rsid w:val="000615CC"/>
    <w:rsid w:val="0009592E"/>
    <w:rsid w:val="000A4078"/>
    <w:rsid w:val="000A765A"/>
    <w:rsid w:val="000B03E2"/>
    <w:rsid w:val="000C6D73"/>
    <w:rsid w:val="000D5FB5"/>
    <w:rsid w:val="000E6AD0"/>
    <w:rsid w:val="000F42B1"/>
    <w:rsid w:val="000F447C"/>
    <w:rsid w:val="000F5376"/>
    <w:rsid w:val="001133C4"/>
    <w:rsid w:val="00133E08"/>
    <w:rsid w:val="0013519E"/>
    <w:rsid w:val="001522DA"/>
    <w:rsid w:val="001544C3"/>
    <w:rsid w:val="001600EF"/>
    <w:rsid w:val="00163110"/>
    <w:rsid w:val="0016731C"/>
    <w:rsid w:val="00170909"/>
    <w:rsid w:val="00180C13"/>
    <w:rsid w:val="00181A44"/>
    <w:rsid w:val="0018309E"/>
    <w:rsid w:val="00195126"/>
    <w:rsid w:val="00195F1E"/>
    <w:rsid w:val="00197402"/>
    <w:rsid w:val="001A1832"/>
    <w:rsid w:val="001A350D"/>
    <w:rsid w:val="001A45EA"/>
    <w:rsid w:val="001A5FFE"/>
    <w:rsid w:val="001B1965"/>
    <w:rsid w:val="001B7F65"/>
    <w:rsid w:val="001E56C6"/>
    <w:rsid w:val="001E65DA"/>
    <w:rsid w:val="001E775F"/>
    <w:rsid w:val="001F4450"/>
    <w:rsid w:val="002025FD"/>
    <w:rsid w:val="00202A78"/>
    <w:rsid w:val="00212240"/>
    <w:rsid w:val="002170D9"/>
    <w:rsid w:val="00223309"/>
    <w:rsid w:val="0022589C"/>
    <w:rsid w:val="00242E34"/>
    <w:rsid w:val="00243679"/>
    <w:rsid w:val="00245ACF"/>
    <w:rsid w:val="00245F14"/>
    <w:rsid w:val="002460E4"/>
    <w:rsid w:val="00260CB7"/>
    <w:rsid w:val="00262CF0"/>
    <w:rsid w:val="0027002C"/>
    <w:rsid w:val="00270B54"/>
    <w:rsid w:val="002812E7"/>
    <w:rsid w:val="00286682"/>
    <w:rsid w:val="002A4C42"/>
    <w:rsid w:val="002A799A"/>
    <w:rsid w:val="002B115A"/>
    <w:rsid w:val="002B321F"/>
    <w:rsid w:val="002C0F83"/>
    <w:rsid w:val="002C704E"/>
    <w:rsid w:val="002D3E52"/>
    <w:rsid w:val="002D4C21"/>
    <w:rsid w:val="002D7762"/>
    <w:rsid w:val="002E2AD8"/>
    <w:rsid w:val="002E3FAE"/>
    <w:rsid w:val="002F2A78"/>
    <w:rsid w:val="003000EE"/>
    <w:rsid w:val="00304B3B"/>
    <w:rsid w:val="00307C6A"/>
    <w:rsid w:val="003119FB"/>
    <w:rsid w:val="00314043"/>
    <w:rsid w:val="00315EEA"/>
    <w:rsid w:val="003249F2"/>
    <w:rsid w:val="003433D3"/>
    <w:rsid w:val="00372E8B"/>
    <w:rsid w:val="00373371"/>
    <w:rsid w:val="00382852"/>
    <w:rsid w:val="00393430"/>
    <w:rsid w:val="003A0FF0"/>
    <w:rsid w:val="003A21B6"/>
    <w:rsid w:val="003A7C92"/>
    <w:rsid w:val="003B05FD"/>
    <w:rsid w:val="003B0EB2"/>
    <w:rsid w:val="003B5C55"/>
    <w:rsid w:val="003D0782"/>
    <w:rsid w:val="003D0F8F"/>
    <w:rsid w:val="003D2A36"/>
    <w:rsid w:val="003F09CD"/>
    <w:rsid w:val="0040719A"/>
    <w:rsid w:val="00411543"/>
    <w:rsid w:val="00413887"/>
    <w:rsid w:val="00423C5A"/>
    <w:rsid w:val="00426A15"/>
    <w:rsid w:val="0044044B"/>
    <w:rsid w:val="00440DDD"/>
    <w:rsid w:val="00442631"/>
    <w:rsid w:val="00444CB7"/>
    <w:rsid w:val="004465B7"/>
    <w:rsid w:val="00451EC0"/>
    <w:rsid w:val="004663E2"/>
    <w:rsid w:val="004663F7"/>
    <w:rsid w:val="00473689"/>
    <w:rsid w:val="00480A22"/>
    <w:rsid w:val="00481911"/>
    <w:rsid w:val="004A5813"/>
    <w:rsid w:val="004A66F6"/>
    <w:rsid w:val="004B2AE5"/>
    <w:rsid w:val="004D1105"/>
    <w:rsid w:val="004D1A6F"/>
    <w:rsid w:val="004D2C7D"/>
    <w:rsid w:val="004E2608"/>
    <w:rsid w:val="004E3E2F"/>
    <w:rsid w:val="004E7433"/>
    <w:rsid w:val="004F20F2"/>
    <w:rsid w:val="004F32E3"/>
    <w:rsid w:val="004F35DB"/>
    <w:rsid w:val="00500EF1"/>
    <w:rsid w:val="00507870"/>
    <w:rsid w:val="00507872"/>
    <w:rsid w:val="00515E97"/>
    <w:rsid w:val="005174BA"/>
    <w:rsid w:val="00534F92"/>
    <w:rsid w:val="0053545E"/>
    <w:rsid w:val="00553B5F"/>
    <w:rsid w:val="00561EB1"/>
    <w:rsid w:val="0056699A"/>
    <w:rsid w:val="005671E2"/>
    <w:rsid w:val="00580A22"/>
    <w:rsid w:val="005A10F7"/>
    <w:rsid w:val="005B6D10"/>
    <w:rsid w:val="005C262C"/>
    <w:rsid w:val="005C3832"/>
    <w:rsid w:val="005C4B86"/>
    <w:rsid w:val="005E2864"/>
    <w:rsid w:val="005F255D"/>
    <w:rsid w:val="00602AA1"/>
    <w:rsid w:val="006063B0"/>
    <w:rsid w:val="00620C85"/>
    <w:rsid w:val="00637181"/>
    <w:rsid w:val="006422DA"/>
    <w:rsid w:val="00647422"/>
    <w:rsid w:val="00650192"/>
    <w:rsid w:val="00651233"/>
    <w:rsid w:val="00652D79"/>
    <w:rsid w:val="006556FB"/>
    <w:rsid w:val="00662BF3"/>
    <w:rsid w:val="00663A28"/>
    <w:rsid w:val="006645E2"/>
    <w:rsid w:val="006866C9"/>
    <w:rsid w:val="006A1802"/>
    <w:rsid w:val="006A6758"/>
    <w:rsid w:val="006C0C03"/>
    <w:rsid w:val="006D24A9"/>
    <w:rsid w:val="00714CE4"/>
    <w:rsid w:val="007152FD"/>
    <w:rsid w:val="00723270"/>
    <w:rsid w:val="007237A1"/>
    <w:rsid w:val="007265FB"/>
    <w:rsid w:val="007273C5"/>
    <w:rsid w:val="00734563"/>
    <w:rsid w:val="00741FD5"/>
    <w:rsid w:val="0074576C"/>
    <w:rsid w:val="00756E3C"/>
    <w:rsid w:val="00773E1D"/>
    <w:rsid w:val="007751A8"/>
    <w:rsid w:val="0078122B"/>
    <w:rsid w:val="0078539D"/>
    <w:rsid w:val="00786657"/>
    <w:rsid w:val="00787D20"/>
    <w:rsid w:val="0079203B"/>
    <w:rsid w:val="00792E5D"/>
    <w:rsid w:val="007A0FFE"/>
    <w:rsid w:val="007B38FE"/>
    <w:rsid w:val="007B5B31"/>
    <w:rsid w:val="007C0303"/>
    <w:rsid w:val="007C25C5"/>
    <w:rsid w:val="007C4F9F"/>
    <w:rsid w:val="007C72D3"/>
    <w:rsid w:val="007E3A55"/>
    <w:rsid w:val="007E45F2"/>
    <w:rsid w:val="007E623D"/>
    <w:rsid w:val="007F088C"/>
    <w:rsid w:val="007F36A4"/>
    <w:rsid w:val="007F7F26"/>
    <w:rsid w:val="00820AF5"/>
    <w:rsid w:val="008210B3"/>
    <w:rsid w:val="008240F6"/>
    <w:rsid w:val="0082696E"/>
    <w:rsid w:val="00841C58"/>
    <w:rsid w:val="00851012"/>
    <w:rsid w:val="008553D3"/>
    <w:rsid w:val="00866793"/>
    <w:rsid w:val="00887423"/>
    <w:rsid w:val="00891498"/>
    <w:rsid w:val="008A3932"/>
    <w:rsid w:val="008B60B4"/>
    <w:rsid w:val="008D10B8"/>
    <w:rsid w:val="008E29AF"/>
    <w:rsid w:val="008E320E"/>
    <w:rsid w:val="008F4368"/>
    <w:rsid w:val="00904126"/>
    <w:rsid w:val="00905992"/>
    <w:rsid w:val="0090693B"/>
    <w:rsid w:val="0091062B"/>
    <w:rsid w:val="009111C8"/>
    <w:rsid w:val="00911A8F"/>
    <w:rsid w:val="00915143"/>
    <w:rsid w:val="00916981"/>
    <w:rsid w:val="009339E2"/>
    <w:rsid w:val="00936331"/>
    <w:rsid w:val="009377D3"/>
    <w:rsid w:val="009412A8"/>
    <w:rsid w:val="00950326"/>
    <w:rsid w:val="00951D64"/>
    <w:rsid w:val="00952DF6"/>
    <w:rsid w:val="00956180"/>
    <w:rsid w:val="00966DB0"/>
    <w:rsid w:val="00974B55"/>
    <w:rsid w:val="00976D45"/>
    <w:rsid w:val="009955AD"/>
    <w:rsid w:val="009A29D9"/>
    <w:rsid w:val="009C3337"/>
    <w:rsid w:val="009C53B8"/>
    <w:rsid w:val="009C69B2"/>
    <w:rsid w:val="009D5C52"/>
    <w:rsid w:val="009D7FFE"/>
    <w:rsid w:val="00A0292A"/>
    <w:rsid w:val="00A22E32"/>
    <w:rsid w:val="00A23EA9"/>
    <w:rsid w:val="00A25443"/>
    <w:rsid w:val="00A27E8D"/>
    <w:rsid w:val="00A36079"/>
    <w:rsid w:val="00A36418"/>
    <w:rsid w:val="00A42194"/>
    <w:rsid w:val="00A43D06"/>
    <w:rsid w:val="00A653C4"/>
    <w:rsid w:val="00A6596A"/>
    <w:rsid w:val="00A72E0E"/>
    <w:rsid w:val="00A83101"/>
    <w:rsid w:val="00A936D2"/>
    <w:rsid w:val="00A937A6"/>
    <w:rsid w:val="00A95503"/>
    <w:rsid w:val="00A97090"/>
    <w:rsid w:val="00AA0609"/>
    <w:rsid w:val="00AA48D2"/>
    <w:rsid w:val="00AB2EB9"/>
    <w:rsid w:val="00AC3331"/>
    <w:rsid w:val="00AC4E91"/>
    <w:rsid w:val="00AD219D"/>
    <w:rsid w:val="00AF075B"/>
    <w:rsid w:val="00AF2025"/>
    <w:rsid w:val="00B03788"/>
    <w:rsid w:val="00B03BBE"/>
    <w:rsid w:val="00B04676"/>
    <w:rsid w:val="00B16A5F"/>
    <w:rsid w:val="00B35340"/>
    <w:rsid w:val="00B3773C"/>
    <w:rsid w:val="00B43509"/>
    <w:rsid w:val="00B46274"/>
    <w:rsid w:val="00B54F09"/>
    <w:rsid w:val="00B703A8"/>
    <w:rsid w:val="00B73715"/>
    <w:rsid w:val="00B73E05"/>
    <w:rsid w:val="00B755D5"/>
    <w:rsid w:val="00B764EA"/>
    <w:rsid w:val="00B82A72"/>
    <w:rsid w:val="00B831A6"/>
    <w:rsid w:val="00B87FE3"/>
    <w:rsid w:val="00B90FC9"/>
    <w:rsid w:val="00B97A40"/>
    <w:rsid w:val="00BA5422"/>
    <w:rsid w:val="00BB60F1"/>
    <w:rsid w:val="00BB76D3"/>
    <w:rsid w:val="00BC6DDB"/>
    <w:rsid w:val="00BD4FB3"/>
    <w:rsid w:val="00BE3AD7"/>
    <w:rsid w:val="00BE4412"/>
    <w:rsid w:val="00BE5855"/>
    <w:rsid w:val="00BF3008"/>
    <w:rsid w:val="00BF3F38"/>
    <w:rsid w:val="00BF4AA5"/>
    <w:rsid w:val="00BF57EA"/>
    <w:rsid w:val="00BF7698"/>
    <w:rsid w:val="00C21DFF"/>
    <w:rsid w:val="00C2524A"/>
    <w:rsid w:val="00C25276"/>
    <w:rsid w:val="00C31E4C"/>
    <w:rsid w:val="00C51148"/>
    <w:rsid w:val="00C52E76"/>
    <w:rsid w:val="00C77C26"/>
    <w:rsid w:val="00C84ED2"/>
    <w:rsid w:val="00C9488E"/>
    <w:rsid w:val="00C94B67"/>
    <w:rsid w:val="00C96CF0"/>
    <w:rsid w:val="00CA1CA8"/>
    <w:rsid w:val="00CA6019"/>
    <w:rsid w:val="00CB3B9B"/>
    <w:rsid w:val="00CC4216"/>
    <w:rsid w:val="00CC61CE"/>
    <w:rsid w:val="00CF5EF5"/>
    <w:rsid w:val="00D0490F"/>
    <w:rsid w:val="00D10D0D"/>
    <w:rsid w:val="00D1112B"/>
    <w:rsid w:val="00D12B69"/>
    <w:rsid w:val="00D20CD5"/>
    <w:rsid w:val="00D32E54"/>
    <w:rsid w:val="00D579F6"/>
    <w:rsid w:val="00D60097"/>
    <w:rsid w:val="00D75213"/>
    <w:rsid w:val="00D81689"/>
    <w:rsid w:val="00D82439"/>
    <w:rsid w:val="00D86A7C"/>
    <w:rsid w:val="00D86C43"/>
    <w:rsid w:val="00D95BB9"/>
    <w:rsid w:val="00DA18C0"/>
    <w:rsid w:val="00DA6321"/>
    <w:rsid w:val="00DC4C67"/>
    <w:rsid w:val="00DC68D4"/>
    <w:rsid w:val="00DD3255"/>
    <w:rsid w:val="00DE0233"/>
    <w:rsid w:val="00DE02FF"/>
    <w:rsid w:val="00DE0ABE"/>
    <w:rsid w:val="00E019F2"/>
    <w:rsid w:val="00E10811"/>
    <w:rsid w:val="00E16BAF"/>
    <w:rsid w:val="00E24BEA"/>
    <w:rsid w:val="00E26281"/>
    <w:rsid w:val="00E31F00"/>
    <w:rsid w:val="00E367A2"/>
    <w:rsid w:val="00E402FF"/>
    <w:rsid w:val="00E447C7"/>
    <w:rsid w:val="00E4624F"/>
    <w:rsid w:val="00E52F9C"/>
    <w:rsid w:val="00E56EED"/>
    <w:rsid w:val="00E76A96"/>
    <w:rsid w:val="00E810E1"/>
    <w:rsid w:val="00EA59F4"/>
    <w:rsid w:val="00EA5FB1"/>
    <w:rsid w:val="00EA6505"/>
    <w:rsid w:val="00ED2B98"/>
    <w:rsid w:val="00EE6C36"/>
    <w:rsid w:val="00EF4A2F"/>
    <w:rsid w:val="00EF6319"/>
    <w:rsid w:val="00F010B3"/>
    <w:rsid w:val="00F21FC1"/>
    <w:rsid w:val="00F25F12"/>
    <w:rsid w:val="00F3189D"/>
    <w:rsid w:val="00F34B34"/>
    <w:rsid w:val="00F40853"/>
    <w:rsid w:val="00F41F99"/>
    <w:rsid w:val="00F43F33"/>
    <w:rsid w:val="00F54CE1"/>
    <w:rsid w:val="00F63270"/>
    <w:rsid w:val="00F64F80"/>
    <w:rsid w:val="00F658FF"/>
    <w:rsid w:val="00F67A79"/>
    <w:rsid w:val="00F81697"/>
    <w:rsid w:val="00F850AC"/>
    <w:rsid w:val="00F863BB"/>
    <w:rsid w:val="00F90AAD"/>
    <w:rsid w:val="00F9645F"/>
    <w:rsid w:val="00FA3DEE"/>
    <w:rsid w:val="00FA77E1"/>
    <w:rsid w:val="00FB2482"/>
    <w:rsid w:val="00FB7560"/>
    <w:rsid w:val="00FC1E08"/>
    <w:rsid w:val="00FC2A8B"/>
    <w:rsid w:val="00FC6442"/>
    <w:rsid w:val="00FE076E"/>
    <w:rsid w:val="00FE34E9"/>
    <w:rsid w:val="00FE3BC4"/>
    <w:rsid w:val="00FF6C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D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ind w:leftChars="-1" w:left="-1" w:hangingChars="1" w:hanging="1"/>
      <w:textDirection w:val="btLr"/>
      <w:textAlignment w:val="top"/>
      <w:outlineLvl w:val="0"/>
    </w:pPr>
    <w:rPr>
      <w:position w:val="-1"/>
      <w:sz w:val="22"/>
      <w:szCs w:val="22"/>
      <w:lang w:eastAsia="ja-JP"/>
    </w:rPr>
  </w:style>
  <w:style w:type="paragraph" w:styleId="Ttulo1">
    <w:name w:val="heading 1"/>
    <w:basedOn w:val="Normal"/>
    <w:next w:val="Normal"/>
    <w:uiPriority w:val="9"/>
    <w:qFormat/>
    <w:pPr>
      <w:keepNext/>
      <w:keepLines/>
      <w:spacing w:before="280" w:after="280" w:line="240" w:lineRule="auto"/>
      <w:ind w:right="-1"/>
      <w:jc w:val="center"/>
    </w:pPr>
    <w:rPr>
      <w:b/>
      <w:sz w:val="24"/>
      <w:szCs w:val="24"/>
    </w:rPr>
  </w:style>
  <w:style w:type="paragraph" w:styleId="Ttulo2">
    <w:name w:val="heading 2"/>
    <w:basedOn w:val="Normal"/>
    <w:next w:val="Normal"/>
    <w:uiPriority w:val="9"/>
    <w:unhideWhenUsed/>
    <w:qFormat/>
    <w:pPr>
      <w:keepNext/>
      <w:keepLines/>
      <w:spacing w:after="0" w:line="240" w:lineRule="auto"/>
      <w:outlineLvl w:val="1"/>
    </w:pPr>
    <w:rPr>
      <w:b/>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280" w:after="280" w:line="240" w:lineRule="auto"/>
      <w:ind w:right="-1"/>
      <w:jc w:val="center"/>
    </w:pPr>
    <w:rPr>
      <w:b/>
      <w:sz w:val="24"/>
      <w:szCs w:val="24"/>
    </w:rPr>
  </w:style>
  <w:style w:type="paragraph" w:styleId="NormalWeb">
    <w:name w:val="Normal (Web)"/>
    <w:basedOn w:val="Normal"/>
    <w:qFormat/>
    <w:pPr>
      <w:spacing w:before="100" w:beforeAutospacing="1" w:after="100" w:afterAutospacing="1" w:line="240" w:lineRule="auto"/>
    </w:pPr>
    <w:rPr>
      <w:sz w:val="24"/>
      <w:szCs w:val="24"/>
    </w:rPr>
  </w:style>
  <w:style w:type="paragraph" w:styleId="Textodenotaderodap">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Refdenotaderodap">
    <w:name w:val="footnote reference"/>
    <w:qFormat/>
    <w:rPr>
      <w:w w:val="100"/>
      <w:position w:val="-1"/>
      <w:effect w:val="none"/>
      <w:vertAlign w:val="superscript"/>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Assuntodocomentrio">
    <w:name w:val="annotation subject"/>
    <w:basedOn w:val="Textodecomentrio"/>
    <w:next w:val="Textodecomentrio"/>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Textodebalo">
    <w:name w:val="Balloon Text"/>
    <w:basedOn w:val="Normal"/>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Forte">
    <w:name w:val="Strong"/>
    <w:uiPriority w:val="22"/>
    <w:qFormat/>
    <w:rPr>
      <w:b/>
      <w:bCs/>
      <w:w w:val="100"/>
      <w:position w:val="-1"/>
      <w:effect w:val="none"/>
      <w:vertAlign w:val="baseline"/>
      <w:cs w:val="0"/>
      <w:em w:val="none"/>
    </w:rPr>
  </w:style>
  <w:style w:type="paragraph" w:styleId="Cabealho">
    <w:name w:val="header"/>
    <w:basedOn w:val="Normal"/>
    <w:qFormat/>
    <w:pPr>
      <w:tabs>
        <w:tab w:val="center" w:pos="4252"/>
        <w:tab w:val="right" w:pos="8504"/>
      </w:tabs>
    </w:pPr>
  </w:style>
  <w:style w:type="character" w:customStyle="1" w:styleId="HeaderChar">
    <w:name w:val="Header Char"/>
    <w:rPr>
      <w:w w:val="100"/>
      <w:position w:val="-1"/>
      <w:sz w:val="22"/>
      <w:szCs w:val="22"/>
      <w:effect w:val="none"/>
      <w:vertAlign w:val="baseline"/>
      <w:cs w:val="0"/>
      <w:em w:val="none"/>
      <w:lang w:val="pt-BR"/>
    </w:rPr>
  </w:style>
  <w:style w:type="paragraph" w:styleId="Rodap">
    <w:name w:val="footer"/>
    <w:basedOn w:val="Normal"/>
    <w:qFormat/>
    <w:pPr>
      <w:tabs>
        <w:tab w:val="center" w:pos="4252"/>
        <w:tab w:val="right" w:pos="8504"/>
      </w:tabs>
    </w:pPr>
  </w:style>
  <w:style w:type="character" w:customStyle="1" w:styleId="FooterChar">
    <w:name w:val="Footer Char"/>
    <w:rPr>
      <w:w w:val="100"/>
      <w:position w:val="-1"/>
      <w:sz w:val="22"/>
      <w:szCs w:val="22"/>
      <w:effect w:val="none"/>
      <w:vertAlign w:val="baseline"/>
      <w:cs w:val="0"/>
      <w:em w:val="none"/>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o">
    <w:name w:val="Revision"/>
    <w:hidden/>
    <w:uiPriority w:val="99"/>
    <w:semiHidden/>
    <w:rsid w:val="00CA1CA8"/>
    <w:pPr>
      <w:jc w:val="left"/>
    </w:pPr>
    <w:rPr>
      <w:position w:val="-1"/>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873250">
      <w:bodyDiv w:val="1"/>
      <w:marLeft w:val="0"/>
      <w:marRight w:val="0"/>
      <w:marTop w:val="0"/>
      <w:marBottom w:val="0"/>
      <w:divBdr>
        <w:top w:val="none" w:sz="0" w:space="0" w:color="auto"/>
        <w:left w:val="none" w:sz="0" w:space="0" w:color="auto"/>
        <w:bottom w:val="none" w:sz="0" w:space="0" w:color="auto"/>
        <w:right w:val="none" w:sz="0" w:space="0" w:color="auto"/>
      </w:divBdr>
      <w:divsChild>
        <w:div w:id="325086817">
          <w:marLeft w:val="0"/>
          <w:marRight w:val="0"/>
          <w:marTop w:val="0"/>
          <w:marBottom w:val="0"/>
          <w:divBdr>
            <w:top w:val="none" w:sz="0" w:space="0" w:color="auto"/>
            <w:left w:val="none" w:sz="0" w:space="0" w:color="auto"/>
            <w:bottom w:val="none" w:sz="0" w:space="0" w:color="auto"/>
            <w:right w:val="none" w:sz="0" w:space="0" w:color="auto"/>
          </w:divBdr>
          <w:divsChild>
            <w:div w:id="1979071596">
              <w:marLeft w:val="0"/>
              <w:marRight w:val="0"/>
              <w:marTop w:val="0"/>
              <w:marBottom w:val="0"/>
              <w:divBdr>
                <w:top w:val="none" w:sz="0" w:space="0" w:color="auto"/>
                <w:left w:val="none" w:sz="0" w:space="0" w:color="auto"/>
                <w:bottom w:val="none" w:sz="0" w:space="0" w:color="auto"/>
                <w:right w:val="none" w:sz="0" w:space="0" w:color="auto"/>
              </w:divBdr>
              <w:divsChild>
                <w:div w:id="1360157392">
                  <w:marLeft w:val="0"/>
                  <w:marRight w:val="0"/>
                  <w:marTop w:val="0"/>
                  <w:marBottom w:val="0"/>
                  <w:divBdr>
                    <w:top w:val="none" w:sz="0" w:space="0" w:color="auto"/>
                    <w:left w:val="none" w:sz="0" w:space="0" w:color="auto"/>
                    <w:bottom w:val="none" w:sz="0" w:space="0" w:color="auto"/>
                    <w:right w:val="none" w:sz="0" w:space="0" w:color="auto"/>
                  </w:divBdr>
                  <w:divsChild>
                    <w:div w:id="390269885">
                      <w:marLeft w:val="0"/>
                      <w:marRight w:val="0"/>
                      <w:marTop w:val="0"/>
                      <w:marBottom w:val="0"/>
                      <w:divBdr>
                        <w:top w:val="none" w:sz="0" w:space="0" w:color="auto"/>
                        <w:left w:val="none" w:sz="0" w:space="0" w:color="auto"/>
                        <w:bottom w:val="none" w:sz="0" w:space="0" w:color="auto"/>
                        <w:right w:val="none" w:sz="0" w:space="0" w:color="auto"/>
                      </w:divBdr>
                      <w:divsChild>
                        <w:div w:id="747264137">
                          <w:marLeft w:val="0"/>
                          <w:marRight w:val="0"/>
                          <w:marTop w:val="0"/>
                          <w:marBottom w:val="0"/>
                          <w:divBdr>
                            <w:top w:val="none" w:sz="0" w:space="0" w:color="auto"/>
                            <w:left w:val="none" w:sz="0" w:space="0" w:color="auto"/>
                            <w:bottom w:val="none" w:sz="0" w:space="0" w:color="auto"/>
                            <w:right w:val="none" w:sz="0" w:space="0" w:color="auto"/>
                          </w:divBdr>
                          <w:divsChild>
                            <w:div w:id="1494449976">
                              <w:marLeft w:val="0"/>
                              <w:marRight w:val="0"/>
                              <w:marTop w:val="0"/>
                              <w:marBottom w:val="0"/>
                              <w:divBdr>
                                <w:top w:val="none" w:sz="0" w:space="0" w:color="auto"/>
                                <w:left w:val="none" w:sz="0" w:space="0" w:color="auto"/>
                                <w:bottom w:val="none" w:sz="0" w:space="0" w:color="auto"/>
                                <w:right w:val="none" w:sz="0" w:space="0" w:color="auto"/>
                              </w:divBdr>
                              <w:divsChild>
                                <w:div w:id="1351033237">
                                  <w:marLeft w:val="0"/>
                                  <w:marRight w:val="0"/>
                                  <w:marTop w:val="0"/>
                                  <w:marBottom w:val="0"/>
                                  <w:divBdr>
                                    <w:top w:val="none" w:sz="0" w:space="0" w:color="auto"/>
                                    <w:left w:val="none" w:sz="0" w:space="0" w:color="auto"/>
                                    <w:bottom w:val="none" w:sz="0" w:space="0" w:color="auto"/>
                                    <w:right w:val="none" w:sz="0" w:space="0" w:color="auto"/>
                                  </w:divBdr>
                                  <w:divsChild>
                                    <w:div w:id="3831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41061">
                          <w:marLeft w:val="0"/>
                          <w:marRight w:val="0"/>
                          <w:marTop w:val="0"/>
                          <w:marBottom w:val="0"/>
                          <w:divBdr>
                            <w:top w:val="none" w:sz="0" w:space="0" w:color="auto"/>
                            <w:left w:val="none" w:sz="0" w:space="0" w:color="auto"/>
                            <w:bottom w:val="none" w:sz="0" w:space="0" w:color="auto"/>
                            <w:right w:val="none" w:sz="0" w:space="0" w:color="auto"/>
                          </w:divBdr>
                          <w:divsChild>
                            <w:div w:id="135539397">
                              <w:marLeft w:val="0"/>
                              <w:marRight w:val="0"/>
                              <w:marTop w:val="0"/>
                              <w:marBottom w:val="0"/>
                              <w:divBdr>
                                <w:top w:val="none" w:sz="0" w:space="0" w:color="auto"/>
                                <w:left w:val="none" w:sz="0" w:space="0" w:color="auto"/>
                                <w:bottom w:val="none" w:sz="0" w:space="0" w:color="auto"/>
                                <w:right w:val="none" w:sz="0" w:space="0" w:color="auto"/>
                              </w:divBdr>
                              <w:divsChild>
                                <w:div w:id="984895210">
                                  <w:marLeft w:val="0"/>
                                  <w:marRight w:val="0"/>
                                  <w:marTop w:val="0"/>
                                  <w:marBottom w:val="0"/>
                                  <w:divBdr>
                                    <w:top w:val="none" w:sz="0" w:space="0" w:color="auto"/>
                                    <w:left w:val="none" w:sz="0" w:space="0" w:color="auto"/>
                                    <w:bottom w:val="none" w:sz="0" w:space="0" w:color="auto"/>
                                    <w:right w:val="none" w:sz="0" w:space="0" w:color="auto"/>
                                  </w:divBdr>
                                  <w:divsChild>
                                    <w:div w:id="219829602">
                                      <w:marLeft w:val="0"/>
                                      <w:marRight w:val="0"/>
                                      <w:marTop w:val="0"/>
                                      <w:marBottom w:val="0"/>
                                      <w:divBdr>
                                        <w:top w:val="none" w:sz="0" w:space="0" w:color="auto"/>
                                        <w:left w:val="none" w:sz="0" w:space="0" w:color="auto"/>
                                        <w:bottom w:val="none" w:sz="0" w:space="0" w:color="auto"/>
                                        <w:right w:val="none" w:sz="0" w:space="0" w:color="auto"/>
                                      </w:divBdr>
                                      <w:divsChild>
                                        <w:div w:id="6640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056460">
      <w:bodyDiv w:val="1"/>
      <w:marLeft w:val="0"/>
      <w:marRight w:val="0"/>
      <w:marTop w:val="0"/>
      <w:marBottom w:val="0"/>
      <w:divBdr>
        <w:top w:val="none" w:sz="0" w:space="0" w:color="auto"/>
        <w:left w:val="none" w:sz="0" w:space="0" w:color="auto"/>
        <w:bottom w:val="none" w:sz="0" w:space="0" w:color="auto"/>
        <w:right w:val="none" w:sz="0" w:space="0" w:color="auto"/>
      </w:divBdr>
    </w:div>
    <w:div w:id="1682857025">
      <w:bodyDiv w:val="1"/>
      <w:marLeft w:val="0"/>
      <w:marRight w:val="0"/>
      <w:marTop w:val="0"/>
      <w:marBottom w:val="0"/>
      <w:divBdr>
        <w:top w:val="none" w:sz="0" w:space="0" w:color="auto"/>
        <w:left w:val="none" w:sz="0" w:space="0" w:color="auto"/>
        <w:bottom w:val="none" w:sz="0" w:space="0" w:color="auto"/>
        <w:right w:val="none" w:sz="0" w:space="0" w:color="auto"/>
      </w:divBdr>
      <w:divsChild>
        <w:div w:id="1726174126">
          <w:marLeft w:val="0"/>
          <w:marRight w:val="0"/>
          <w:marTop w:val="0"/>
          <w:marBottom w:val="0"/>
          <w:divBdr>
            <w:top w:val="none" w:sz="0" w:space="0" w:color="auto"/>
            <w:left w:val="none" w:sz="0" w:space="0" w:color="auto"/>
            <w:bottom w:val="none" w:sz="0" w:space="0" w:color="auto"/>
            <w:right w:val="none" w:sz="0" w:space="0" w:color="auto"/>
          </w:divBdr>
          <w:divsChild>
            <w:div w:id="179200893">
              <w:marLeft w:val="0"/>
              <w:marRight w:val="0"/>
              <w:marTop w:val="0"/>
              <w:marBottom w:val="0"/>
              <w:divBdr>
                <w:top w:val="none" w:sz="0" w:space="0" w:color="auto"/>
                <w:left w:val="none" w:sz="0" w:space="0" w:color="auto"/>
                <w:bottom w:val="none" w:sz="0" w:space="0" w:color="auto"/>
                <w:right w:val="none" w:sz="0" w:space="0" w:color="auto"/>
              </w:divBdr>
              <w:divsChild>
                <w:div w:id="986394280">
                  <w:marLeft w:val="0"/>
                  <w:marRight w:val="0"/>
                  <w:marTop w:val="0"/>
                  <w:marBottom w:val="0"/>
                  <w:divBdr>
                    <w:top w:val="none" w:sz="0" w:space="0" w:color="auto"/>
                    <w:left w:val="none" w:sz="0" w:space="0" w:color="auto"/>
                    <w:bottom w:val="none" w:sz="0" w:space="0" w:color="auto"/>
                    <w:right w:val="none" w:sz="0" w:space="0" w:color="auto"/>
                  </w:divBdr>
                  <w:divsChild>
                    <w:div w:id="1448700433">
                      <w:marLeft w:val="0"/>
                      <w:marRight w:val="0"/>
                      <w:marTop w:val="0"/>
                      <w:marBottom w:val="0"/>
                      <w:divBdr>
                        <w:top w:val="none" w:sz="0" w:space="0" w:color="auto"/>
                        <w:left w:val="none" w:sz="0" w:space="0" w:color="auto"/>
                        <w:bottom w:val="none" w:sz="0" w:space="0" w:color="auto"/>
                        <w:right w:val="none" w:sz="0" w:space="0" w:color="auto"/>
                      </w:divBdr>
                      <w:divsChild>
                        <w:div w:id="691765221">
                          <w:marLeft w:val="0"/>
                          <w:marRight w:val="0"/>
                          <w:marTop w:val="0"/>
                          <w:marBottom w:val="0"/>
                          <w:divBdr>
                            <w:top w:val="none" w:sz="0" w:space="0" w:color="auto"/>
                            <w:left w:val="none" w:sz="0" w:space="0" w:color="auto"/>
                            <w:bottom w:val="none" w:sz="0" w:space="0" w:color="auto"/>
                            <w:right w:val="none" w:sz="0" w:space="0" w:color="auto"/>
                          </w:divBdr>
                          <w:divsChild>
                            <w:div w:id="1603803065">
                              <w:marLeft w:val="0"/>
                              <w:marRight w:val="0"/>
                              <w:marTop w:val="0"/>
                              <w:marBottom w:val="0"/>
                              <w:divBdr>
                                <w:top w:val="none" w:sz="0" w:space="0" w:color="auto"/>
                                <w:left w:val="none" w:sz="0" w:space="0" w:color="auto"/>
                                <w:bottom w:val="none" w:sz="0" w:space="0" w:color="auto"/>
                                <w:right w:val="none" w:sz="0" w:space="0" w:color="auto"/>
                              </w:divBdr>
                              <w:divsChild>
                                <w:div w:id="1919826283">
                                  <w:marLeft w:val="0"/>
                                  <w:marRight w:val="0"/>
                                  <w:marTop w:val="0"/>
                                  <w:marBottom w:val="0"/>
                                  <w:divBdr>
                                    <w:top w:val="none" w:sz="0" w:space="0" w:color="auto"/>
                                    <w:left w:val="none" w:sz="0" w:space="0" w:color="auto"/>
                                    <w:bottom w:val="none" w:sz="0" w:space="0" w:color="auto"/>
                                    <w:right w:val="none" w:sz="0" w:space="0" w:color="auto"/>
                                  </w:divBdr>
                                  <w:divsChild>
                                    <w:div w:id="90861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20087">
                          <w:marLeft w:val="0"/>
                          <w:marRight w:val="0"/>
                          <w:marTop w:val="0"/>
                          <w:marBottom w:val="0"/>
                          <w:divBdr>
                            <w:top w:val="none" w:sz="0" w:space="0" w:color="auto"/>
                            <w:left w:val="none" w:sz="0" w:space="0" w:color="auto"/>
                            <w:bottom w:val="none" w:sz="0" w:space="0" w:color="auto"/>
                            <w:right w:val="none" w:sz="0" w:space="0" w:color="auto"/>
                          </w:divBdr>
                          <w:divsChild>
                            <w:div w:id="1200434018">
                              <w:marLeft w:val="0"/>
                              <w:marRight w:val="0"/>
                              <w:marTop w:val="0"/>
                              <w:marBottom w:val="0"/>
                              <w:divBdr>
                                <w:top w:val="none" w:sz="0" w:space="0" w:color="auto"/>
                                <w:left w:val="none" w:sz="0" w:space="0" w:color="auto"/>
                                <w:bottom w:val="none" w:sz="0" w:space="0" w:color="auto"/>
                                <w:right w:val="none" w:sz="0" w:space="0" w:color="auto"/>
                              </w:divBdr>
                              <w:divsChild>
                                <w:div w:id="1201017409">
                                  <w:marLeft w:val="0"/>
                                  <w:marRight w:val="0"/>
                                  <w:marTop w:val="0"/>
                                  <w:marBottom w:val="0"/>
                                  <w:divBdr>
                                    <w:top w:val="none" w:sz="0" w:space="0" w:color="auto"/>
                                    <w:left w:val="none" w:sz="0" w:space="0" w:color="auto"/>
                                    <w:bottom w:val="none" w:sz="0" w:space="0" w:color="auto"/>
                                    <w:right w:val="none" w:sz="0" w:space="0" w:color="auto"/>
                                  </w:divBdr>
                                  <w:divsChild>
                                    <w:div w:id="1791170877">
                                      <w:marLeft w:val="0"/>
                                      <w:marRight w:val="0"/>
                                      <w:marTop w:val="0"/>
                                      <w:marBottom w:val="0"/>
                                      <w:divBdr>
                                        <w:top w:val="none" w:sz="0" w:space="0" w:color="auto"/>
                                        <w:left w:val="none" w:sz="0" w:space="0" w:color="auto"/>
                                        <w:bottom w:val="none" w:sz="0" w:space="0" w:color="auto"/>
                                        <w:right w:val="none" w:sz="0" w:space="0" w:color="auto"/>
                                      </w:divBdr>
                                      <w:divsChild>
                                        <w:div w:id="42017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b56079d8e62118fe/Documents/Acad&#234;mico/4%20-%20Pesquisas/3%20-%20Professora%20Silvana/08%20-%20CIMDAB%202025/dados_cimdab.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b56079d8e62118fe/Documents/Acad&#234;mico/4%20-%20Pesquisas/3%20-%20Professora%20Silvana/08%20-%20CIMDAB%202025/dados_cimdab.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b56079d8e62118fe/Documents/Acad&#234;mico/4%20-%20Pesquisas/3%20-%20Professora%20Silvana/08%20-%20CIMDAB%202025/dados_cimdab.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spPr>
            <a:solidFill>
              <a:schemeClr val="bg1">
                <a:lumMod val="75000"/>
              </a:schemeClr>
            </a:solidFill>
            <a:ln w="25400">
              <a:noFill/>
            </a:ln>
          </c:spPr>
          <c:explosion val="2"/>
          <c:dPt>
            <c:idx val="0"/>
            <c:bubble3D val="0"/>
            <c:spPr>
              <a:solidFill>
                <a:schemeClr val="bg1">
                  <a:lumMod val="50000"/>
                </a:schemeClr>
              </a:solidFill>
              <a:ln w="25400">
                <a:noFill/>
              </a:ln>
              <a:effectLst/>
            </c:spPr>
            <c:extLst>
              <c:ext xmlns:c16="http://schemas.microsoft.com/office/drawing/2014/chart" uri="{C3380CC4-5D6E-409C-BE32-E72D297353CC}">
                <c16:uniqueId val="{00000001-A9F5-41D9-BCCB-A72803BE7BA1}"/>
              </c:ext>
            </c:extLst>
          </c:dPt>
          <c:dPt>
            <c:idx val="1"/>
            <c:bubble3D val="0"/>
            <c:spPr>
              <a:solidFill>
                <a:schemeClr val="bg1">
                  <a:lumMod val="75000"/>
                </a:schemeClr>
              </a:solidFill>
              <a:ln w="25400">
                <a:noFill/>
              </a:ln>
              <a:effectLst/>
            </c:spPr>
            <c:extLst>
              <c:ext xmlns:c16="http://schemas.microsoft.com/office/drawing/2014/chart" uri="{C3380CC4-5D6E-409C-BE32-E72D297353CC}">
                <c16:uniqueId val="{00000003-A9F5-41D9-BCCB-A72803BE7BA1}"/>
              </c:ext>
            </c:extLst>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(tabela_1!$M$2,tabela_1!$O$2)</c:f>
              <c:strCache>
                <c:ptCount val="2"/>
                <c:pt idx="0">
                  <c:v>Sim</c:v>
                </c:pt>
                <c:pt idx="1">
                  <c:v>Não</c:v>
                </c:pt>
              </c:strCache>
            </c:strRef>
          </c:cat>
          <c:val>
            <c:numRef>
              <c:f>(tabela_1!$M$19,tabela_1!$O$19)</c:f>
              <c:numCache>
                <c:formatCode>#,##0</c:formatCode>
                <c:ptCount val="2"/>
                <c:pt idx="0">
                  <c:v>9084</c:v>
                </c:pt>
                <c:pt idx="1">
                  <c:v>5352</c:v>
                </c:pt>
              </c:numCache>
            </c:numRef>
          </c:val>
          <c:extLst>
            <c:ext xmlns:c16="http://schemas.microsoft.com/office/drawing/2014/chart" uri="{C3380CC4-5D6E-409C-BE32-E72D297353CC}">
              <c16:uniqueId val="{00000004-A9F5-41D9-BCCB-A72803BE7BA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bg1">
                <a:lumMod val="75000"/>
              </a:schemeClr>
            </a:solidFill>
            <a:ln w="25400">
              <a:noFill/>
            </a:ln>
            <a:effectLst/>
          </c:spPr>
          <c:invertIfNegative val="0"/>
          <c:dLbls>
            <c:spPr>
              <a:noFill/>
              <a:ln>
                <a:noFill/>
              </a:ln>
              <a:effectLst/>
            </c:spPr>
            <c:txPr>
              <a:bodyPr rot="-27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tabela_1!$T$3:$T$17</c:f>
              <c:strCache>
                <c:ptCount val="15"/>
                <c:pt idx="0">
                  <c:v>Venezuela</c:v>
                </c:pt>
                <c:pt idx="1">
                  <c:v>França</c:v>
                </c:pt>
                <c:pt idx="2">
                  <c:v>Bolívia</c:v>
                </c:pt>
                <c:pt idx="3">
                  <c:v>Colômbia</c:v>
                </c:pt>
                <c:pt idx="4">
                  <c:v>Argentina</c:v>
                </c:pt>
                <c:pt idx="5">
                  <c:v>Chile</c:v>
                </c:pt>
                <c:pt idx="6">
                  <c:v>Peru</c:v>
                </c:pt>
                <c:pt idx="7">
                  <c:v>Espanha</c:v>
                </c:pt>
                <c:pt idx="8">
                  <c:v>Cuba</c:v>
                </c:pt>
                <c:pt idx="9">
                  <c:v>Uruguai</c:v>
                </c:pt>
                <c:pt idx="10">
                  <c:v>Itália</c:v>
                </c:pt>
                <c:pt idx="11">
                  <c:v>Portugal</c:v>
                </c:pt>
                <c:pt idx="12">
                  <c:v>Guiné Bissau</c:v>
                </c:pt>
                <c:pt idx="13">
                  <c:v>Angola</c:v>
                </c:pt>
                <c:pt idx="14">
                  <c:v>Japão</c:v>
                </c:pt>
              </c:strCache>
            </c:strRef>
          </c:cat>
          <c:val>
            <c:numRef>
              <c:f>tabela_1!$V$3:$V$17</c:f>
              <c:numCache>
                <c:formatCode>#,##0.00</c:formatCode>
                <c:ptCount val="15"/>
                <c:pt idx="0">
                  <c:v>80.257031104488732</c:v>
                </c:pt>
                <c:pt idx="1">
                  <c:v>70.325203252032523</c:v>
                </c:pt>
                <c:pt idx="2">
                  <c:v>63.492063492063487</c:v>
                </c:pt>
                <c:pt idx="3">
                  <c:v>60.951327433628322</c:v>
                </c:pt>
                <c:pt idx="4">
                  <c:v>59.737827715355806</c:v>
                </c:pt>
                <c:pt idx="5">
                  <c:v>56.653992395437257</c:v>
                </c:pt>
                <c:pt idx="6">
                  <c:v>55.374592833876221</c:v>
                </c:pt>
                <c:pt idx="7">
                  <c:v>55.08982035928144</c:v>
                </c:pt>
                <c:pt idx="8">
                  <c:v>52.98651252408478</c:v>
                </c:pt>
                <c:pt idx="9">
                  <c:v>52.657004830917877</c:v>
                </c:pt>
                <c:pt idx="10">
                  <c:v>50.305810397553522</c:v>
                </c:pt>
                <c:pt idx="11">
                  <c:v>48.222862632084535</c:v>
                </c:pt>
                <c:pt idx="12">
                  <c:v>34.93635077793494</c:v>
                </c:pt>
                <c:pt idx="13">
                  <c:v>33.51063829787234</c:v>
                </c:pt>
                <c:pt idx="14">
                  <c:v>32.407407407407405</c:v>
                </c:pt>
              </c:numCache>
            </c:numRef>
          </c:val>
          <c:extLst>
            <c:ext xmlns:c16="http://schemas.microsoft.com/office/drawing/2014/chart" uri="{C3380CC4-5D6E-409C-BE32-E72D297353CC}">
              <c16:uniqueId val="{00000000-3EF0-46EF-A887-AD6F767F4612}"/>
            </c:ext>
          </c:extLst>
        </c:ser>
        <c:dLbls>
          <c:showLegendKey val="0"/>
          <c:showVal val="0"/>
          <c:showCatName val="0"/>
          <c:showSerName val="0"/>
          <c:showPercent val="0"/>
          <c:showBubbleSize val="0"/>
        </c:dLbls>
        <c:gapWidth val="25"/>
        <c:overlap val="25"/>
        <c:axId val="1873041375"/>
        <c:axId val="1873041855"/>
      </c:barChart>
      <c:catAx>
        <c:axId val="1873041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873041855"/>
        <c:crosses val="autoZero"/>
        <c:auto val="1"/>
        <c:lblAlgn val="ctr"/>
        <c:lblOffset val="100"/>
        <c:noMultiLvlLbl val="0"/>
      </c:catAx>
      <c:valAx>
        <c:axId val="1873041855"/>
        <c:scaling>
          <c:orientation val="minMax"/>
          <c:max val="100"/>
        </c:scaling>
        <c:delete val="0"/>
        <c:axPos val="l"/>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a:t>
                </a:r>
              </a:p>
            </c:rich>
          </c:tx>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8730413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bg1">
                <a:lumMod val="75000"/>
              </a:schemeClr>
            </a:solidFill>
            <a:ln w="25400">
              <a:noFill/>
            </a:ln>
            <a:effectLst/>
          </c:spPr>
          <c:invertIfNegative val="0"/>
          <c:dLbls>
            <c:spPr>
              <a:noFill/>
              <a:ln>
                <a:noFill/>
              </a:ln>
              <a:effectLst/>
            </c:spPr>
            <c:txPr>
              <a:bodyPr rot="-27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tabela_2!$J$3:$J$11</c:f>
              <c:strCache>
                <c:ptCount val="9"/>
                <c:pt idx="0">
                  <c:v>Piauí</c:v>
                </c:pt>
                <c:pt idx="1">
                  <c:v>Rio Grande do Norte</c:v>
                </c:pt>
                <c:pt idx="2">
                  <c:v>Maranhão</c:v>
                </c:pt>
                <c:pt idx="3">
                  <c:v>Pernambuco</c:v>
                </c:pt>
                <c:pt idx="4">
                  <c:v>Paraíba</c:v>
                </c:pt>
                <c:pt idx="5">
                  <c:v>Sergipe</c:v>
                </c:pt>
                <c:pt idx="6">
                  <c:v>Alagoas</c:v>
                </c:pt>
                <c:pt idx="7">
                  <c:v>Ceará</c:v>
                </c:pt>
                <c:pt idx="8">
                  <c:v>Bahia</c:v>
                </c:pt>
              </c:strCache>
            </c:strRef>
          </c:cat>
          <c:val>
            <c:numRef>
              <c:f>tabela_2!$L$3:$L$11</c:f>
              <c:numCache>
                <c:formatCode>#,##0.00</c:formatCode>
                <c:ptCount val="9"/>
                <c:pt idx="0">
                  <c:v>74.953959484346228</c:v>
                </c:pt>
                <c:pt idx="1">
                  <c:v>73.599999999999994</c:v>
                </c:pt>
                <c:pt idx="2">
                  <c:v>73.28</c:v>
                </c:pt>
                <c:pt idx="3">
                  <c:v>67.787839586028468</c:v>
                </c:pt>
                <c:pt idx="4">
                  <c:v>64.606741573033716</c:v>
                </c:pt>
                <c:pt idx="5">
                  <c:v>60.17505470459519</c:v>
                </c:pt>
                <c:pt idx="6">
                  <c:v>57.662337662337663</c:v>
                </c:pt>
                <c:pt idx="7">
                  <c:v>56.830031282586027</c:v>
                </c:pt>
                <c:pt idx="8">
                  <c:v>56.056477582363144</c:v>
                </c:pt>
              </c:numCache>
            </c:numRef>
          </c:val>
          <c:extLst>
            <c:ext xmlns:c16="http://schemas.microsoft.com/office/drawing/2014/chart" uri="{C3380CC4-5D6E-409C-BE32-E72D297353CC}">
              <c16:uniqueId val="{00000000-2A87-4F7C-9E9A-C61FCE26365A}"/>
            </c:ext>
          </c:extLst>
        </c:ser>
        <c:dLbls>
          <c:showLegendKey val="0"/>
          <c:showVal val="0"/>
          <c:showCatName val="0"/>
          <c:showSerName val="0"/>
          <c:showPercent val="0"/>
          <c:showBubbleSize val="0"/>
        </c:dLbls>
        <c:gapWidth val="25"/>
        <c:overlap val="25"/>
        <c:axId val="1873041375"/>
        <c:axId val="1873041855"/>
      </c:barChart>
      <c:catAx>
        <c:axId val="1873041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873041855"/>
        <c:crosses val="autoZero"/>
        <c:auto val="1"/>
        <c:lblAlgn val="ctr"/>
        <c:lblOffset val="100"/>
        <c:noMultiLvlLbl val="0"/>
      </c:catAx>
      <c:valAx>
        <c:axId val="1873041855"/>
        <c:scaling>
          <c:orientation val="minMax"/>
          <c:max val="100"/>
        </c:scaling>
        <c:delete val="0"/>
        <c:axPos val="l"/>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a:t>
                </a:r>
              </a:p>
            </c:rich>
          </c:tx>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8730413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Uc0moVpfkkZwTdttCeILJAutpA==">AMUW2mWo3GP/CpYU+VuF2wbPfUtZ3/px7OdLZod267DO0zsWM7KZWwF+dMdI4veguoSeG8enWS+JNRiMm0uX/FXpKuzjHcUTGm7ONHkclJO0BC6LF/LXvPL/PYFQcs+E7hNaIQjdw5RY1q33Erw+QET/XUumVRxPf1xXLq7I6ESvUT0Mprzcn/JbzpO9OsiO0xJUaJb1ipLATNpYo0jo3xVfG3htkJ+TLTjSKmel+63pPGwiTwwFnnXfw26LyRR2O6ay2CTl+gkXlMt43GuEPbMe8LBwmtBHx1yQyO5mdAje5f9fG5Tlqe97Zfqca2Y7JHIbgzpnUFb6KeS3SU14n6q663z6h6n6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1209</Words>
  <Characters>6531</Characters>
  <DocSecurity>0</DocSecurity>
  <Lines>54</Lines>
  <Paragraphs>15</Paragraphs>
  <ScaleCrop>false</ScaleCrop>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2025-04-24T19:34:00Z</dcterms:created>
  <dcterms:modified xsi:type="dcterms:W3CDTF">2025-04-24T19:34:00Z</dcterms:modified>
</cp:coreProperties>
</file>