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5E98" w14:textId="77777777" w:rsidR="00E40472" w:rsidRDefault="007D05D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ARÉA TEMÁTICA: </w:t>
      </w:r>
      <w:r>
        <w:rPr>
          <w:sz w:val="20"/>
          <w:szCs w:val="20"/>
        </w:rPr>
        <w:t>Ecologia</w:t>
      </w:r>
    </w:p>
    <w:p w14:paraId="2FE1E1A9" w14:textId="77777777" w:rsidR="00E40472" w:rsidRDefault="007D05D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SUBÁREA TEMÁTICA: </w:t>
      </w:r>
      <w:r>
        <w:rPr>
          <w:sz w:val="20"/>
          <w:szCs w:val="20"/>
        </w:rPr>
        <w:t>Invertebrados</w:t>
      </w:r>
    </w:p>
    <w:p w14:paraId="079ACE37" w14:textId="77777777" w:rsidR="00E40472" w:rsidRDefault="007D05D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MATURIDADE SEXUAL MORFOLÓGICA DO CAMARÃO ANFÍDROMO </w:t>
      </w:r>
      <w:r>
        <w:rPr>
          <w:b/>
          <w:i/>
          <w:sz w:val="20"/>
          <w:szCs w:val="20"/>
        </w:rPr>
        <w:t>Macrobrachium acanthurus</w:t>
      </w:r>
      <w:r>
        <w:rPr>
          <w:b/>
          <w:sz w:val="20"/>
          <w:szCs w:val="20"/>
        </w:rPr>
        <w:t xml:space="preserve"> (Weigmann, 1836) (Decapoda: Palaemonidae) </w:t>
      </w:r>
    </w:p>
    <w:p w14:paraId="58E5C1D6" w14:textId="77777777" w:rsidR="00E40472" w:rsidRDefault="007D05D2">
      <w:pPr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Carlito Alves do Nascimento¹, Fabrício Lopes de Carvalho¹</w:t>
      </w:r>
    </w:p>
    <w:p w14:paraId="014A0EE1" w14:textId="77777777" w:rsidR="00E40472" w:rsidRDefault="007D05D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¹ Universidade Federal do Sul da Bahia (UFSB), Laboratório de Carcinologia e Biodiversidade Aquática. Campus Jorge Amado, Ilhéus, Bahia. </w:t>
      </w:r>
      <w:hyperlink r:id="rId7">
        <w:r>
          <w:rPr>
            <w:color w:val="0000FF"/>
            <w:sz w:val="20"/>
            <w:szCs w:val="20"/>
            <w:u w:val="single"/>
          </w:rPr>
          <w:t>carlitoalves624@gmail.com</w:t>
        </w:r>
      </w:hyperlink>
    </w:p>
    <w:p w14:paraId="112982F1" w14:textId="77777777" w:rsidR="00E40472" w:rsidRDefault="007D05D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¹ Universidade Federal do Sul da Bahia (UFSB), Laboratório de Carcinologia e Biodiversidade Aquática, Campus Jorge Amado, Ilhéus, Bahia. </w:t>
      </w:r>
      <w:hyperlink r:id="rId8">
        <w:r>
          <w:rPr>
            <w:rFonts w:ascii="Helvetica Neue" w:eastAsia="Helvetica Neue" w:hAnsi="Helvetica Neue" w:cs="Helvetica Neue"/>
            <w:color w:val="0000FF"/>
            <w:sz w:val="20"/>
            <w:szCs w:val="20"/>
            <w:highlight w:val="white"/>
            <w:u w:val="single"/>
          </w:rPr>
          <w:t>fabricio.carvalho@gfe.ufsb.edu.b</w:t>
        </w:r>
      </w:hyperlink>
      <w:hyperlink r:id="rId9">
        <w:r>
          <w:rPr>
            <w:color w:val="0000FF"/>
            <w:sz w:val="20"/>
            <w:szCs w:val="20"/>
            <w:u w:val="single"/>
          </w:rPr>
          <w:t>r</w:t>
        </w:r>
      </w:hyperlink>
    </w:p>
    <w:p w14:paraId="009109AF" w14:textId="77777777" w:rsidR="00E40472" w:rsidRDefault="007D05D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572D2B0B" w14:textId="77777777" w:rsidR="00E40472" w:rsidRDefault="007D05D2">
      <w:pPr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Dezenove espécies de </w:t>
      </w:r>
      <w:r>
        <w:rPr>
          <w:i/>
          <w:sz w:val="20"/>
          <w:szCs w:val="20"/>
        </w:rPr>
        <w:t>Macrobrachium</w:t>
      </w:r>
      <w:r>
        <w:rPr>
          <w:sz w:val="20"/>
          <w:szCs w:val="20"/>
        </w:rPr>
        <w:t xml:space="preserve"> são conhecidas no Brasil (Mantelatto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 xml:space="preserve">., 2016). Algumas dessas completam todo o seu ciclo de vida em ambiente dulcícola (Anger, 2013), enquanto outras, apresentam história de vida anfídroma (Bauer, 2013). De modo geral a ontogenia de crustáceos é marcada por promover o surgimento de caracteres morfológicos diferenciados entre os sexos e entre os estágios de desenvolvimento (Hartnoll, 1978). Uma forma eficiente de avaliar essas diferenças é através do estudo do crescimento relativo. Este tipo de estudo analisa quantitativamente as taxas de crescimento de diferentes partes do corpo em relação a ele mesmo (Masunari &amp; Dissenha, 2005; Herrera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 xml:space="preserve">., 2017). Sendo possível identificar o tamanho de início da maturidade sexual morfológica, que é um parâmetro ecológico populacional importante, pois indica se determinada população possui o número mínimo de indivíduos aptos a reproduzir (Nódrega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 xml:space="preserve">., 2014; Nogueira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 xml:space="preserve">., 2019). Portanto, o objetivo do nosso estudo foi estimar o tamanho no início da maturidade sexual morfológica de machos e fêmeas de uma população de </w:t>
      </w:r>
      <w:r>
        <w:rPr>
          <w:i/>
          <w:sz w:val="20"/>
          <w:szCs w:val="20"/>
        </w:rPr>
        <w:t>M. acanthurus</w:t>
      </w:r>
      <w:r>
        <w:rPr>
          <w:sz w:val="20"/>
          <w:szCs w:val="20"/>
        </w:rPr>
        <w:t xml:space="preserve"> localizada no sul da Bahia.</w:t>
      </w:r>
    </w:p>
    <w:p w14:paraId="7AD92A7C" w14:textId="77777777" w:rsidR="00E40472" w:rsidRDefault="007D05D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783FD0CD" w14:textId="77777777" w:rsidR="00E40472" w:rsidRDefault="007D05D2">
      <w:pPr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Os espécimes foram coletados em março, abril e maio de 2022, no rio Cachoeira, Ilhéus, Bahia (14º47’33”S, 39º11’13”W). O comprimento do cefalotórax, ísquio, mero, carpo, própodo, dáctilo e quelípede foram mensurados para ambos os sexos e a largura da segunda pleura abdominal para as fêmeas. O crescimento relativo foi avaliado pela equação alométrica: log y = log a + b*log x, onde y é a variável dependente, sendo utilizadas todas as variáveis morfométricas obtidas para o quelípede de machos e fêmeas, sendo adicionalmente utilizada a variável largura da segunda pleura pleonal para as fêmeas. A variável x é a variável independente, sendo utilizado o comprimento da carapaça.</w:t>
      </w:r>
    </w:p>
    <w:p w14:paraId="433A4F1E" w14:textId="77777777" w:rsidR="00E40472" w:rsidRDefault="00962624">
      <w:pPr>
        <w:spacing w:line="240" w:lineRule="auto"/>
        <w:ind w:firstLine="708"/>
        <w:jc w:val="both"/>
        <w:rPr>
          <w:sz w:val="20"/>
          <w:szCs w:val="20"/>
        </w:rPr>
      </w:pPr>
      <w:sdt>
        <w:sdtPr>
          <w:tag w:val="goog_rdk_0"/>
          <w:id w:val="1637756752"/>
        </w:sdtPr>
        <w:sdtEndPr/>
        <w:sdtContent>
          <w:r w:rsidR="007D05D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Dessa forma, o valor de b foi utilizado como coeficiente alométrico da regressão, sendo utilizado como referência para: isometria (0,9 &lt; b &lt; 1,1), alometria positiva (b ≥ 1,1) e alometria negativa (b ≤ 0,9) (Moraes-Riodades &amp; Valenti, 2002). O nível de significância adotado foi de 5% (Zar, 2010). </w:t>
          </w:r>
        </w:sdtContent>
      </w:sdt>
      <w:r w:rsidR="007D05D2">
        <w:rPr>
          <w:sz w:val="20"/>
          <w:szCs w:val="20"/>
        </w:rPr>
        <w:t xml:space="preserve">Os camarões foram agrupados em juvenis e adultos com o uso da função </w:t>
      </w:r>
      <w:r w:rsidR="007D05D2">
        <w:rPr>
          <w:i/>
          <w:sz w:val="20"/>
          <w:szCs w:val="20"/>
        </w:rPr>
        <w:t xml:space="preserve">“classify_mature” </w:t>
      </w:r>
      <w:r w:rsidR="007D05D2">
        <w:rPr>
          <w:sz w:val="20"/>
          <w:szCs w:val="20"/>
        </w:rPr>
        <w:t>do pacote “sizeMat” (Torrejon-Magalhães 2019). O tamanho no início da maturidade sexual morfológica para cada sexo (L</w:t>
      </w:r>
      <w:r w:rsidR="007D05D2">
        <w:rPr>
          <w:sz w:val="20"/>
          <w:szCs w:val="20"/>
          <w:vertAlign w:val="subscript"/>
        </w:rPr>
        <w:t>50</w:t>
      </w:r>
      <w:r w:rsidR="007D05D2">
        <w:rPr>
          <w:sz w:val="20"/>
          <w:szCs w:val="20"/>
        </w:rPr>
        <w:t>) foi mensurada utilizando a função “</w:t>
      </w:r>
      <w:r w:rsidR="007D05D2">
        <w:rPr>
          <w:i/>
          <w:sz w:val="20"/>
          <w:szCs w:val="20"/>
        </w:rPr>
        <w:t>morph_mature</w:t>
      </w:r>
      <w:r w:rsidR="007D05D2">
        <w:rPr>
          <w:sz w:val="20"/>
          <w:szCs w:val="20"/>
        </w:rPr>
        <w:t>” também do pacote “sizeMat”.</w:t>
      </w:r>
    </w:p>
    <w:p w14:paraId="2EFA1B79" w14:textId="77777777" w:rsidR="00E40472" w:rsidRDefault="007D05D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4BFCC82C" w14:textId="77777777" w:rsidR="00E40472" w:rsidRDefault="007D05D2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Foram analisados 511 espécimes, sendo 274 fêmeas e 237 machos. Os espécimes machos apresentaram um tamanho médio de comprimento de carapaça de 18,42 mm com desvio padrão de (± 6,70), enquanto nas fêmeas o tamanho médio de comprimento de carapaça foi de 10,57 mm com desvio padrão de (± 5,67). Os indivíduos machos adultos e juvenis apresentaram alometria positiva entre o comprimento do própodo e comprimento da carapaça (Figura 1).A alometria positiva entre o própodo e a carapaça apresentada em indivíduos machos juvenis e adultos, pode estar relacionada a relevância morfológica fun</w:t>
      </w:r>
      <w:r>
        <w:rPr>
          <w:sz w:val="20"/>
          <w:szCs w:val="20"/>
        </w:rPr>
        <w:lastRenderedPageBreak/>
        <w:t>cional que o própodo representa a indivíduos deste grupo. Esta é uma estrutura que apresenta variação em tamanho, forma, cor e ornamentação entre morfótipos machos da espécie (Rios et al., 2021).</w:t>
      </w:r>
    </w:p>
    <w:p w14:paraId="3B982A4F" w14:textId="77777777" w:rsidR="00E40472" w:rsidRDefault="007D05D2">
      <w:pPr>
        <w:spacing w:before="24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5F032497" wp14:editId="169FAF5E">
            <wp:extent cx="2089785" cy="208978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9BE8DF" w14:textId="77777777" w:rsidR="00E40472" w:rsidRDefault="007D05D2">
      <w:pPr>
        <w:spacing w:before="24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Figura 1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Macrobrachium acanthurus</w:t>
      </w:r>
      <w:r>
        <w:rPr>
          <w:sz w:val="20"/>
          <w:szCs w:val="20"/>
        </w:rPr>
        <w:t xml:space="preserve"> (Weigmann, 1836). Alometria positiva do crescimento do própodo em machos juvenis e adultos.</w:t>
      </w:r>
    </w:p>
    <w:p w14:paraId="13419A7E" w14:textId="77777777" w:rsidR="00E40472" w:rsidRDefault="007D05D2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as fêmeas juvenis e adultas, o padrão apresentado foi isometria entre segunda pleura pleonal e carapaça (Figura 2). Para este grupo o crescimento isométrico entre segunda pleura pleonal e comprimento de carapaça, indica haver uma paridade no direcionamento energético entre essas duas estruturas mesmo antes de atingir a maturidade sexual morfológica. Sugerimos que a segunda pleura pleonal em fêmeas de </w:t>
      </w:r>
      <w:r>
        <w:rPr>
          <w:i/>
          <w:sz w:val="20"/>
          <w:szCs w:val="20"/>
        </w:rPr>
        <w:t>M. acanthurus</w:t>
      </w:r>
      <w:r>
        <w:rPr>
          <w:sz w:val="20"/>
          <w:szCs w:val="20"/>
        </w:rPr>
        <w:t xml:space="preserve"> tenha função de ampliar o espaço da câmara incubatória aumentando a capacidade de abrigar um número maior de ovos, pois segundo Tamburus et al. (2012) e Bertini &amp; Baeza (2014), em </w:t>
      </w:r>
      <w:r>
        <w:rPr>
          <w:i/>
          <w:sz w:val="20"/>
          <w:szCs w:val="20"/>
        </w:rPr>
        <w:t>M. acanthurus</w:t>
      </w:r>
      <w:r>
        <w:rPr>
          <w:sz w:val="20"/>
          <w:szCs w:val="20"/>
        </w:rPr>
        <w:t xml:space="preserve"> a fecundidade aumenta com o tamanho corporal da fêmea. </w:t>
      </w:r>
    </w:p>
    <w:p w14:paraId="56D08154" w14:textId="77777777" w:rsidR="00E40472" w:rsidRDefault="007D05D2">
      <w:pPr>
        <w:spacing w:before="24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175BF4" wp14:editId="262F58F6">
            <wp:extent cx="2204085" cy="22479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E5E24" w14:textId="77777777" w:rsidR="00E40472" w:rsidRDefault="007D05D2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Figura 2</w:t>
      </w:r>
      <w:r>
        <w:rPr>
          <w:sz w:val="20"/>
          <w:szCs w:val="20"/>
        </w:rPr>
        <w:t xml:space="preserve"> – </w:t>
      </w:r>
      <w:r>
        <w:rPr>
          <w:i/>
          <w:sz w:val="20"/>
          <w:szCs w:val="20"/>
        </w:rPr>
        <w:t>Macrobrachium acanthurus</w:t>
      </w:r>
      <w:r>
        <w:rPr>
          <w:sz w:val="20"/>
          <w:szCs w:val="20"/>
        </w:rPr>
        <w:t xml:space="preserve"> (Weigmann, 1836). Isometria entre crescimento da segunda pleura pleonal e carapaça em fêmeas juvenis e adultas.</w:t>
      </w:r>
    </w:p>
    <w:p w14:paraId="146E50C4" w14:textId="77777777" w:rsidR="00E40472" w:rsidRDefault="007D05D2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De acordo com o L</w:t>
      </w:r>
      <w:r>
        <w:rPr>
          <w:sz w:val="20"/>
          <w:szCs w:val="20"/>
          <w:vertAlign w:val="subscript"/>
        </w:rPr>
        <w:t>50</w:t>
      </w:r>
      <w:r>
        <w:rPr>
          <w:sz w:val="20"/>
          <w:szCs w:val="20"/>
        </w:rPr>
        <w:t xml:space="preserve">, os indivíduos machos atingem a maturidade sexual morfológica com 11,80 mm de CC, (IC = 10,80 – 12,00; </w:t>
      </w:r>
      <w:r>
        <w:rPr>
          <w:i/>
          <w:sz w:val="20"/>
          <w:szCs w:val="20"/>
        </w:rPr>
        <w:t>R</w:t>
      </w:r>
      <w:r>
        <w:rPr>
          <w:i/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= 1)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(Figura 3a) e as fêmeas com 9,90 mm de CC (IC = 9,40 – 10,50; </w:t>
      </w:r>
      <w:r>
        <w:rPr>
          <w:i/>
          <w:sz w:val="20"/>
          <w:szCs w:val="20"/>
        </w:rPr>
        <w:t>R</w:t>
      </w:r>
      <w:r>
        <w:rPr>
          <w:i/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= 0,98) (Figura 3b).</w:t>
      </w:r>
    </w:p>
    <w:p w14:paraId="671D1FD4" w14:textId="77777777" w:rsidR="00E40472" w:rsidRDefault="007D05D2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174AD7D" wp14:editId="743038E6">
            <wp:extent cx="4324296" cy="21600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296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5B03CC" w14:textId="77777777" w:rsidR="00E40472" w:rsidRDefault="007D05D2">
      <w:pPr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Figura 3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Macrobrachium acanthurus</w:t>
      </w:r>
      <w:r>
        <w:rPr>
          <w:sz w:val="20"/>
          <w:szCs w:val="20"/>
        </w:rPr>
        <w:t xml:space="preserve"> (Weigmann, 1836). Tamanho estimado do comprimento da carapaça onde se alcança a maturidade sexual morfológica, (A) machos, (B) fêmeas.</w:t>
      </w:r>
    </w:p>
    <w:p w14:paraId="35AD85A6" w14:textId="40E605B9" w:rsidR="00E40472" w:rsidRDefault="007D05D2">
      <w:pPr>
        <w:spacing w:before="12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O fato de as fêmeas atingirem a maturidade sexual morfológica mais cedo do que os machos, associada à sua reprodução contínua (Tamburus et al., 2012; Bertini &amp; Baeza, 2014), representa uma vantagem ecológica importante para a manutenção dos estoques naturais da espécie.</w:t>
      </w:r>
    </w:p>
    <w:p w14:paraId="5CECF14B" w14:textId="77777777" w:rsidR="00E40472" w:rsidRDefault="007D05D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08F1A8BC" w14:textId="35D2FC68" w:rsidR="00E40472" w:rsidRDefault="007D05D2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variação de tamanho no início da maturidade sexual morfológica pode estar </w:t>
      </w:r>
      <w:r w:rsidR="00E60432">
        <w:rPr>
          <w:rFonts w:hint="eastAsia"/>
          <w:sz w:val="20"/>
          <w:szCs w:val="20"/>
        </w:rPr>
        <w:t>relacionada</w:t>
      </w:r>
      <w:r>
        <w:rPr>
          <w:sz w:val="20"/>
          <w:szCs w:val="20"/>
        </w:rPr>
        <w:t xml:space="preserve"> a estra</w:t>
      </w:r>
      <w:r w:rsidR="00E60432"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égia de crescimento e reprodução que cada sexo adota durante a sua ontogenia. Dessa forma, machos juvenis investem em crescimento do própodo antes mesmo de atingir a maturidade sexual morfológica, bem como as fêmeas juvenis e adultas investirem em crescimento sincrônico entre segunda pleura pleonal e carapaça.</w:t>
      </w:r>
    </w:p>
    <w:p w14:paraId="39E2E9A6" w14:textId="77777777" w:rsidR="00E40472" w:rsidRDefault="00E40472">
      <w:pPr>
        <w:spacing w:line="240" w:lineRule="auto"/>
        <w:ind w:firstLine="567"/>
        <w:jc w:val="both"/>
        <w:rPr>
          <w:sz w:val="20"/>
          <w:szCs w:val="20"/>
        </w:rPr>
      </w:pPr>
    </w:p>
    <w:p w14:paraId="512A455E" w14:textId="77777777" w:rsidR="00E40472" w:rsidRDefault="00E40472">
      <w:pPr>
        <w:spacing w:line="240" w:lineRule="auto"/>
        <w:ind w:firstLine="567"/>
        <w:jc w:val="both"/>
        <w:rPr>
          <w:sz w:val="20"/>
          <w:szCs w:val="20"/>
        </w:rPr>
      </w:pPr>
    </w:p>
    <w:p w14:paraId="5DB40C9A" w14:textId="77777777" w:rsidR="00E40472" w:rsidRDefault="00E40472">
      <w:pPr>
        <w:spacing w:line="240" w:lineRule="auto"/>
        <w:ind w:firstLine="567"/>
        <w:jc w:val="both"/>
        <w:rPr>
          <w:sz w:val="20"/>
          <w:szCs w:val="20"/>
        </w:rPr>
      </w:pPr>
    </w:p>
    <w:p w14:paraId="5F544789" w14:textId="77777777" w:rsidR="00E40472" w:rsidRDefault="007D05D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 w14:paraId="3F493992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Anger, K. (2013). Neotropial </w:t>
      </w:r>
      <w:r>
        <w:rPr>
          <w:i/>
          <w:sz w:val="20"/>
          <w:szCs w:val="20"/>
        </w:rPr>
        <w:t>Macrobrachium</w:t>
      </w:r>
      <w:r>
        <w:rPr>
          <w:sz w:val="20"/>
          <w:szCs w:val="20"/>
        </w:rPr>
        <w:t xml:space="preserve"> (Caridea: Palaemonidae): on the biology, origin, and radiation of freshwater-invading shrimp. </w:t>
      </w:r>
      <w:r>
        <w:rPr>
          <w:i/>
          <w:sz w:val="20"/>
          <w:szCs w:val="20"/>
        </w:rPr>
        <w:t>Journal of Crustacean Biology</w:t>
      </w:r>
      <w:r>
        <w:rPr>
          <w:sz w:val="20"/>
          <w:szCs w:val="20"/>
        </w:rPr>
        <w:t>, 33, 151-183. https://doi.org/10.1163/1937240X-00002124</w:t>
      </w:r>
    </w:p>
    <w:p w14:paraId="773277F8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Bauer, R.T. (2013). Amphidromy in shrimps: a life cycle between rivers and the sea. </w:t>
      </w:r>
      <w:r>
        <w:rPr>
          <w:i/>
          <w:sz w:val="20"/>
          <w:szCs w:val="20"/>
        </w:rPr>
        <w:t>Latin American Journal of Aquatic Research</w:t>
      </w:r>
      <w:r>
        <w:rPr>
          <w:sz w:val="20"/>
          <w:szCs w:val="20"/>
        </w:rPr>
        <w:t>, 41, 633-650.</w:t>
      </w:r>
    </w:p>
    <w:p w14:paraId="66314E71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Bertini, G.; &amp; Baeza, J. A. (2014). Fecundity and fertility in a freshwater population of the neotropical amphidromous shrimp </w:t>
      </w:r>
      <w:r>
        <w:rPr>
          <w:i/>
          <w:sz w:val="20"/>
          <w:szCs w:val="20"/>
        </w:rPr>
        <w:t>Macrobrachium acanthurus</w:t>
      </w:r>
      <w:r>
        <w:rPr>
          <w:sz w:val="20"/>
          <w:szCs w:val="20"/>
        </w:rPr>
        <w:t xml:space="preserve"> from the southeastern Atlantic. </w:t>
      </w:r>
      <w:r>
        <w:rPr>
          <w:i/>
          <w:sz w:val="20"/>
          <w:szCs w:val="20"/>
        </w:rPr>
        <w:t>Invertebrate Reproduction &amp; Development</w:t>
      </w:r>
      <w:r>
        <w:rPr>
          <w:sz w:val="20"/>
          <w:szCs w:val="20"/>
        </w:rPr>
        <w:t xml:space="preserve">, 58, 207-217. </w:t>
      </w:r>
      <w:hyperlink r:id="rId13">
        <w:r>
          <w:rPr>
            <w:color w:val="000000"/>
            <w:sz w:val="20"/>
            <w:szCs w:val="20"/>
            <w:u w:val="single"/>
          </w:rPr>
          <w:t>https://doi.org/10.1080/07924259.2014.894948</w:t>
        </w:r>
      </w:hyperlink>
    </w:p>
    <w:p w14:paraId="0C9B2DE1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Hartnoll, R. G. (1978). The determination of relative growth in Crustacea. </w:t>
      </w:r>
      <w:r>
        <w:rPr>
          <w:i/>
          <w:sz w:val="20"/>
          <w:szCs w:val="20"/>
        </w:rPr>
        <w:t>Crustaceana</w:t>
      </w:r>
      <w:r>
        <w:rPr>
          <w:sz w:val="20"/>
          <w:szCs w:val="20"/>
        </w:rPr>
        <w:t xml:space="preserve">, 34, 281–293. </w:t>
      </w:r>
      <w:hyperlink r:id="rId14">
        <w:r>
          <w:rPr>
            <w:color w:val="000000"/>
            <w:sz w:val="20"/>
            <w:szCs w:val="20"/>
            <w:u w:val="single"/>
          </w:rPr>
          <w:t>https://doi.org/10.1163/156854078X00844</w:t>
        </w:r>
      </w:hyperlink>
    </w:p>
    <w:p w14:paraId="383BC8A3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Herrera, D. R.; Davanso, T. M.; &amp; Costa, R. C. (2017). Relative growth and morphological sexual maturity of the caridean shrimp </w:t>
      </w:r>
      <w:r>
        <w:rPr>
          <w:i/>
          <w:sz w:val="20"/>
          <w:szCs w:val="20"/>
        </w:rPr>
        <w:t>Nematopalaemon schmitti</w:t>
      </w:r>
      <w:r>
        <w:rPr>
          <w:sz w:val="20"/>
          <w:szCs w:val="20"/>
        </w:rPr>
        <w:t xml:space="preserve"> (Decapoda: Caridea: Palaemonidae) in na upwelling region in the Western Atlantic. </w:t>
      </w:r>
      <w:r>
        <w:rPr>
          <w:i/>
          <w:sz w:val="20"/>
          <w:szCs w:val="20"/>
        </w:rPr>
        <w:t>Invertebrate Reproduction &amp; Development</w:t>
      </w:r>
      <w:r>
        <w:rPr>
          <w:sz w:val="20"/>
          <w:szCs w:val="20"/>
        </w:rPr>
        <w:t>, 62, 56-62. https://doi.org/10.1080/07924259.2017.1398190</w:t>
      </w:r>
    </w:p>
    <w:p w14:paraId="688CDC05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Mantelatto, F. L. M.; Pileggi, L. G.; Magalhães. C.; Carvalho, F.L.; Rocha. S.S.; Mossolin, E.C.; &amp; Bueno, S.L.S. (2016). Avaliação dos Camarões Palemonídeos (Decapoda: Palaemonidae). In: M. A. A. Pinheiro &amp; H. Boos (Eds.), </w:t>
      </w:r>
      <w:r>
        <w:rPr>
          <w:i/>
          <w:sz w:val="20"/>
          <w:szCs w:val="20"/>
        </w:rPr>
        <w:t>Livro Vermelho dos Crustáceos do Brasil: avaliação 2010-2014</w:t>
      </w:r>
      <w:r>
        <w:rPr>
          <w:sz w:val="20"/>
          <w:szCs w:val="20"/>
        </w:rPr>
        <w:t>. Porto Alegre, RS: Sociedade Brasileira de Carcinologia – SBC.</w:t>
      </w:r>
    </w:p>
    <w:p w14:paraId="7EE19E9A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Masunari, S.; N. Dissenha.; &amp; Falcão, R. C. (2005). Crescimento relativo e destreza dos quelípodos de Uca maracoani (Latrielle) (Crustacea, Decapoda, Ocypodidae) no Baixo Mirim, Baía de Guaratuba, Paraná, Brasil. Revista Brasileira de Zoologia, 22. 974-983. </w:t>
      </w:r>
      <w:hyperlink r:id="rId15">
        <w:r>
          <w:rPr>
            <w:color w:val="000000"/>
            <w:sz w:val="20"/>
            <w:szCs w:val="20"/>
            <w:u w:val="single"/>
          </w:rPr>
          <w:t>https://doi.org/10.1590/S0101-81752005000400025</w:t>
        </w:r>
      </w:hyperlink>
    </w:p>
    <w:p w14:paraId="308E84A4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Moraes-Riodades, P. M. C.; &amp; Valenti, W. C. (2002). Crescimento relativo do camarão canela </w:t>
      </w:r>
      <w:r>
        <w:rPr>
          <w:i/>
          <w:sz w:val="20"/>
          <w:szCs w:val="20"/>
        </w:rPr>
        <w:t>Macrobrachium amazonicum</w:t>
      </w:r>
      <w:r>
        <w:rPr>
          <w:sz w:val="20"/>
          <w:szCs w:val="20"/>
        </w:rPr>
        <w:t xml:space="preserve"> (Heller) (Crustacea, Decapoda, Palaemonidae) em viveiros. </w:t>
      </w:r>
      <w:r>
        <w:rPr>
          <w:i/>
          <w:sz w:val="20"/>
          <w:szCs w:val="20"/>
        </w:rPr>
        <w:t>Revista Brasileira de Zoologia</w:t>
      </w:r>
      <w:r>
        <w:rPr>
          <w:sz w:val="20"/>
          <w:szCs w:val="20"/>
        </w:rPr>
        <w:t xml:space="preserve">, 19, 1169-1176. </w:t>
      </w:r>
      <w:hyperlink r:id="rId16">
        <w:r>
          <w:rPr>
            <w:color w:val="000000"/>
            <w:sz w:val="20"/>
            <w:szCs w:val="20"/>
            <w:u w:val="single"/>
          </w:rPr>
          <w:t>https://doi.org/10.1590/S0101-81752002000400023</w:t>
        </w:r>
      </w:hyperlink>
    </w:p>
    <w:p w14:paraId="66834372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Rios, D. P.; Pantaleão, J. A. F.; &amp; Hirose, R. C. (2012). Ocorrence of male morphotypes in the freshwater praw </w:t>
      </w:r>
      <w:r>
        <w:rPr>
          <w:i/>
          <w:sz w:val="20"/>
          <w:szCs w:val="20"/>
        </w:rPr>
        <w:t>Macrobrachium acanthurus</w:t>
      </w:r>
      <w:r>
        <w:rPr>
          <w:sz w:val="20"/>
          <w:szCs w:val="20"/>
        </w:rPr>
        <w:t xml:space="preserve"> Wiegmann, 1836 (Decapoda, Palaemonidae), Invertebrate Reproductive &amp; Development. https://doi.org/10.1080/07924259.2021.1980442</w:t>
      </w:r>
    </w:p>
    <w:p w14:paraId="54BF4B46" w14:textId="77777777" w:rsidR="00E40472" w:rsidRDefault="007D05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Tamburus, A. F.; Mossolin, E. C.; &amp; Mantelatto, F. L. (2012). Populational and reproductive aspects of </w:t>
      </w:r>
      <w:r>
        <w:rPr>
          <w:i/>
          <w:sz w:val="20"/>
          <w:szCs w:val="20"/>
        </w:rPr>
        <w:t>Macrobrachium acanthurus</w:t>
      </w:r>
      <w:r>
        <w:rPr>
          <w:sz w:val="20"/>
          <w:szCs w:val="20"/>
        </w:rPr>
        <w:t xml:space="preserve"> (Wiegmann, 1836) (Crustacea: Palaemonidae) from north coast of São Paulo State, Brazil. </w:t>
      </w:r>
      <w:r>
        <w:rPr>
          <w:i/>
          <w:sz w:val="20"/>
          <w:szCs w:val="20"/>
        </w:rPr>
        <w:t>Brazilian Journal Aquatuatic Science Technol</w:t>
      </w:r>
      <w:r>
        <w:rPr>
          <w:sz w:val="20"/>
          <w:szCs w:val="20"/>
        </w:rPr>
        <w:t xml:space="preserve">, 16, 9-18. </w:t>
      </w:r>
      <w:hyperlink r:id="rId17">
        <w:r>
          <w:rPr>
            <w:color w:val="0000FF"/>
            <w:sz w:val="20"/>
            <w:szCs w:val="20"/>
            <w:u w:val="single"/>
          </w:rPr>
          <w:t>https://doi.org/10.14210/bjast.v16n1.p9-18</w:t>
        </w:r>
      </w:hyperlink>
    </w:p>
    <w:p w14:paraId="49B7949F" w14:textId="77777777" w:rsidR="00E40472" w:rsidRDefault="00E40472">
      <w:pPr>
        <w:spacing w:line="240" w:lineRule="auto"/>
        <w:rPr>
          <w:sz w:val="20"/>
          <w:szCs w:val="20"/>
        </w:rPr>
      </w:pPr>
    </w:p>
    <w:p w14:paraId="22CD6996" w14:textId="77777777" w:rsidR="00E40472" w:rsidRDefault="00E40472">
      <w:pPr>
        <w:spacing w:line="240" w:lineRule="auto"/>
        <w:rPr>
          <w:color w:val="FF0000"/>
          <w:sz w:val="20"/>
          <w:szCs w:val="20"/>
        </w:rPr>
      </w:pPr>
    </w:p>
    <w:p w14:paraId="3D586075" w14:textId="77777777" w:rsidR="00E40472" w:rsidRDefault="00E404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92E7E" w14:textId="77777777" w:rsidR="00E40472" w:rsidRDefault="00E4047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F93DE9" w14:textId="77777777" w:rsidR="00E40472" w:rsidRDefault="00E4047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C8FEF1" w14:textId="77777777" w:rsidR="00E40472" w:rsidRDefault="00E40472">
      <w:pPr>
        <w:spacing w:line="240" w:lineRule="auto"/>
        <w:jc w:val="both"/>
        <w:rPr>
          <w:sz w:val="20"/>
          <w:szCs w:val="20"/>
        </w:rPr>
      </w:pPr>
    </w:p>
    <w:p w14:paraId="02E958AB" w14:textId="77777777" w:rsidR="00E40472" w:rsidRDefault="00E40472">
      <w:pPr>
        <w:spacing w:line="240" w:lineRule="auto"/>
        <w:jc w:val="both"/>
        <w:rPr>
          <w:b/>
          <w:sz w:val="20"/>
          <w:szCs w:val="20"/>
        </w:rPr>
      </w:pPr>
    </w:p>
    <w:p w14:paraId="4CFB47ED" w14:textId="77777777" w:rsidR="00E40472" w:rsidRDefault="00E40472">
      <w:pPr>
        <w:spacing w:line="240" w:lineRule="auto"/>
        <w:rPr>
          <w:sz w:val="20"/>
          <w:szCs w:val="20"/>
        </w:rPr>
      </w:pPr>
    </w:p>
    <w:sectPr w:rsidR="00E40472">
      <w:headerReference w:type="default" r:id="rId18"/>
      <w:pgSz w:w="11909" w:h="16834"/>
      <w:pgMar w:top="1418" w:right="1134" w:bottom="851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9D43" w14:textId="77777777" w:rsidR="00962624" w:rsidRDefault="00962624">
      <w:pPr>
        <w:spacing w:line="240" w:lineRule="auto"/>
      </w:pPr>
      <w:r>
        <w:separator/>
      </w:r>
    </w:p>
  </w:endnote>
  <w:endnote w:type="continuationSeparator" w:id="0">
    <w:p w14:paraId="3F44C0D8" w14:textId="77777777" w:rsidR="00962624" w:rsidRDefault="00962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yriadPro-Regular">
    <w:panose1 w:val="00000000000000000000"/>
    <w:charset w:val="00"/>
    <w:family w:val="roman"/>
    <w:notTrueType/>
    <w:pitch w:val="default"/>
  </w:font>
  <w:font w:name="MyriadPro-It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EC7D" w14:textId="77777777" w:rsidR="00962624" w:rsidRDefault="00962624">
      <w:pPr>
        <w:spacing w:line="240" w:lineRule="auto"/>
      </w:pPr>
      <w:r>
        <w:separator/>
      </w:r>
    </w:p>
  </w:footnote>
  <w:footnote w:type="continuationSeparator" w:id="0">
    <w:p w14:paraId="456C1008" w14:textId="77777777" w:rsidR="00962624" w:rsidRDefault="00962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3DBF" w14:textId="77777777" w:rsidR="00E40472" w:rsidRDefault="007D05D2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09CEB33A" wp14:editId="59BE7E80">
          <wp:extent cx="1185412" cy="532736"/>
          <wp:effectExtent l="0" t="0" r="0" b="0"/>
          <wp:docPr id="9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412" cy="53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72"/>
    <w:rsid w:val="007D05D2"/>
    <w:rsid w:val="00962624"/>
    <w:rsid w:val="00E3541B"/>
    <w:rsid w:val="00E40472"/>
    <w:rsid w:val="00E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0022"/>
  <w15:docId w15:val="{418B943A-F273-4119-B145-D4F97A16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zh-C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qFormat/>
    <w:rsid w:val="00A618B9"/>
    <w:pPr>
      <w:suppressAutoHyphens/>
      <w:autoSpaceDN w:val="0"/>
      <w:spacing w:after="140"/>
      <w:textAlignment w:val="baseline"/>
    </w:pPr>
    <w:rPr>
      <w:rFonts w:ascii="Liberation Serif" w:eastAsia="NSimSun" w:hAnsi="Liberation Serif"/>
      <w:kern w:val="3"/>
      <w:sz w:val="24"/>
      <w:szCs w:val="24"/>
      <w:lang w:val="en-US" w:eastAsia="zh-CN" w:bidi="hi-IN"/>
    </w:rPr>
  </w:style>
  <w:style w:type="paragraph" w:styleId="Cabealho">
    <w:name w:val="header"/>
    <w:basedOn w:val="Normal"/>
    <w:link w:val="CabealhoChar"/>
    <w:rsid w:val="00A551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551F3"/>
    <w:rPr>
      <w:sz w:val="22"/>
      <w:szCs w:val="22"/>
      <w:lang w:val="zh-CN"/>
    </w:rPr>
  </w:style>
  <w:style w:type="character" w:styleId="Hyperlink">
    <w:name w:val="Hyperlink"/>
    <w:basedOn w:val="Fontepargpadro"/>
    <w:rsid w:val="0033447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447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D47B5"/>
    <w:rPr>
      <w:rFonts w:ascii="MyriadPro-Regular" w:hAnsi="Myriad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ontepargpadro"/>
    <w:rsid w:val="009D47B5"/>
    <w:rPr>
      <w:rFonts w:ascii="MyriadPro-It" w:hAnsi="MyriadPro-It" w:hint="default"/>
      <w:b w:val="0"/>
      <w:bCs w:val="0"/>
      <w:i/>
      <w:iCs/>
      <w:color w:val="242021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A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io.carvalho@gfe.ufsb.edu.br" TargetMode="External"/><Relationship Id="rId13" Type="http://schemas.openxmlformats.org/officeDocument/2006/relationships/hyperlink" Target="https://doi.org/10.1080/07924259.2014.89494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itoalves624@gmail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doi.org/10.14210/bjast.v16n1.p9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90/S0101-81752002000400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doi.org/10.1590/S0101-81752005000400025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ricio.carvalho@gfe.ufsb.edu.br" TargetMode="External"/><Relationship Id="rId14" Type="http://schemas.openxmlformats.org/officeDocument/2006/relationships/hyperlink" Target="https://doi.org/10.1163/156854078X008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K3e9CNcNmNdKWwtOPTDK4Ey3Q==">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Carlito</cp:lastModifiedBy>
  <cp:revision>4</cp:revision>
  <dcterms:created xsi:type="dcterms:W3CDTF">2023-08-17T14:17:00Z</dcterms:created>
  <dcterms:modified xsi:type="dcterms:W3CDTF">2023-08-20T20:55:00Z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