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77BE42F3"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444B9C">
        <w:rPr>
          <w:rFonts w:ascii="Times New Roman" w:eastAsia="Times New Roman" w:hAnsi="Times New Roman" w:cs="Times New Roman"/>
          <w:b/>
          <w:color w:val="808080" w:themeColor="background1" w:themeShade="80"/>
        </w:rPr>
        <w:t xml:space="preserve"> 2</w:t>
      </w:r>
      <w:r w:rsidR="00095A59" w:rsidRPr="00095A59">
        <w:rPr>
          <w:rFonts w:ascii="Times New Roman" w:eastAsia="Times New Roman" w:hAnsi="Times New Roman" w:cs="Times New Roman"/>
          <w:b/>
          <w:color w:val="808080" w:themeColor="background1" w:themeShade="80"/>
        </w:rPr>
        <w:t xml:space="preserve"> - Métodos, Processos, Técnicas, Práticas e Ferramentas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66133146" w:rsidR="00D8471E" w:rsidRDefault="00444B9C" w:rsidP="00444B9C">
      <w:pPr>
        <w:spacing w:line="240" w:lineRule="auto"/>
        <w:jc w:val="center"/>
        <w:rPr>
          <w:rFonts w:ascii="Times New Roman" w:eastAsia="Times New Roman" w:hAnsi="Times New Roman" w:cs="Times New Roman"/>
          <w:b/>
          <w:sz w:val="28"/>
          <w:szCs w:val="28"/>
        </w:rPr>
      </w:pPr>
      <w:r w:rsidRPr="0083088E">
        <w:rPr>
          <w:rFonts w:ascii="Times New Roman" w:eastAsia="Times New Roman" w:hAnsi="Times New Roman" w:cs="Times New Roman"/>
          <w:b/>
          <w:sz w:val="28"/>
          <w:szCs w:val="28"/>
        </w:rPr>
        <w:t>Grupos de Pesquisa em Gestão do Conhecimento no Brasil: Mapeamento, Temáticas e Contribuições para o Campo</w:t>
      </w:r>
    </w:p>
    <w:p w14:paraId="662E3E04" w14:textId="2EAEEC6A" w:rsidR="00D8471E" w:rsidRPr="00444B9C" w:rsidRDefault="00444B9C" w:rsidP="00444B9C">
      <w:pPr>
        <w:spacing w:line="240" w:lineRule="auto"/>
        <w:jc w:val="center"/>
        <w:rPr>
          <w:rFonts w:ascii="Times New Roman" w:eastAsia="Times New Roman" w:hAnsi="Times New Roman" w:cs="Times New Roman"/>
          <w:i/>
          <w:sz w:val="28"/>
          <w:szCs w:val="28"/>
          <w:lang w:val="en-US"/>
        </w:rPr>
      </w:pPr>
      <w:r w:rsidRPr="0083088E">
        <w:rPr>
          <w:rFonts w:ascii="Times New Roman" w:eastAsia="Times New Roman" w:hAnsi="Times New Roman" w:cs="Times New Roman"/>
          <w:i/>
          <w:sz w:val="28"/>
          <w:szCs w:val="28"/>
          <w:lang w:val="en-US"/>
        </w:rPr>
        <w:t>Research Groups in Knowledge Management in Brazil: Mapping, Themes and Contributions to the Field</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049F0ABB" w:rsidR="00D8471E" w:rsidRPr="006F452E" w:rsidRDefault="00444B9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Euro Marques Júnior</w:t>
      </w:r>
    </w:p>
    <w:p w14:paraId="21E450E1" w14:textId="475671D0" w:rsidR="006F452E" w:rsidRDefault="00444B9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w:t>
      </w:r>
      <w:r w:rsidR="006F452E">
        <w:rPr>
          <w:rFonts w:ascii="Times New Roman" w:eastAsia="Times New Roman" w:hAnsi="Times New Roman" w:cs="Times New Roman"/>
        </w:rPr>
        <w:t xml:space="preserve">. </w:t>
      </w:r>
      <w:r>
        <w:rPr>
          <w:rFonts w:ascii="Times New Roman" w:eastAsia="Times New Roman" w:hAnsi="Times New Roman" w:cs="Times New Roman"/>
        </w:rPr>
        <w:t>Instituto Federal de Educação, Ciência e Tecnologia</w:t>
      </w:r>
      <w:r w:rsidR="006F452E">
        <w:rPr>
          <w:rFonts w:ascii="Times New Roman" w:eastAsia="Times New Roman" w:hAnsi="Times New Roman" w:cs="Times New Roman"/>
        </w:rPr>
        <w:t xml:space="preserve"> (</w:t>
      </w:r>
      <w:r>
        <w:rPr>
          <w:rFonts w:ascii="Times New Roman" w:eastAsia="Times New Roman" w:hAnsi="Times New Roman" w:cs="Times New Roman"/>
        </w:rPr>
        <w:t>IFSP – São Carlos</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0E23A77D" w:rsidR="006F452E" w:rsidRDefault="00444B9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euro.marques@ifsp.edu.br</w:t>
      </w:r>
      <w:r w:rsidR="006F452E">
        <w:rPr>
          <w:rFonts w:ascii="Times New Roman" w:eastAsia="Times New Roman" w:hAnsi="Times New Roman" w:cs="Times New Roman"/>
        </w:rPr>
        <w:t>.</w:t>
      </w:r>
    </w:p>
    <w:p w14:paraId="05E6004F" w14:textId="54FAA1AC" w:rsidR="006F452E" w:rsidRPr="006F452E" w:rsidRDefault="00444B9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Emília de Mendonça Rosa Marques </w:t>
      </w:r>
    </w:p>
    <w:p w14:paraId="63A67B30" w14:textId="2DB6DDB1" w:rsidR="006F452E" w:rsidRDefault="00444B9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Estadual Paulista</w:t>
      </w:r>
      <w:r w:rsidR="006F452E">
        <w:rPr>
          <w:rFonts w:ascii="Times New Roman" w:eastAsia="Times New Roman" w:hAnsi="Times New Roman" w:cs="Times New Roman"/>
        </w:rPr>
        <w:t xml:space="preserve"> (</w:t>
      </w:r>
      <w:r>
        <w:rPr>
          <w:rFonts w:ascii="Times New Roman" w:eastAsia="Times New Roman" w:hAnsi="Times New Roman" w:cs="Times New Roman"/>
        </w:rPr>
        <w:t>UNESP – Bauru - FC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04D0CBE3" w14:textId="5350655A" w:rsidR="006F452E" w:rsidRDefault="00444B9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emilia.marques@unesp.br.</w:t>
      </w:r>
    </w:p>
    <w:p w14:paraId="3485F7C0" w14:textId="049BF21E" w:rsidR="006F452E" w:rsidRPr="006F452E" w:rsidRDefault="00444B9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Isabelly Rosa Rodrigues</w:t>
      </w:r>
    </w:p>
    <w:p w14:paraId="127E4D7B" w14:textId="48264B4F" w:rsidR="006F452E" w:rsidRDefault="00444B9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Graduanda</w:t>
      </w:r>
      <w:r w:rsidR="006F452E">
        <w:rPr>
          <w:rFonts w:ascii="Times New Roman" w:eastAsia="Times New Roman" w:hAnsi="Times New Roman" w:cs="Times New Roman"/>
        </w:rPr>
        <w:t xml:space="preserve">. </w:t>
      </w:r>
      <w:r>
        <w:rPr>
          <w:rFonts w:ascii="Times New Roman" w:eastAsia="Times New Roman" w:hAnsi="Times New Roman" w:cs="Times New Roman"/>
        </w:rPr>
        <w:t>Instituto Federal de Educação, Ciência e Tecnologia (IFSP – São Carlos) – Brasil</w:t>
      </w:r>
      <w:r w:rsidR="006F452E">
        <w:rPr>
          <w:rFonts w:ascii="Times New Roman" w:eastAsia="Times New Roman" w:hAnsi="Times New Roman" w:cs="Times New Roman"/>
        </w:rPr>
        <w:t xml:space="preserve">. </w:t>
      </w:r>
    </w:p>
    <w:p w14:paraId="2D167136" w14:textId="542330E4" w:rsidR="006F452E" w:rsidRDefault="00444B9C" w:rsidP="00444B9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isabelly.rodrigues@aluno.ifsp.edu.br</w:t>
      </w:r>
      <w:r w:rsidR="006F452E">
        <w:rPr>
          <w:rFonts w:ascii="Times New Roman" w:eastAsia="Times New Roman" w:hAnsi="Times New Roman" w:cs="Times New Roman"/>
        </w:rPr>
        <w:t>.</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233D29"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0394D977" w14:textId="77777777" w:rsidR="00444B9C" w:rsidRDefault="00444B9C" w:rsidP="006F452E">
      <w:pPr>
        <w:spacing w:line="240" w:lineRule="auto"/>
        <w:jc w:val="both"/>
        <w:rPr>
          <w:rFonts w:ascii="Times New Roman" w:eastAsia="Times New Roman" w:hAnsi="Times New Roman" w:cs="Times New Roman"/>
          <w:b/>
          <w:sz w:val="28"/>
          <w:szCs w:val="28"/>
        </w:rPr>
      </w:pPr>
    </w:p>
    <w:p w14:paraId="19B28823" w14:textId="77777777" w:rsidR="00444B9C" w:rsidRDefault="00444B9C" w:rsidP="00444B9C">
      <w:pPr>
        <w:spacing w:line="240" w:lineRule="auto"/>
        <w:jc w:val="both"/>
        <w:rPr>
          <w:rFonts w:ascii="Times New Roman" w:eastAsia="Times New Roman" w:hAnsi="Times New Roman" w:cs="Times New Roman"/>
          <w:sz w:val="24"/>
          <w:szCs w:val="24"/>
        </w:rPr>
      </w:pPr>
      <w:r w:rsidRPr="003B1393">
        <w:rPr>
          <w:rFonts w:ascii="Times New Roman" w:eastAsia="Times New Roman" w:hAnsi="Times New Roman" w:cs="Times New Roman"/>
          <w:sz w:val="24"/>
          <w:szCs w:val="24"/>
        </w:rPr>
        <w:t xml:space="preserve">Este artigo </w:t>
      </w:r>
      <w:r>
        <w:rPr>
          <w:rFonts w:ascii="Times New Roman" w:eastAsia="Times New Roman" w:hAnsi="Times New Roman" w:cs="Times New Roman"/>
          <w:sz w:val="24"/>
          <w:szCs w:val="24"/>
        </w:rPr>
        <w:t>busca</w:t>
      </w:r>
      <w:r w:rsidRPr="003B1393">
        <w:rPr>
          <w:rFonts w:ascii="Times New Roman" w:eastAsia="Times New Roman" w:hAnsi="Times New Roman" w:cs="Times New Roman"/>
          <w:sz w:val="24"/>
          <w:szCs w:val="24"/>
        </w:rPr>
        <w:t xml:space="preserve"> mapear e analisar os grupos de pesquisa brasileiros que têm como foco a Gestão do Conhecimento (GC), identificando sua distribuição geográfica, vinculação institucional, áreas de avaliação e principais temáticas de atuação. Trata-se do primeiro mapeamento sistemático, em escala nacional, voltado para os grupos de pesquisa em GC, evidenciando a diversidade temática, as lacunas regionais e o estágio de institucionalização do campo no Brasil. O estudo contribui para a compreensão da maturidade científica da área e fornece uma base empírica para decisões estratégicas em educação, pesquisa e políticas públicas. A pesquisa é de natureza exploratória e documental, com abordagem qualitativa e quantitativa. Foram utilizados dados do Diretório dos Grupos de Pesquisa do CNPq (Plataforma Lattes) e informações por meio de fontes institucionais. Os dados foram organizados em planilhas e analisados por estatística descritiva e categorização temática qualitativa. Foram identificados 114 grupos de pesquisa distribuídos principalmente nas regiões Sudeste e Sul, com predominância em instituições públicas federais e em programas com conceito CAPES 4 ou 5. A análise resultou na classificação dos grupos em oito categorias temáticas, revelando a interdisciplinaridade da GC e sua aplicação em áreas como inovação, saúde, educação, políticas públicas e tecnologia. Os resultados podem subsidiar o fortalecimento da GC como área científica e prática no Brasil, estimulando redes colaborativas, expansão da pós-graduação em regiões menos atendidas e a formulação de políticas de incentivo à pesquisa interdisciplinar. Também servem como referência para pesquisadores, gestores públicos e instituições de ensino interessadas em desenvolver iniciativas estratégicas em GC.</w:t>
      </w:r>
    </w:p>
    <w:p w14:paraId="42175E9C" w14:textId="1E74E3FA" w:rsidR="00D8471E" w:rsidRDefault="00233D29" w:rsidP="00444B9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444B9C" w:rsidRPr="0083088E">
        <w:rPr>
          <w:rFonts w:ascii="Times New Roman" w:eastAsia="Times New Roman" w:hAnsi="Times New Roman" w:cs="Times New Roman"/>
          <w:sz w:val="24"/>
          <w:szCs w:val="24"/>
        </w:rPr>
        <w:t xml:space="preserve">Gestão do Conhecimento, Grupos de Pesquisa, Mapeamento, Ciência e Tecnologia, </w:t>
      </w:r>
      <w:r w:rsidR="00444B9C" w:rsidRPr="00561989">
        <w:rPr>
          <w:rFonts w:ascii="Times New Roman" w:eastAsia="Times New Roman" w:hAnsi="Times New Roman" w:cs="Times New Roman"/>
          <w:sz w:val="24"/>
          <w:szCs w:val="24"/>
        </w:rPr>
        <w:t>Pós-Graduação</w:t>
      </w:r>
    </w:p>
    <w:p w14:paraId="38C1F305" w14:textId="77777777" w:rsidR="00444B9C" w:rsidRDefault="00444B9C" w:rsidP="00444B9C">
      <w:pPr>
        <w:spacing w:line="240" w:lineRule="auto"/>
        <w:jc w:val="both"/>
        <w:rPr>
          <w:rFonts w:ascii="Times New Roman" w:eastAsia="Times New Roman" w:hAnsi="Times New Roman" w:cs="Times New Roman"/>
          <w:sz w:val="24"/>
          <w:szCs w:val="24"/>
        </w:rPr>
      </w:pPr>
    </w:p>
    <w:p w14:paraId="1595671C" w14:textId="5FA3D63B" w:rsidR="00D8471E" w:rsidRDefault="00233D29"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04A33A62" w14:textId="77777777" w:rsidR="00444B9C" w:rsidRDefault="00444B9C" w:rsidP="00444B9C">
      <w:pPr>
        <w:spacing w:line="240" w:lineRule="auto"/>
        <w:jc w:val="both"/>
        <w:rPr>
          <w:rFonts w:ascii="Times New Roman" w:eastAsia="Times New Roman" w:hAnsi="Times New Roman" w:cs="Times New Roman"/>
          <w:sz w:val="24"/>
          <w:szCs w:val="24"/>
          <w:lang w:val="en-US"/>
        </w:rPr>
      </w:pPr>
      <w:r w:rsidRPr="00561989">
        <w:rPr>
          <w:rFonts w:ascii="Times New Roman" w:eastAsia="Times New Roman" w:hAnsi="Times New Roman" w:cs="Times New Roman"/>
          <w:sz w:val="24"/>
          <w:szCs w:val="24"/>
          <w:lang w:val="en-US"/>
        </w:rPr>
        <w:t xml:space="preserve">This article aims to map and analyze Brazilian research groups focused on Knowledge Management (KM), identifying their geographical distribution, institutional affiliation, evaluation areas, and main research themes. It represents the first systematic, nationwide mapping dedicated to KM research groups, highlighting thematic diversity, regional gaps, and the stage of institutionalization of the field in Brazil. The study contributes to understanding the scientific maturity of the area and provides an empirical basis for strategic decision-making </w:t>
      </w:r>
      <w:r w:rsidRPr="00561989">
        <w:rPr>
          <w:rFonts w:ascii="Times New Roman" w:eastAsia="Times New Roman" w:hAnsi="Times New Roman" w:cs="Times New Roman"/>
          <w:sz w:val="24"/>
          <w:szCs w:val="24"/>
          <w:lang w:val="en-US"/>
        </w:rPr>
        <w:lastRenderedPageBreak/>
        <w:t xml:space="preserve">in education, research, and public policy. The research is </w:t>
      </w:r>
      <w:proofErr w:type="gramStart"/>
      <w:r w:rsidRPr="00561989">
        <w:rPr>
          <w:rFonts w:ascii="Times New Roman" w:eastAsia="Times New Roman" w:hAnsi="Times New Roman" w:cs="Times New Roman"/>
          <w:sz w:val="24"/>
          <w:szCs w:val="24"/>
          <w:lang w:val="en-US"/>
        </w:rPr>
        <w:t>exploratory</w:t>
      </w:r>
      <w:proofErr w:type="gramEnd"/>
      <w:r w:rsidRPr="00561989">
        <w:rPr>
          <w:rFonts w:ascii="Times New Roman" w:eastAsia="Times New Roman" w:hAnsi="Times New Roman" w:cs="Times New Roman"/>
          <w:sz w:val="24"/>
          <w:szCs w:val="24"/>
          <w:lang w:val="en-US"/>
        </w:rPr>
        <w:t xml:space="preserve"> and documentary in nature, employing both qualitative and quantitative approaches. Data were collected from the </w:t>
      </w:r>
      <w:proofErr w:type="spellStart"/>
      <w:r w:rsidRPr="00561989">
        <w:rPr>
          <w:rFonts w:ascii="Times New Roman" w:eastAsia="Times New Roman" w:hAnsi="Times New Roman" w:cs="Times New Roman"/>
          <w:sz w:val="24"/>
          <w:szCs w:val="24"/>
          <w:lang w:val="en-US"/>
        </w:rPr>
        <w:t>CNPq</w:t>
      </w:r>
      <w:proofErr w:type="spellEnd"/>
      <w:r w:rsidRPr="00561989">
        <w:rPr>
          <w:rFonts w:ascii="Times New Roman" w:eastAsia="Times New Roman" w:hAnsi="Times New Roman" w:cs="Times New Roman"/>
          <w:sz w:val="24"/>
          <w:szCs w:val="24"/>
          <w:lang w:val="en-US"/>
        </w:rPr>
        <w:t xml:space="preserve"> Research Group Directory (Lattes Platform) and supplemented with information from institutional sources. The data were organized into spreadsheets and analyzed through descriptive statistics and qualitative thematic categorization. A total of 114 research groups were identified, mostly concentrated in the Southeast and South regions, predominantly affiliated with federal public institutions and programs rated as CAPES Level 4 or 5. The analysis led to the classification of the groups into eight thematic categories, revealing the interdisciplinary nature of KM and its application in areas such as innovation, health, education, public policy, and technology. The results may support the strengthening of KM as a scientific and practical field in Brazil, promoting collaborative networks, expanding graduate programs in underrepresented regions, and guiding the formulation of policies to encourage interdisciplinary research. They also serve as a reference for researchers, public managers, and educational institutions interested in developing strategic initiatives in KM.</w:t>
      </w:r>
    </w:p>
    <w:p w14:paraId="47B30801" w14:textId="0224A1C3" w:rsidR="00D8471E" w:rsidRDefault="00233D29" w:rsidP="00444B9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sidR="00444B9C" w:rsidRPr="00561989">
        <w:rPr>
          <w:rFonts w:ascii="Times New Roman" w:eastAsia="Times New Roman" w:hAnsi="Times New Roman" w:cs="Times New Roman"/>
          <w:i/>
          <w:lang w:val="en-US"/>
        </w:rPr>
        <w:t>Knowledge Management, Research Groups, Mapping, Science an</w:t>
      </w:r>
      <w:r w:rsidR="00444B9C">
        <w:rPr>
          <w:rFonts w:ascii="Times New Roman" w:eastAsia="Times New Roman" w:hAnsi="Times New Roman" w:cs="Times New Roman"/>
          <w:i/>
          <w:lang w:val="en-US"/>
        </w:rPr>
        <w:t xml:space="preserve">d Technology, Graduate </w:t>
      </w:r>
      <w:proofErr w:type="spellStart"/>
      <w:r w:rsidR="00444B9C">
        <w:rPr>
          <w:rFonts w:ascii="Times New Roman" w:eastAsia="Times New Roman" w:hAnsi="Times New Roman" w:cs="Times New Roman"/>
          <w:i/>
          <w:lang w:val="en-US"/>
        </w:rPr>
        <w:t>Educatin</w:t>
      </w:r>
      <w:proofErr w:type="spellEnd"/>
      <w:r w:rsidR="00444B9C">
        <w:rPr>
          <w:rFonts w:ascii="Times New Roman" w:eastAsia="Times New Roman" w:hAnsi="Times New Roman" w:cs="Times New Roman"/>
          <w:i/>
          <w:lang w:val="en-US"/>
        </w:rPr>
        <w:t>.</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233D29">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4C00230D" w14:textId="62BEA6CF" w:rsidR="00444B9C" w:rsidRDefault="00444B9C" w:rsidP="00444B9C">
      <w:pPr>
        <w:spacing w:line="360" w:lineRule="auto"/>
        <w:ind w:firstLine="720"/>
        <w:jc w:val="both"/>
        <w:rPr>
          <w:rFonts w:ascii="Times New Roman" w:eastAsia="Times New Roman" w:hAnsi="Times New Roman" w:cs="Times New Roman"/>
          <w:sz w:val="24"/>
          <w:szCs w:val="24"/>
        </w:rPr>
      </w:pPr>
      <w:r w:rsidRPr="00B53A3F">
        <w:rPr>
          <w:rFonts w:ascii="Times New Roman" w:eastAsia="Times New Roman" w:hAnsi="Times New Roman" w:cs="Times New Roman"/>
          <w:sz w:val="24"/>
          <w:szCs w:val="24"/>
        </w:rPr>
        <w:t xml:space="preserve">A Gestão do Conhecimento (GC) consolidou-se nas últimas décadas como uma abordagem fundamental para o desenvolvimento organizacional, a inovação e a sustentabilidade em ambientes complexos e dinâmicos. De acordo com Davenport e </w:t>
      </w:r>
      <w:proofErr w:type="spellStart"/>
      <w:r w:rsidRPr="00B53A3F">
        <w:rPr>
          <w:rFonts w:ascii="Times New Roman" w:eastAsia="Times New Roman" w:hAnsi="Times New Roman" w:cs="Times New Roman"/>
          <w:sz w:val="24"/>
          <w:szCs w:val="24"/>
        </w:rPr>
        <w:t>Prusak</w:t>
      </w:r>
      <w:proofErr w:type="spellEnd"/>
      <w:r w:rsidRPr="00B53A3F">
        <w:rPr>
          <w:rFonts w:ascii="Times New Roman" w:eastAsia="Times New Roman" w:hAnsi="Times New Roman" w:cs="Times New Roman"/>
          <w:sz w:val="24"/>
          <w:szCs w:val="24"/>
        </w:rPr>
        <w:t xml:space="preserve"> (1998), a GC envolve um conjunto de processos organizacionais que visam a criação, compartilhamento e aplicação do conhecimento, promovendo vantagens competitivas sustentáveis. Para </w:t>
      </w:r>
      <w:proofErr w:type="spellStart"/>
      <w:r w:rsidRPr="00B53A3F">
        <w:rPr>
          <w:rFonts w:ascii="Times New Roman" w:eastAsia="Times New Roman" w:hAnsi="Times New Roman" w:cs="Times New Roman"/>
          <w:sz w:val="24"/>
          <w:szCs w:val="24"/>
        </w:rPr>
        <w:t>Nonaka</w:t>
      </w:r>
      <w:proofErr w:type="spellEnd"/>
      <w:r w:rsidRPr="00B53A3F">
        <w:rPr>
          <w:rFonts w:ascii="Times New Roman" w:eastAsia="Times New Roman" w:hAnsi="Times New Roman" w:cs="Times New Roman"/>
          <w:sz w:val="24"/>
          <w:szCs w:val="24"/>
        </w:rPr>
        <w:t xml:space="preserve"> e </w:t>
      </w:r>
      <w:proofErr w:type="spellStart"/>
      <w:r w:rsidRPr="00B53A3F">
        <w:rPr>
          <w:rFonts w:ascii="Times New Roman" w:eastAsia="Times New Roman" w:hAnsi="Times New Roman" w:cs="Times New Roman"/>
          <w:sz w:val="24"/>
          <w:szCs w:val="24"/>
        </w:rPr>
        <w:t>Takeuchi</w:t>
      </w:r>
      <w:proofErr w:type="spellEnd"/>
      <w:r w:rsidRPr="00B53A3F">
        <w:rPr>
          <w:rFonts w:ascii="Times New Roman" w:eastAsia="Times New Roman" w:hAnsi="Times New Roman" w:cs="Times New Roman"/>
          <w:sz w:val="24"/>
          <w:szCs w:val="24"/>
        </w:rPr>
        <w:t xml:space="preserve"> (1997), o conhecimento é produzido a partir da interação entre conhecimento tácito e explícito, num processo dinâmico representado pelo modelo SECI (Socialização, Externalização, Combinação e Internalização).</w:t>
      </w:r>
    </w:p>
    <w:p w14:paraId="3C4D8CC7" w14:textId="77777777" w:rsidR="00444B9C" w:rsidRPr="00B53A3F" w:rsidRDefault="00444B9C" w:rsidP="00444B9C">
      <w:pPr>
        <w:spacing w:line="360" w:lineRule="auto"/>
        <w:ind w:firstLine="720"/>
        <w:jc w:val="both"/>
        <w:rPr>
          <w:rFonts w:ascii="Times New Roman" w:eastAsia="Times New Roman" w:hAnsi="Times New Roman" w:cs="Times New Roman"/>
          <w:sz w:val="24"/>
          <w:szCs w:val="24"/>
        </w:rPr>
      </w:pPr>
      <w:r w:rsidRPr="00B53A3F">
        <w:rPr>
          <w:rFonts w:ascii="Times New Roman" w:eastAsia="Times New Roman" w:hAnsi="Times New Roman" w:cs="Times New Roman"/>
          <w:sz w:val="24"/>
          <w:szCs w:val="24"/>
        </w:rPr>
        <w:t xml:space="preserve">A GC visa sistematizar os processos de criação, compartilhamento, retenção e aplicação do conhecimento, tendo impacto direto na formação de competências, na resolução de problemas e na geração de valor. </w:t>
      </w:r>
      <w:proofErr w:type="spellStart"/>
      <w:r w:rsidRPr="00B53A3F">
        <w:rPr>
          <w:rFonts w:ascii="Times New Roman" w:eastAsia="Times New Roman" w:hAnsi="Times New Roman" w:cs="Times New Roman"/>
          <w:sz w:val="24"/>
          <w:szCs w:val="24"/>
        </w:rPr>
        <w:t>Wiig</w:t>
      </w:r>
      <w:proofErr w:type="spellEnd"/>
      <w:r w:rsidRPr="00B53A3F">
        <w:rPr>
          <w:rFonts w:ascii="Times New Roman" w:eastAsia="Times New Roman" w:hAnsi="Times New Roman" w:cs="Times New Roman"/>
          <w:sz w:val="24"/>
          <w:szCs w:val="24"/>
        </w:rPr>
        <w:t xml:space="preserve"> (1993) enfatiza que a GC tem como objetivo assegurar que o conhecimento apropriado esteja disponível para as pessoas certas, no momento certo, de forma que possam tomar decisões eficazes. No contexto brasileiro, Terra (2000) destaca a necessidade de adaptar a GC às especificidades culturais, tecnológicas e estruturais das organizações nacionais.</w:t>
      </w:r>
    </w:p>
    <w:p w14:paraId="061E8D15" w14:textId="77777777" w:rsidR="00444B9C" w:rsidRPr="00B53A3F" w:rsidRDefault="00444B9C" w:rsidP="00444B9C">
      <w:pPr>
        <w:spacing w:line="360" w:lineRule="auto"/>
        <w:ind w:firstLine="720"/>
        <w:jc w:val="both"/>
        <w:rPr>
          <w:rFonts w:ascii="Times New Roman" w:eastAsia="Times New Roman" w:hAnsi="Times New Roman" w:cs="Times New Roman"/>
          <w:sz w:val="24"/>
          <w:szCs w:val="24"/>
        </w:rPr>
      </w:pPr>
      <w:r w:rsidRPr="00B53A3F">
        <w:rPr>
          <w:rFonts w:ascii="Times New Roman" w:eastAsia="Times New Roman" w:hAnsi="Times New Roman" w:cs="Times New Roman"/>
          <w:sz w:val="24"/>
          <w:szCs w:val="24"/>
        </w:rPr>
        <w:t xml:space="preserve">No campo acadêmico, a GC tem sido objeto de crescente interesse, especialmente com o avanço da economia do conhecimento e das tecnologias digitais. </w:t>
      </w:r>
      <w:r>
        <w:rPr>
          <w:rFonts w:ascii="Times New Roman" w:eastAsia="Times New Roman" w:hAnsi="Times New Roman" w:cs="Times New Roman"/>
          <w:sz w:val="24"/>
          <w:szCs w:val="24"/>
        </w:rPr>
        <w:t xml:space="preserve">O surgimento </w:t>
      </w:r>
      <w:r w:rsidRPr="00B53A3F">
        <w:rPr>
          <w:rFonts w:ascii="Times New Roman" w:eastAsia="Times New Roman" w:hAnsi="Times New Roman" w:cs="Times New Roman"/>
          <w:sz w:val="24"/>
          <w:szCs w:val="24"/>
        </w:rPr>
        <w:t>de programas de pós-graduação e a formação de grupos de pesquisa especializados refletem o processo de institucionalização da área. Segundo Campos, Nogueira e Santos (2023), a GC está presente em diversas linhas de pesquisa da pós-graduação stricto sensu no Brasil, com enfoque em organizações públicas e privadas, tecnologias de informação, educação e inovação.</w:t>
      </w:r>
    </w:p>
    <w:p w14:paraId="5D17097D" w14:textId="77777777" w:rsidR="00444B9C" w:rsidRDefault="00444B9C" w:rsidP="00444B9C">
      <w:pPr>
        <w:spacing w:line="360" w:lineRule="auto"/>
        <w:ind w:firstLine="720"/>
        <w:jc w:val="both"/>
        <w:rPr>
          <w:rFonts w:ascii="Times New Roman" w:eastAsia="Times New Roman" w:hAnsi="Times New Roman" w:cs="Times New Roman"/>
          <w:sz w:val="24"/>
          <w:szCs w:val="24"/>
        </w:rPr>
      </w:pPr>
      <w:r w:rsidRPr="00B53A3F">
        <w:rPr>
          <w:rFonts w:ascii="Times New Roman" w:eastAsia="Times New Roman" w:hAnsi="Times New Roman" w:cs="Times New Roman"/>
          <w:sz w:val="24"/>
          <w:szCs w:val="24"/>
        </w:rPr>
        <w:lastRenderedPageBreak/>
        <w:t>Este artigo parte do reconhecimento de que os grupos de pesquisa são espaços privilegiados para a consolidação de campos do saber, exercendo papel estratégico na formação de recursos humanos, na produção do conhecimento e na interação entre universidade e sociedade. Nesse sentido, mapear os grupos que atuam com GC no Brasil é fundamental para compreender a configuração atual do campo, suas potencialidades e lacunas.</w:t>
      </w:r>
    </w:p>
    <w:p w14:paraId="41DCF663" w14:textId="77777777" w:rsidR="00D8471E" w:rsidRDefault="00D8471E" w:rsidP="00B838F3">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4E4FD05" w14:textId="77777777" w:rsidR="00D8471E" w:rsidRDefault="00233D29">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11FBA20F" w14:textId="524F9FC5"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 xml:space="preserve">A literatura clássica em GC, representada por autores como </w:t>
      </w:r>
      <w:proofErr w:type="spellStart"/>
      <w:r w:rsidRPr="00A64A85">
        <w:rPr>
          <w:rFonts w:ascii="Times New Roman" w:eastAsia="Times New Roman" w:hAnsi="Times New Roman" w:cs="Times New Roman"/>
          <w:sz w:val="24"/>
          <w:szCs w:val="24"/>
        </w:rPr>
        <w:t>Nonaka</w:t>
      </w:r>
      <w:proofErr w:type="spellEnd"/>
      <w:r w:rsidRPr="00A64A85">
        <w:rPr>
          <w:rFonts w:ascii="Times New Roman" w:eastAsia="Times New Roman" w:hAnsi="Times New Roman" w:cs="Times New Roman"/>
          <w:sz w:val="24"/>
          <w:szCs w:val="24"/>
        </w:rPr>
        <w:t xml:space="preserve"> e </w:t>
      </w:r>
      <w:proofErr w:type="spellStart"/>
      <w:r w:rsidRPr="00A64A85">
        <w:rPr>
          <w:rFonts w:ascii="Times New Roman" w:eastAsia="Times New Roman" w:hAnsi="Times New Roman" w:cs="Times New Roman"/>
          <w:sz w:val="24"/>
          <w:szCs w:val="24"/>
        </w:rPr>
        <w:t>Takeuchi</w:t>
      </w:r>
      <w:proofErr w:type="spellEnd"/>
      <w:r w:rsidRPr="00A64A85">
        <w:rPr>
          <w:rFonts w:ascii="Times New Roman" w:eastAsia="Times New Roman" w:hAnsi="Times New Roman" w:cs="Times New Roman"/>
          <w:sz w:val="24"/>
          <w:szCs w:val="24"/>
        </w:rPr>
        <w:t xml:space="preserve"> (1997), </w:t>
      </w:r>
      <w:proofErr w:type="spellStart"/>
      <w:r w:rsidRPr="00A64A85">
        <w:rPr>
          <w:rFonts w:ascii="Times New Roman" w:eastAsia="Times New Roman" w:hAnsi="Times New Roman" w:cs="Times New Roman"/>
          <w:sz w:val="24"/>
          <w:szCs w:val="24"/>
        </w:rPr>
        <w:t>Wiig</w:t>
      </w:r>
      <w:proofErr w:type="spellEnd"/>
      <w:r w:rsidRPr="00A64A85">
        <w:rPr>
          <w:rFonts w:ascii="Times New Roman" w:eastAsia="Times New Roman" w:hAnsi="Times New Roman" w:cs="Times New Roman"/>
          <w:sz w:val="24"/>
          <w:szCs w:val="24"/>
        </w:rPr>
        <w:t xml:space="preserve"> (1993) e Terra (2000), define a área como um conjunto de processos voltados à transformação do conhecimento tácito em explícito, a partir de dinâmicas organizacionais, tecnológicas e culturais. A GC é compreendida como um campo interdisciplinar, que incorpora saberes da administração, ciência da informação, tecnologia da informação, educação e ciências cognitivas. Esses elementos se articulam em contextos organizacionais que exigem respostas rápidas, inovação contínua e aprendizado coletivo.</w:t>
      </w:r>
    </w:p>
    <w:p w14:paraId="7D84DD08"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A compreensão epistemológica da Gestão do Conhecimento (GC) é fundamental para definir seus limites conceituais e enfrentar os desafios impostos por um cenário de crescente complexidade e inovação. Tradicionalmente ancorada na distinção entre conhecimento tácito e explícito (NONAKA; TAKEUCHI, 1997), a GC enfrenta hoje a necessidade de ampliar suas bases teóricas para contemplar novas formas de geração e circulação do conhecimento. A epistemologia da GC passa a englobar não apenas a interação entre saberes individuais e organizacionais, mas também a integração com inteligências algorítmicas, saberes coletivos e dados abertos (SORDI</w:t>
      </w:r>
      <w:r>
        <w:rPr>
          <w:rFonts w:ascii="Times New Roman" w:eastAsia="Times New Roman" w:hAnsi="Times New Roman" w:cs="Times New Roman"/>
          <w:sz w:val="24"/>
          <w:szCs w:val="24"/>
        </w:rPr>
        <w:t xml:space="preserve"> et al,</w:t>
      </w:r>
      <w:r w:rsidRPr="002760B4">
        <w:rPr>
          <w:rFonts w:ascii="Times New Roman" w:eastAsia="Times New Roman" w:hAnsi="Times New Roman" w:cs="Times New Roman"/>
          <w:sz w:val="24"/>
          <w:szCs w:val="24"/>
        </w:rPr>
        <w:t xml:space="preserve"> 2017).</w:t>
      </w:r>
    </w:p>
    <w:p w14:paraId="572AF63D" w14:textId="77777777" w:rsidR="00B838F3" w:rsidRPr="002760B4"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Nesse contexto, três fronteiras conceituais emergentes desafiam e ao mesmo tempo enriquecem a prática da GC. A Ciência Aberta propõe a democratização do conhecimento científico por meio da abertura de dados, metodologias e publicações, o que exige novos modelos de proteção, curadoria e validação do conhecimento organizacional (MAGALHÃES; HARTZ; QUONIAM, 2020; PACHECO; KERN, 2001). A GC deve, portanto, ser capaz de conciliar a gestão de conhecimento proprietário com a participação em ecossistemas abertos e colaborativos.</w:t>
      </w:r>
    </w:p>
    <w:p w14:paraId="2635709B" w14:textId="77777777" w:rsidR="00B838F3" w:rsidRPr="002760B4"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 xml:space="preserve">A segunda fronteira é a Inteligência Artificial, que introduz a produção de conhecimento por sistemas baseados em algoritmos, o que levanta dilemas éticos e epistemológicos sobre a explicabilidade e confiabilidade dos resultados produzidos (ESTRELA; SANTOS; SILVA, 2024). A GC precisa desenvolver mecanismos de integração </w:t>
      </w:r>
      <w:r w:rsidRPr="002760B4">
        <w:rPr>
          <w:rFonts w:ascii="Times New Roman" w:eastAsia="Times New Roman" w:hAnsi="Times New Roman" w:cs="Times New Roman"/>
          <w:sz w:val="24"/>
          <w:szCs w:val="24"/>
        </w:rPr>
        <w:lastRenderedPageBreak/>
        <w:t>entre o conhecimento humano e o algorítmico, considerando ainda os riscos de viés, desinformação e dependência excessiva da tecnologia (IGARASHI; RAUTENBERG; MEDEIROS, 2008).</w:t>
      </w:r>
    </w:p>
    <w:p w14:paraId="6B2DBA1B"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 xml:space="preserve">Por fim, a Transformação Digital amplia exponencialmente o volume e a velocidade dos fluxos informacionais, exigindo da GC estratégias robustas de curadoria, filtragem e segurança do conhecimento. Em um ambiente marcado por </w:t>
      </w:r>
      <w:proofErr w:type="spellStart"/>
      <w:r w:rsidRPr="002760B4">
        <w:rPr>
          <w:rFonts w:ascii="Times New Roman" w:eastAsia="Times New Roman" w:hAnsi="Times New Roman" w:cs="Times New Roman"/>
          <w:sz w:val="24"/>
          <w:szCs w:val="24"/>
        </w:rPr>
        <w:t>infoxicação</w:t>
      </w:r>
      <w:proofErr w:type="spellEnd"/>
      <w:r w:rsidRPr="002760B4">
        <w:rPr>
          <w:rFonts w:ascii="Times New Roman" w:eastAsia="Times New Roman" w:hAnsi="Times New Roman" w:cs="Times New Roman"/>
          <w:sz w:val="24"/>
          <w:szCs w:val="24"/>
        </w:rPr>
        <w:t>, riscos cibernéticos e trabalho remoto, a GC deve atuar como um sistema dinâmico de aprendizagem e adaptação (DIOGO; KOLBE JUNIOR; SANTOS, 2019; ANJOS; AIHARA; DAVILA, 2019).</w:t>
      </w:r>
    </w:p>
    <w:p w14:paraId="544988CE"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Estudos anteriores como Silva e Ferreira (2017) e</w:t>
      </w:r>
      <w:r>
        <w:rPr>
          <w:rFonts w:ascii="Times New Roman" w:eastAsia="Times New Roman" w:hAnsi="Times New Roman" w:cs="Times New Roman"/>
          <w:sz w:val="24"/>
          <w:szCs w:val="24"/>
        </w:rPr>
        <w:t xml:space="preserve"> Nascimento et al (2023)</w:t>
      </w:r>
      <w:r w:rsidRPr="00A64A85">
        <w:rPr>
          <w:rFonts w:ascii="Times New Roman" w:eastAsia="Times New Roman" w:hAnsi="Times New Roman" w:cs="Times New Roman"/>
          <w:sz w:val="24"/>
          <w:szCs w:val="24"/>
        </w:rPr>
        <w:t xml:space="preserve"> apontam para uma presença crescente da GC na pós-graduação, ainda que de forma fragmentada, com ênfase em abordagens instrumentais, tecnológicas e organizacionais. No entanto, a consolidação institucional da GC ainda enfrenta desafios em termos de padronização curricular, articulação entre teoria e prática, e reconhecimento como área autônoma</w:t>
      </w:r>
      <w:r>
        <w:rPr>
          <w:rFonts w:ascii="Times New Roman" w:eastAsia="Times New Roman" w:hAnsi="Times New Roman" w:cs="Times New Roman"/>
          <w:sz w:val="24"/>
          <w:szCs w:val="24"/>
        </w:rPr>
        <w:t>.</w:t>
      </w:r>
    </w:p>
    <w:p w14:paraId="24122F5D" w14:textId="77777777" w:rsidR="00B838F3" w:rsidRPr="00A64A85"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O papel dos grupos de pesquisa na consolidação de campos emergentes é amplamente reconhecido na literatura sobre políticas científicas. De acordo com</w:t>
      </w:r>
      <w:r>
        <w:rPr>
          <w:rFonts w:ascii="Times New Roman" w:eastAsia="Times New Roman" w:hAnsi="Times New Roman" w:cs="Times New Roman"/>
          <w:sz w:val="24"/>
          <w:szCs w:val="24"/>
        </w:rPr>
        <w:t xml:space="preserve"> </w:t>
      </w:r>
      <w:r w:rsidRPr="00590130">
        <w:rPr>
          <w:rFonts w:ascii="Times New Roman" w:eastAsia="Times New Roman" w:hAnsi="Times New Roman" w:cs="Times New Roman"/>
          <w:sz w:val="24"/>
          <w:szCs w:val="24"/>
        </w:rPr>
        <w:t>Santos et al (2021)</w:t>
      </w:r>
      <w:r w:rsidRPr="00A64A85">
        <w:rPr>
          <w:rFonts w:ascii="Times New Roman" w:eastAsia="Times New Roman" w:hAnsi="Times New Roman" w:cs="Times New Roman"/>
          <w:sz w:val="24"/>
          <w:szCs w:val="24"/>
        </w:rPr>
        <w:t xml:space="preserve">, os grupos atuam como núcleos de inovação, promovendo o avanço do conhecimento por meio de agendas colaborativas e transdisciplinares. Eles viabilizam a formação de redes de pesquisadores, a captação de recursos e a qualificação da produção científica. </w:t>
      </w:r>
      <w:proofErr w:type="spellStart"/>
      <w:r w:rsidRPr="00A64A85">
        <w:rPr>
          <w:rFonts w:ascii="Times New Roman" w:eastAsia="Times New Roman" w:hAnsi="Times New Roman" w:cs="Times New Roman"/>
          <w:sz w:val="24"/>
          <w:szCs w:val="24"/>
        </w:rPr>
        <w:t>Balbachevsky</w:t>
      </w:r>
      <w:proofErr w:type="spellEnd"/>
      <w:r w:rsidRPr="00A64A85">
        <w:rPr>
          <w:rFonts w:ascii="Times New Roman" w:eastAsia="Times New Roman" w:hAnsi="Times New Roman" w:cs="Times New Roman"/>
          <w:sz w:val="24"/>
          <w:szCs w:val="24"/>
        </w:rPr>
        <w:t xml:space="preserve"> (2005) destaca que a pós-graduação brasileira estruturou-se em torno dos grupos de pesquisa, os quais servem como base para a orientação de teses, desenvolvimento de projetos e articulação com a sociedade.</w:t>
      </w:r>
    </w:p>
    <w:p w14:paraId="23047AD4" w14:textId="6B02A386" w:rsidR="00B838F3" w:rsidRPr="00A64A85"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Além disso, a literatura sobre ciência, tecnologia e inovação (CT&amp;I) ressalta que os grupos de pesquisa funcionam como indicadores da capacidade científica de uma instituição,</w:t>
      </w:r>
      <w:r w:rsidRPr="00B838F3">
        <w:rPr>
          <w:rFonts w:ascii="Times New Roman" w:eastAsia="Times New Roman" w:hAnsi="Times New Roman" w:cs="Times New Roman"/>
          <w:sz w:val="24"/>
          <w:szCs w:val="24"/>
        </w:rPr>
        <w:t xml:space="preserve"> </w:t>
      </w:r>
      <w:r w:rsidRPr="00A64A85">
        <w:rPr>
          <w:rFonts w:ascii="Times New Roman" w:eastAsia="Times New Roman" w:hAnsi="Times New Roman" w:cs="Times New Roman"/>
          <w:sz w:val="24"/>
          <w:szCs w:val="24"/>
        </w:rPr>
        <w:t>influenciando diretamente sua posição nos rankings acadêmicos e sua visibilidade internacional (</w:t>
      </w:r>
      <w:r w:rsidRPr="00634E77">
        <w:rPr>
          <w:rFonts w:ascii="Times New Roman" w:eastAsia="Times New Roman" w:hAnsi="Times New Roman" w:cs="Times New Roman"/>
          <w:sz w:val="24"/>
          <w:szCs w:val="24"/>
        </w:rPr>
        <w:t>CHIARINI</w:t>
      </w:r>
      <w:r>
        <w:rPr>
          <w:rFonts w:ascii="Times New Roman" w:eastAsia="Times New Roman" w:hAnsi="Times New Roman" w:cs="Times New Roman"/>
          <w:sz w:val="24"/>
          <w:szCs w:val="24"/>
        </w:rPr>
        <w:t xml:space="preserve"> </w:t>
      </w:r>
      <w:r w:rsidRPr="00634E77">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2024</w:t>
      </w:r>
      <w:r w:rsidRPr="00A64A85">
        <w:rPr>
          <w:rFonts w:ascii="Times New Roman" w:eastAsia="Times New Roman" w:hAnsi="Times New Roman" w:cs="Times New Roman"/>
          <w:sz w:val="24"/>
          <w:szCs w:val="24"/>
        </w:rPr>
        <w:t>). No campo específico da GC, o Diretório dos Grupos de Pesquisa do CNPq tem revelado uma expansão do número de grupos registrados, refletindo a relevância crescente do tema na agenda científica nacional. Estudos como o de Campos, Nogueira e Santos (2023) mostram que há grande diversidade de enfoques dentro dos grupos, incluindo desde investigações epistemológicas até aplicações em saúde, governo, indústria e educação.</w:t>
      </w:r>
    </w:p>
    <w:p w14:paraId="53B12148" w14:textId="5F483999" w:rsidR="00B838F3" w:rsidRPr="002760B4"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 xml:space="preserve">Dessa forma, a análise dos grupos de pesquisa permite compreender o grau de institucionalização da GC, suas articulações interdisciplinares e seu potencial de impacto </w:t>
      </w:r>
      <w:r w:rsidRPr="00A64A85">
        <w:rPr>
          <w:rFonts w:ascii="Times New Roman" w:eastAsia="Times New Roman" w:hAnsi="Times New Roman" w:cs="Times New Roman"/>
          <w:sz w:val="24"/>
          <w:szCs w:val="24"/>
        </w:rPr>
        <w:lastRenderedPageBreak/>
        <w:t>científico e social, constituindo-se em uma abordagem estratégica para orientar políticas acad</w:t>
      </w:r>
      <w:r>
        <w:rPr>
          <w:rFonts w:ascii="Times New Roman" w:eastAsia="Times New Roman" w:hAnsi="Times New Roman" w:cs="Times New Roman"/>
          <w:sz w:val="24"/>
          <w:szCs w:val="24"/>
        </w:rPr>
        <w:t>êmicas e práticas profissionais.</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233D29">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0258F316" w14:textId="4C8FCF56" w:rsidR="00B838F3" w:rsidRPr="00A64A85"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Este estudo caracteriza-se como uma pesquisa de natureza exploratória e documental, com abordagem qualitativa e quantitativa. A pesquisa exploratória tem como objetivo proporcionar maior familiaridade com o problema, de modo a torná-lo mais explícito, e está associada à identificação de padrões, lacunas e tendências (GIL, 2019). Já a abordagem documental fundamenta-se na análise de fontes secundárias disponíveis publicamente, permitindo a sistematização de dados institucionais e acadêmicos.</w:t>
      </w:r>
    </w:p>
    <w:p w14:paraId="297238D5" w14:textId="77777777" w:rsidR="00B838F3" w:rsidRPr="00A64A85"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A coleta de dados foi realizada no primeiro semestre de 2025, com base no Diretório dos Grupos de Pesquisa do Conselho Nacional de Desenvolvimento Científico e Tecnológico (CNPq), disponível na Plataforma Lattes. Como critério de inclusão, foram considerados apenas os grupos ativos até o ano de 2024 que apresentassem, de forma explícita, o termo "Gestão do Conhecimento" no nome do grupo, nas linhas de pesquisa ou entre as palavras-chave cadastradas. Para qualificar os dados, também foram consultados os sites institucionais das respectivas instituições de ensino e pesquisa, bem como documentos públicos como regimentos, páginas dos programas de pós-graduação e currículos Lattes dos líderes dos grupos.</w:t>
      </w:r>
    </w:p>
    <w:p w14:paraId="705FC36E" w14:textId="4411FDF1" w:rsidR="00D8471E"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As variáveis analisadas incluíram: (i) nome do grupo de pesquisa; (</w:t>
      </w:r>
      <w:proofErr w:type="spellStart"/>
      <w:r w:rsidRPr="00A64A85">
        <w:rPr>
          <w:rFonts w:ascii="Times New Roman" w:eastAsia="Times New Roman" w:hAnsi="Times New Roman" w:cs="Times New Roman"/>
          <w:sz w:val="24"/>
          <w:szCs w:val="24"/>
        </w:rPr>
        <w:t>ii</w:t>
      </w:r>
      <w:proofErr w:type="spellEnd"/>
      <w:r w:rsidRPr="00A64A85">
        <w:rPr>
          <w:rFonts w:ascii="Times New Roman" w:eastAsia="Times New Roman" w:hAnsi="Times New Roman" w:cs="Times New Roman"/>
          <w:sz w:val="24"/>
          <w:szCs w:val="24"/>
        </w:rPr>
        <w:t>) nome e sigla da instituição de ensino vinculada; (</w:t>
      </w:r>
      <w:proofErr w:type="spellStart"/>
      <w:r w:rsidRPr="00A64A85">
        <w:rPr>
          <w:rFonts w:ascii="Times New Roman" w:eastAsia="Times New Roman" w:hAnsi="Times New Roman" w:cs="Times New Roman"/>
          <w:sz w:val="24"/>
          <w:szCs w:val="24"/>
        </w:rPr>
        <w:t>iii</w:t>
      </w:r>
      <w:proofErr w:type="spellEnd"/>
      <w:r w:rsidRPr="00A64A85">
        <w:rPr>
          <w:rFonts w:ascii="Times New Roman" w:eastAsia="Times New Roman" w:hAnsi="Times New Roman" w:cs="Times New Roman"/>
          <w:sz w:val="24"/>
          <w:szCs w:val="24"/>
        </w:rPr>
        <w:t>) região geográfica (Norte, Nordeste, Centro-Oeste, Sudeste e Sul); (</w:t>
      </w:r>
      <w:proofErr w:type="spellStart"/>
      <w:r w:rsidRPr="00A64A85">
        <w:rPr>
          <w:rFonts w:ascii="Times New Roman" w:eastAsia="Times New Roman" w:hAnsi="Times New Roman" w:cs="Times New Roman"/>
          <w:sz w:val="24"/>
          <w:szCs w:val="24"/>
        </w:rPr>
        <w:t>iv</w:t>
      </w:r>
      <w:proofErr w:type="spellEnd"/>
      <w:r w:rsidRPr="00A64A85">
        <w:rPr>
          <w:rFonts w:ascii="Times New Roman" w:eastAsia="Times New Roman" w:hAnsi="Times New Roman" w:cs="Times New Roman"/>
          <w:sz w:val="24"/>
          <w:szCs w:val="24"/>
        </w:rPr>
        <w:t>) grande área e área do conhecimento segundo a classificação da CAPES; (v) área de avaliação e código do programa de pós-graduação, quando aplicável; (vi) titulação ofertada (mestrado, doutorado, mestrado profissional); (</w:t>
      </w:r>
      <w:proofErr w:type="spellStart"/>
      <w:r w:rsidRPr="00A64A85">
        <w:rPr>
          <w:rFonts w:ascii="Times New Roman" w:eastAsia="Times New Roman" w:hAnsi="Times New Roman" w:cs="Times New Roman"/>
          <w:sz w:val="24"/>
          <w:szCs w:val="24"/>
        </w:rPr>
        <w:t>vii</w:t>
      </w:r>
      <w:proofErr w:type="spellEnd"/>
      <w:r w:rsidRPr="00A64A85">
        <w:rPr>
          <w:rFonts w:ascii="Times New Roman" w:eastAsia="Times New Roman" w:hAnsi="Times New Roman" w:cs="Times New Roman"/>
          <w:sz w:val="24"/>
          <w:szCs w:val="24"/>
        </w:rPr>
        <w:t>) conceito CAPES atribuído ao programa vinculado e (</w:t>
      </w:r>
      <w:proofErr w:type="spellStart"/>
      <w:r>
        <w:rPr>
          <w:rFonts w:ascii="Times New Roman" w:eastAsia="Times New Roman" w:hAnsi="Times New Roman" w:cs="Times New Roman"/>
          <w:sz w:val="24"/>
          <w:szCs w:val="24"/>
        </w:rPr>
        <w:t>vii</w:t>
      </w:r>
      <w:r w:rsidRPr="00A64A85">
        <w:rPr>
          <w:rFonts w:ascii="Times New Roman" w:eastAsia="Times New Roman" w:hAnsi="Times New Roman" w:cs="Times New Roman"/>
          <w:sz w:val="24"/>
          <w:szCs w:val="24"/>
        </w:rPr>
        <w:t>i</w:t>
      </w:r>
      <w:proofErr w:type="spellEnd"/>
      <w:r w:rsidRPr="00A64A85">
        <w:rPr>
          <w:rFonts w:ascii="Times New Roman" w:eastAsia="Times New Roman" w:hAnsi="Times New Roman" w:cs="Times New Roman"/>
          <w:sz w:val="24"/>
          <w:szCs w:val="24"/>
        </w:rPr>
        <w:t>) vinculação com programas de pós-graduação stricto sensu reconhecidos pela CAPES.</w:t>
      </w:r>
    </w:p>
    <w:p w14:paraId="6D8C4985"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Os dados foram organizados em uma planilha eletrônica padronizada, permitindo o tratamento sistemático das informações. A análise foi conduzida em duas etapas: inicialmente, por meio de estatística descritiva simples (frequências e distribuições percentuais), e, posteriormente, por categorização qualitativa das principais linhas de pesquisa e temáticas abordadas pelos grupos. A integração entre os dados quantitativos e qualitativos possibilitou uma compreensão mais abrangente sobre a presença, distribuição e diversidade dos grupos de pesquisa em Gestão do Conhecimento no Brasil.</w:t>
      </w:r>
    </w:p>
    <w:p w14:paraId="3FB71423"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233D29">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447BBB36" w14:textId="0313AD75" w:rsidR="00B838F3" w:rsidRPr="00F0405E"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 xml:space="preserve">Nesta seção são apresentados e discutidos os principais resultados obtidos a partir da análise quantitativa e qualitativa dos dados coletados sobre os </w:t>
      </w:r>
      <w:r>
        <w:rPr>
          <w:rFonts w:ascii="Times New Roman" w:eastAsia="Times New Roman" w:hAnsi="Times New Roman" w:cs="Times New Roman"/>
          <w:sz w:val="24"/>
          <w:szCs w:val="24"/>
        </w:rPr>
        <w:t xml:space="preserve">Grupos de Pesquisa dos </w:t>
      </w:r>
      <w:r w:rsidRPr="00F0405E">
        <w:rPr>
          <w:rFonts w:ascii="Times New Roman" w:eastAsia="Times New Roman" w:hAnsi="Times New Roman" w:cs="Times New Roman"/>
          <w:sz w:val="24"/>
          <w:szCs w:val="24"/>
        </w:rPr>
        <w:t>programas de pós-graduação em Gestão do Conhecimento (GC) no Brasil. Inicialmente são apresentados dados descritivos que caracterizam os programas quanto à distribuição geográfica, conceito CAPES, tipo de instituição e áreas básicas de avaliação, utilizando tabelas que facilitam a visualização e interpretação dos achados. Na sequência, são realizadas análises qualitativas sobre as linhas de pesquisa predominantes e enfoques metodológicos adotados pelas instituições analisadas, permitindo identificar tendências, lacunas regionais e temáticas, e potenciais áreas de desenvolvimento e inovação acadêmica.</w:t>
      </w:r>
    </w:p>
    <w:p w14:paraId="59C9D909"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A discussão dos resultados enfatiza os desafios para a consolidação da GC como campo acadêmico interdisciplinar e estratégico, destacando a necessidade de políticas públicas específicas para redução das desigualdades regionais observadas. Além disso, busca-se interpretar os resultados à luz do referencial teórico apresentado, comparando-os com estudos anteriores sobre o tema e ressaltando as contribuições práticas e teóricas do presente trabalho para o avanço da Gestão do Conhecimento na pós-graduação brasileira.</w:t>
      </w:r>
    </w:p>
    <w:p w14:paraId="2F9826FB" w14:textId="77777777" w:rsidR="00B838F3" w:rsidRPr="00F0405E"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A Tabela</w:t>
      </w:r>
      <w:r>
        <w:rPr>
          <w:rFonts w:ascii="Times New Roman" w:eastAsia="Times New Roman" w:hAnsi="Times New Roman" w:cs="Times New Roman"/>
          <w:sz w:val="24"/>
          <w:szCs w:val="24"/>
        </w:rPr>
        <w:t xml:space="preserve"> 1</w:t>
      </w:r>
      <w:r w:rsidRPr="00F0405E">
        <w:rPr>
          <w:rFonts w:ascii="Times New Roman" w:eastAsia="Times New Roman" w:hAnsi="Times New Roman" w:cs="Times New Roman"/>
          <w:sz w:val="24"/>
          <w:szCs w:val="24"/>
        </w:rPr>
        <w:t xml:space="preserve"> apresenta a distribuição dos </w:t>
      </w:r>
      <w:r>
        <w:rPr>
          <w:rFonts w:ascii="Times New Roman" w:eastAsia="Times New Roman" w:hAnsi="Times New Roman" w:cs="Times New Roman"/>
          <w:sz w:val="24"/>
          <w:szCs w:val="24"/>
        </w:rPr>
        <w:t>grupos de pesquisa dentro dos programas</w:t>
      </w:r>
      <w:r w:rsidRPr="00F0405E">
        <w:rPr>
          <w:rFonts w:ascii="Times New Roman" w:eastAsia="Times New Roman" w:hAnsi="Times New Roman" w:cs="Times New Roman"/>
          <w:sz w:val="24"/>
          <w:szCs w:val="24"/>
        </w:rPr>
        <w:t xml:space="preserve"> relacionados à Gestão do Conhecimento (GC) segundo as áreas básicas de avaliação da CAPES. Observa-se que a área com maior frequência é a de Ciências Sociais Aplicadas, concentrando 26,3% (n = 30) dos programas analisados. Este resultado é consistente com o perfil interdisciplinar e aplicado da Gestão do Conhecimento, frequentemente vinculada a temas organizacionais, gerenciais e estratégicos típicos das Ciências Sociais Aplicadas.</w:t>
      </w:r>
    </w:p>
    <w:p w14:paraId="5C884C06"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Em seguida destaca-se a área de Ciência da Informação, que representa 14% (n = 16) dos programas. Este dado corrobora a afinidade tradicional entre a Gestão do Conhecimento e</w:t>
      </w:r>
      <w:r>
        <w:rPr>
          <w:rFonts w:ascii="Times New Roman" w:eastAsia="Times New Roman" w:hAnsi="Times New Roman" w:cs="Times New Roman"/>
          <w:sz w:val="24"/>
          <w:szCs w:val="24"/>
        </w:rPr>
        <w:t xml:space="preserve"> </w:t>
      </w:r>
      <w:r w:rsidRPr="00F0405E">
        <w:rPr>
          <w:rFonts w:ascii="Times New Roman" w:eastAsia="Times New Roman" w:hAnsi="Times New Roman" w:cs="Times New Roman"/>
          <w:sz w:val="24"/>
          <w:szCs w:val="24"/>
        </w:rPr>
        <w:t>estudos sobre organização e gestão informacional, fluxos de informação e tecnologias associadas ao conhecimento explícito e tácito.</w:t>
      </w:r>
    </w:p>
    <w:p w14:paraId="0A325D80" w14:textId="77777777" w:rsidR="00095A59" w:rsidRPr="00F0405E" w:rsidRDefault="00095A59" w:rsidP="00095A5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As áreas relacionadas à Engenharia, Tecnologia e Gestão (12,3%, n = 14), Ciências Exatas e da Terra (9,6%, n = 11) e as diversas subáreas das Engenharias (Engenharias gerais, Engenharia de Produção, Engenharias II e I</w:t>
      </w:r>
      <w:r>
        <w:rPr>
          <w:rFonts w:ascii="Times New Roman" w:eastAsia="Times New Roman" w:hAnsi="Times New Roman" w:cs="Times New Roman"/>
          <w:sz w:val="24"/>
          <w:szCs w:val="24"/>
        </w:rPr>
        <w:t>I</w:t>
      </w:r>
      <w:r w:rsidRPr="00F0405E">
        <w:rPr>
          <w:rFonts w:ascii="Times New Roman" w:eastAsia="Times New Roman" w:hAnsi="Times New Roman" w:cs="Times New Roman"/>
          <w:sz w:val="24"/>
          <w:szCs w:val="24"/>
        </w:rPr>
        <w:t xml:space="preserve">I), que somam cerca de 14,1% (n = 16), também têm relevância expressiva. Esses resultados indicam a aplicabilidade prática da GC em contextos produtivos, industriais e tecnológicos, reforçando a importância do tema em áreas </w:t>
      </w:r>
      <w:r w:rsidRPr="00F0405E">
        <w:rPr>
          <w:rFonts w:ascii="Times New Roman" w:eastAsia="Times New Roman" w:hAnsi="Times New Roman" w:cs="Times New Roman"/>
          <w:sz w:val="24"/>
          <w:szCs w:val="24"/>
        </w:rPr>
        <w:lastRenderedPageBreak/>
        <w:t>técnicas que exigem constante inovação, gestão eficiente de ativos intangíveis e integração do conhecimento organizacional.</w:t>
      </w:r>
    </w:p>
    <w:p w14:paraId="73D95E30" w14:textId="77777777" w:rsidR="00B838F3" w:rsidRPr="00106440"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4278A5">
        <w:rPr>
          <w:rFonts w:ascii="Times New Roman" w:eastAsia="Times New Roman" w:hAnsi="Times New Roman" w:cs="Times New Roman"/>
          <w:sz w:val="20"/>
          <w:szCs w:val="20"/>
        </w:rPr>
        <w:t>Tabela 1</w:t>
      </w:r>
      <w:r>
        <w:rPr>
          <w:rFonts w:ascii="Times New Roman" w:eastAsia="Times New Roman" w:hAnsi="Times New Roman" w:cs="Times New Roman"/>
          <w:sz w:val="20"/>
          <w:szCs w:val="20"/>
        </w:rPr>
        <w:t xml:space="preserve"> -</w:t>
      </w:r>
      <w:r w:rsidRPr="004278A5">
        <w:rPr>
          <w:rFonts w:ascii="Times New Roman" w:eastAsia="Times New Roman" w:hAnsi="Times New Roman" w:cs="Times New Roman"/>
          <w:sz w:val="20"/>
          <w:szCs w:val="20"/>
        </w:rPr>
        <w:t xml:space="preserve"> Distribuiçã</w:t>
      </w:r>
      <w:r>
        <w:rPr>
          <w:rFonts w:ascii="Times New Roman" w:eastAsia="Times New Roman" w:hAnsi="Times New Roman" w:cs="Times New Roman"/>
          <w:sz w:val="20"/>
          <w:szCs w:val="20"/>
        </w:rPr>
        <w:t>o dos Programas por Área Básica</w:t>
      </w:r>
    </w:p>
    <w:tbl>
      <w:tblPr>
        <w:tblW w:w="0" w:type="auto"/>
        <w:jc w:val="center"/>
        <w:tblCellMar>
          <w:left w:w="70" w:type="dxa"/>
          <w:right w:w="70" w:type="dxa"/>
        </w:tblCellMar>
        <w:tblLook w:val="04A0" w:firstRow="1" w:lastRow="0" w:firstColumn="1" w:lastColumn="0" w:noHBand="0" w:noVBand="1"/>
      </w:tblPr>
      <w:tblGrid>
        <w:gridCol w:w="2795"/>
        <w:gridCol w:w="1107"/>
        <w:gridCol w:w="1262"/>
      </w:tblGrid>
      <w:tr w:rsidR="00B838F3" w:rsidRPr="00F0405E" w14:paraId="47CE57D6" w14:textId="77777777" w:rsidTr="00175FEC">
        <w:trPr>
          <w:cantSplit/>
          <w:jc w:val="center"/>
        </w:trPr>
        <w:tc>
          <w:tcPr>
            <w:tcW w:w="0" w:type="auto"/>
            <w:tcBorders>
              <w:top w:val="single" w:sz="4" w:space="0" w:color="auto"/>
              <w:left w:val="nil"/>
              <w:bottom w:val="single" w:sz="4" w:space="0" w:color="auto"/>
              <w:right w:val="nil"/>
            </w:tcBorders>
            <w:noWrap/>
            <w:vAlign w:val="center"/>
            <w:hideMark/>
          </w:tcPr>
          <w:p w14:paraId="553317D9" w14:textId="77777777" w:rsidR="00B838F3" w:rsidRPr="00F0405E" w:rsidRDefault="00B838F3" w:rsidP="00175FEC">
            <w:pPr>
              <w:spacing w:line="240" w:lineRule="auto"/>
              <w:jc w:val="center"/>
              <w:rPr>
                <w:rFonts w:ascii="Times New Roman" w:eastAsia="Times New Roman" w:hAnsi="Times New Roman" w:cs="Times New Roman"/>
                <w:b/>
                <w:bCs/>
                <w:color w:val="000000"/>
                <w:sz w:val="20"/>
                <w:szCs w:val="20"/>
              </w:rPr>
            </w:pPr>
            <w:r w:rsidRPr="00F0405E">
              <w:rPr>
                <w:rFonts w:ascii="Times New Roman" w:eastAsia="Times New Roman" w:hAnsi="Times New Roman" w:cs="Times New Roman"/>
                <w:b/>
                <w:bCs/>
                <w:color w:val="000000"/>
                <w:sz w:val="20"/>
                <w:szCs w:val="20"/>
              </w:rPr>
              <w:t>Área Básica</w:t>
            </w:r>
          </w:p>
        </w:tc>
        <w:tc>
          <w:tcPr>
            <w:tcW w:w="0" w:type="auto"/>
            <w:tcBorders>
              <w:top w:val="single" w:sz="4" w:space="0" w:color="auto"/>
              <w:left w:val="nil"/>
              <w:bottom w:val="single" w:sz="4" w:space="0" w:color="auto"/>
              <w:right w:val="nil"/>
            </w:tcBorders>
            <w:noWrap/>
            <w:vAlign w:val="center"/>
            <w:hideMark/>
          </w:tcPr>
          <w:p w14:paraId="2426CD9B" w14:textId="77777777" w:rsidR="00B838F3" w:rsidRPr="00F0405E" w:rsidRDefault="00B838F3" w:rsidP="00175FEC">
            <w:pPr>
              <w:spacing w:line="240" w:lineRule="auto"/>
              <w:jc w:val="center"/>
              <w:rPr>
                <w:rFonts w:ascii="Times New Roman" w:eastAsia="Times New Roman" w:hAnsi="Times New Roman" w:cs="Times New Roman"/>
                <w:b/>
                <w:bCs/>
                <w:color w:val="000000"/>
                <w:sz w:val="20"/>
                <w:szCs w:val="20"/>
              </w:rPr>
            </w:pPr>
            <w:r w:rsidRPr="00F0405E">
              <w:rPr>
                <w:rFonts w:ascii="Times New Roman" w:eastAsia="Times New Roman" w:hAnsi="Times New Roman" w:cs="Times New Roman"/>
                <w:b/>
                <w:bCs/>
                <w:color w:val="000000"/>
                <w:sz w:val="20"/>
                <w:szCs w:val="20"/>
              </w:rPr>
              <w:t>Frequência</w:t>
            </w:r>
          </w:p>
        </w:tc>
        <w:tc>
          <w:tcPr>
            <w:tcW w:w="0" w:type="auto"/>
            <w:tcBorders>
              <w:top w:val="single" w:sz="4" w:space="0" w:color="auto"/>
              <w:left w:val="nil"/>
              <w:bottom w:val="single" w:sz="4" w:space="0" w:color="auto"/>
              <w:right w:val="nil"/>
            </w:tcBorders>
            <w:noWrap/>
            <w:vAlign w:val="center"/>
            <w:hideMark/>
          </w:tcPr>
          <w:p w14:paraId="7FAA6AC1" w14:textId="77777777" w:rsidR="00B838F3" w:rsidRPr="00F0405E" w:rsidRDefault="00B838F3" w:rsidP="00175FEC">
            <w:pPr>
              <w:spacing w:line="240" w:lineRule="auto"/>
              <w:jc w:val="center"/>
              <w:rPr>
                <w:rFonts w:ascii="Times New Roman" w:eastAsia="Times New Roman" w:hAnsi="Times New Roman" w:cs="Times New Roman"/>
                <w:b/>
                <w:bCs/>
                <w:color w:val="000000"/>
                <w:sz w:val="20"/>
                <w:szCs w:val="20"/>
              </w:rPr>
            </w:pPr>
            <w:r w:rsidRPr="00F0405E">
              <w:rPr>
                <w:rFonts w:ascii="Times New Roman" w:eastAsia="Times New Roman" w:hAnsi="Times New Roman" w:cs="Times New Roman"/>
                <w:b/>
                <w:bCs/>
                <w:color w:val="000000"/>
                <w:sz w:val="20"/>
                <w:szCs w:val="20"/>
              </w:rPr>
              <w:t>Porcentagem</w:t>
            </w:r>
          </w:p>
        </w:tc>
      </w:tr>
      <w:tr w:rsidR="00B838F3" w:rsidRPr="00F0405E" w14:paraId="17AEE355" w14:textId="77777777" w:rsidTr="00175FEC">
        <w:trPr>
          <w:cantSplit/>
          <w:jc w:val="center"/>
        </w:trPr>
        <w:tc>
          <w:tcPr>
            <w:tcW w:w="0" w:type="auto"/>
            <w:tcBorders>
              <w:top w:val="nil"/>
              <w:left w:val="nil"/>
              <w:bottom w:val="nil"/>
              <w:right w:val="nil"/>
            </w:tcBorders>
            <w:noWrap/>
            <w:vAlign w:val="center"/>
            <w:hideMark/>
          </w:tcPr>
          <w:p w14:paraId="520C91F8"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Ciências Sociais Aplicadas</w:t>
            </w:r>
          </w:p>
        </w:tc>
        <w:tc>
          <w:tcPr>
            <w:tcW w:w="0" w:type="auto"/>
            <w:tcBorders>
              <w:top w:val="nil"/>
              <w:left w:val="nil"/>
              <w:bottom w:val="nil"/>
              <w:right w:val="nil"/>
            </w:tcBorders>
            <w:noWrap/>
            <w:vAlign w:val="center"/>
            <w:hideMark/>
          </w:tcPr>
          <w:p w14:paraId="4748C025"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30</w:t>
            </w:r>
          </w:p>
        </w:tc>
        <w:tc>
          <w:tcPr>
            <w:tcW w:w="0" w:type="auto"/>
            <w:tcBorders>
              <w:top w:val="nil"/>
              <w:left w:val="nil"/>
              <w:bottom w:val="nil"/>
              <w:right w:val="nil"/>
            </w:tcBorders>
            <w:noWrap/>
            <w:vAlign w:val="center"/>
            <w:hideMark/>
          </w:tcPr>
          <w:p w14:paraId="4D00183E"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26,3</w:t>
            </w:r>
          </w:p>
        </w:tc>
      </w:tr>
      <w:tr w:rsidR="00B838F3" w:rsidRPr="00F0405E" w14:paraId="2B4DDEF1" w14:textId="77777777" w:rsidTr="00175FEC">
        <w:trPr>
          <w:cantSplit/>
          <w:jc w:val="center"/>
        </w:trPr>
        <w:tc>
          <w:tcPr>
            <w:tcW w:w="0" w:type="auto"/>
            <w:tcBorders>
              <w:top w:val="nil"/>
              <w:left w:val="nil"/>
              <w:bottom w:val="nil"/>
              <w:right w:val="nil"/>
            </w:tcBorders>
            <w:noWrap/>
            <w:vAlign w:val="center"/>
            <w:hideMark/>
          </w:tcPr>
          <w:p w14:paraId="2B54016E"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Ciência da Informação</w:t>
            </w:r>
          </w:p>
        </w:tc>
        <w:tc>
          <w:tcPr>
            <w:tcW w:w="0" w:type="auto"/>
            <w:tcBorders>
              <w:top w:val="nil"/>
              <w:left w:val="nil"/>
              <w:bottom w:val="nil"/>
              <w:right w:val="nil"/>
            </w:tcBorders>
            <w:noWrap/>
            <w:vAlign w:val="center"/>
            <w:hideMark/>
          </w:tcPr>
          <w:p w14:paraId="50C7B2B9"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16</w:t>
            </w:r>
          </w:p>
        </w:tc>
        <w:tc>
          <w:tcPr>
            <w:tcW w:w="0" w:type="auto"/>
            <w:tcBorders>
              <w:top w:val="nil"/>
              <w:left w:val="nil"/>
              <w:bottom w:val="nil"/>
              <w:right w:val="nil"/>
            </w:tcBorders>
            <w:noWrap/>
            <w:vAlign w:val="center"/>
            <w:hideMark/>
          </w:tcPr>
          <w:p w14:paraId="18205447"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14</w:t>
            </w:r>
          </w:p>
        </w:tc>
      </w:tr>
      <w:tr w:rsidR="00B838F3" w:rsidRPr="00F0405E" w14:paraId="16064E1D" w14:textId="77777777" w:rsidTr="00175FEC">
        <w:trPr>
          <w:cantSplit/>
          <w:jc w:val="center"/>
        </w:trPr>
        <w:tc>
          <w:tcPr>
            <w:tcW w:w="0" w:type="auto"/>
            <w:tcBorders>
              <w:top w:val="nil"/>
              <w:left w:val="nil"/>
              <w:bottom w:val="nil"/>
              <w:right w:val="nil"/>
            </w:tcBorders>
            <w:noWrap/>
            <w:vAlign w:val="center"/>
            <w:hideMark/>
          </w:tcPr>
          <w:p w14:paraId="656E9166"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Engenharia, Tecnologia e Gestão</w:t>
            </w:r>
          </w:p>
        </w:tc>
        <w:tc>
          <w:tcPr>
            <w:tcW w:w="0" w:type="auto"/>
            <w:tcBorders>
              <w:top w:val="nil"/>
              <w:left w:val="nil"/>
              <w:bottom w:val="nil"/>
              <w:right w:val="nil"/>
            </w:tcBorders>
            <w:noWrap/>
            <w:vAlign w:val="center"/>
            <w:hideMark/>
          </w:tcPr>
          <w:p w14:paraId="5DCCEBB1"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14</w:t>
            </w:r>
          </w:p>
        </w:tc>
        <w:tc>
          <w:tcPr>
            <w:tcW w:w="0" w:type="auto"/>
            <w:tcBorders>
              <w:top w:val="nil"/>
              <w:left w:val="nil"/>
              <w:bottom w:val="nil"/>
              <w:right w:val="nil"/>
            </w:tcBorders>
            <w:noWrap/>
            <w:vAlign w:val="center"/>
            <w:hideMark/>
          </w:tcPr>
          <w:p w14:paraId="197AC5E3"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12,3</w:t>
            </w:r>
          </w:p>
        </w:tc>
      </w:tr>
      <w:tr w:rsidR="00B838F3" w:rsidRPr="00F0405E" w14:paraId="1AC8DEEA" w14:textId="77777777" w:rsidTr="00175FEC">
        <w:trPr>
          <w:cantSplit/>
          <w:jc w:val="center"/>
        </w:trPr>
        <w:tc>
          <w:tcPr>
            <w:tcW w:w="0" w:type="auto"/>
            <w:tcBorders>
              <w:top w:val="nil"/>
              <w:left w:val="nil"/>
              <w:bottom w:val="nil"/>
              <w:right w:val="nil"/>
            </w:tcBorders>
            <w:noWrap/>
            <w:vAlign w:val="center"/>
            <w:hideMark/>
          </w:tcPr>
          <w:p w14:paraId="0AEF6E4D"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Ciências Exatas e da Terra</w:t>
            </w:r>
          </w:p>
        </w:tc>
        <w:tc>
          <w:tcPr>
            <w:tcW w:w="0" w:type="auto"/>
            <w:tcBorders>
              <w:top w:val="nil"/>
              <w:left w:val="nil"/>
              <w:bottom w:val="nil"/>
              <w:right w:val="nil"/>
            </w:tcBorders>
            <w:noWrap/>
            <w:vAlign w:val="center"/>
            <w:hideMark/>
          </w:tcPr>
          <w:p w14:paraId="1E67498E"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11</w:t>
            </w:r>
          </w:p>
        </w:tc>
        <w:tc>
          <w:tcPr>
            <w:tcW w:w="0" w:type="auto"/>
            <w:tcBorders>
              <w:top w:val="nil"/>
              <w:left w:val="nil"/>
              <w:bottom w:val="nil"/>
              <w:right w:val="nil"/>
            </w:tcBorders>
            <w:noWrap/>
            <w:vAlign w:val="center"/>
            <w:hideMark/>
          </w:tcPr>
          <w:p w14:paraId="7B7D8E4B"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9,6</w:t>
            </w:r>
          </w:p>
        </w:tc>
      </w:tr>
      <w:tr w:rsidR="00B838F3" w:rsidRPr="00F0405E" w14:paraId="315CEC0B" w14:textId="77777777" w:rsidTr="00175FEC">
        <w:trPr>
          <w:cantSplit/>
          <w:jc w:val="center"/>
        </w:trPr>
        <w:tc>
          <w:tcPr>
            <w:tcW w:w="0" w:type="auto"/>
            <w:tcBorders>
              <w:top w:val="nil"/>
              <w:left w:val="nil"/>
              <w:bottom w:val="nil"/>
              <w:right w:val="nil"/>
            </w:tcBorders>
            <w:noWrap/>
            <w:vAlign w:val="center"/>
            <w:hideMark/>
          </w:tcPr>
          <w:p w14:paraId="271C80AA"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Engenharias</w:t>
            </w:r>
          </w:p>
        </w:tc>
        <w:tc>
          <w:tcPr>
            <w:tcW w:w="0" w:type="auto"/>
            <w:tcBorders>
              <w:top w:val="nil"/>
              <w:left w:val="nil"/>
              <w:bottom w:val="nil"/>
              <w:right w:val="nil"/>
            </w:tcBorders>
            <w:noWrap/>
            <w:vAlign w:val="center"/>
            <w:hideMark/>
          </w:tcPr>
          <w:p w14:paraId="0B80C271"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9</w:t>
            </w:r>
          </w:p>
        </w:tc>
        <w:tc>
          <w:tcPr>
            <w:tcW w:w="0" w:type="auto"/>
            <w:tcBorders>
              <w:top w:val="nil"/>
              <w:left w:val="nil"/>
              <w:bottom w:val="nil"/>
              <w:right w:val="nil"/>
            </w:tcBorders>
            <w:noWrap/>
            <w:vAlign w:val="center"/>
            <w:hideMark/>
          </w:tcPr>
          <w:p w14:paraId="65B023DE"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7,9</w:t>
            </w:r>
          </w:p>
        </w:tc>
      </w:tr>
      <w:tr w:rsidR="00B838F3" w:rsidRPr="00F0405E" w14:paraId="38411ED1" w14:textId="77777777" w:rsidTr="00175FEC">
        <w:trPr>
          <w:cantSplit/>
          <w:jc w:val="center"/>
        </w:trPr>
        <w:tc>
          <w:tcPr>
            <w:tcW w:w="0" w:type="auto"/>
            <w:tcBorders>
              <w:top w:val="nil"/>
              <w:left w:val="nil"/>
              <w:bottom w:val="nil"/>
              <w:right w:val="nil"/>
            </w:tcBorders>
            <w:noWrap/>
            <w:vAlign w:val="center"/>
            <w:hideMark/>
          </w:tcPr>
          <w:p w14:paraId="54D82727"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Administração</w:t>
            </w:r>
          </w:p>
        </w:tc>
        <w:tc>
          <w:tcPr>
            <w:tcW w:w="0" w:type="auto"/>
            <w:tcBorders>
              <w:top w:val="nil"/>
              <w:left w:val="nil"/>
              <w:bottom w:val="nil"/>
              <w:right w:val="nil"/>
            </w:tcBorders>
            <w:noWrap/>
            <w:vAlign w:val="center"/>
            <w:hideMark/>
          </w:tcPr>
          <w:p w14:paraId="0362F61D"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6</w:t>
            </w:r>
          </w:p>
        </w:tc>
        <w:tc>
          <w:tcPr>
            <w:tcW w:w="0" w:type="auto"/>
            <w:tcBorders>
              <w:top w:val="nil"/>
              <w:left w:val="nil"/>
              <w:bottom w:val="nil"/>
              <w:right w:val="nil"/>
            </w:tcBorders>
            <w:noWrap/>
            <w:vAlign w:val="center"/>
            <w:hideMark/>
          </w:tcPr>
          <w:p w14:paraId="06885C14"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5,3</w:t>
            </w:r>
          </w:p>
        </w:tc>
      </w:tr>
      <w:tr w:rsidR="00B838F3" w:rsidRPr="00F0405E" w14:paraId="4E3DB12F" w14:textId="77777777" w:rsidTr="00175FEC">
        <w:trPr>
          <w:cantSplit/>
          <w:jc w:val="center"/>
        </w:trPr>
        <w:tc>
          <w:tcPr>
            <w:tcW w:w="0" w:type="auto"/>
            <w:tcBorders>
              <w:top w:val="nil"/>
              <w:left w:val="nil"/>
              <w:bottom w:val="nil"/>
              <w:right w:val="nil"/>
            </w:tcBorders>
            <w:noWrap/>
            <w:vAlign w:val="center"/>
            <w:hideMark/>
          </w:tcPr>
          <w:p w14:paraId="35481091"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Ciências Humanas</w:t>
            </w:r>
          </w:p>
        </w:tc>
        <w:tc>
          <w:tcPr>
            <w:tcW w:w="0" w:type="auto"/>
            <w:tcBorders>
              <w:top w:val="nil"/>
              <w:left w:val="nil"/>
              <w:bottom w:val="nil"/>
              <w:right w:val="nil"/>
            </w:tcBorders>
            <w:noWrap/>
            <w:vAlign w:val="center"/>
            <w:hideMark/>
          </w:tcPr>
          <w:p w14:paraId="28B05FF2"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5</w:t>
            </w:r>
          </w:p>
        </w:tc>
        <w:tc>
          <w:tcPr>
            <w:tcW w:w="0" w:type="auto"/>
            <w:tcBorders>
              <w:top w:val="nil"/>
              <w:left w:val="nil"/>
              <w:bottom w:val="nil"/>
              <w:right w:val="nil"/>
            </w:tcBorders>
            <w:noWrap/>
            <w:vAlign w:val="center"/>
            <w:hideMark/>
          </w:tcPr>
          <w:p w14:paraId="115D9584"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4,4</w:t>
            </w:r>
          </w:p>
        </w:tc>
      </w:tr>
      <w:tr w:rsidR="00B838F3" w:rsidRPr="00F0405E" w14:paraId="0B5A4FCB" w14:textId="77777777" w:rsidTr="00175FEC">
        <w:trPr>
          <w:cantSplit/>
          <w:jc w:val="center"/>
        </w:trPr>
        <w:tc>
          <w:tcPr>
            <w:tcW w:w="0" w:type="auto"/>
            <w:tcBorders>
              <w:top w:val="nil"/>
              <w:left w:val="nil"/>
              <w:bottom w:val="nil"/>
              <w:right w:val="nil"/>
            </w:tcBorders>
            <w:noWrap/>
            <w:vAlign w:val="center"/>
            <w:hideMark/>
          </w:tcPr>
          <w:p w14:paraId="2FC335D0"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Ciência da Computação</w:t>
            </w:r>
          </w:p>
        </w:tc>
        <w:tc>
          <w:tcPr>
            <w:tcW w:w="0" w:type="auto"/>
            <w:tcBorders>
              <w:top w:val="nil"/>
              <w:left w:val="nil"/>
              <w:bottom w:val="nil"/>
              <w:right w:val="nil"/>
            </w:tcBorders>
            <w:noWrap/>
            <w:vAlign w:val="center"/>
            <w:hideMark/>
          </w:tcPr>
          <w:p w14:paraId="6EF428F4"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4</w:t>
            </w:r>
          </w:p>
        </w:tc>
        <w:tc>
          <w:tcPr>
            <w:tcW w:w="0" w:type="auto"/>
            <w:tcBorders>
              <w:top w:val="nil"/>
              <w:left w:val="nil"/>
              <w:bottom w:val="nil"/>
              <w:right w:val="nil"/>
            </w:tcBorders>
            <w:noWrap/>
            <w:vAlign w:val="center"/>
            <w:hideMark/>
          </w:tcPr>
          <w:p w14:paraId="27D401EB"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3,5</w:t>
            </w:r>
          </w:p>
        </w:tc>
      </w:tr>
      <w:tr w:rsidR="00B838F3" w:rsidRPr="00F0405E" w14:paraId="362A72F9" w14:textId="77777777" w:rsidTr="00175FEC">
        <w:trPr>
          <w:cantSplit/>
          <w:jc w:val="center"/>
        </w:trPr>
        <w:tc>
          <w:tcPr>
            <w:tcW w:w="0" w:type="auto"/>
            <w:tcBorders>
              <w:top w:val="nil"/>
              <w:left w:val="nil"/>
              <w:bottom w:val="nil"/>
              <w:right w:val="nil"/>
            </w:tcBorders>
            <w:noWrap/>
            <w:vAlign w:val="center"/>
            <w:hideMark/>
          </w:tcPr>
          <w:p w14:paraId="22B3D3CC"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Engenharia de Produção</w:t>
            </w:r>
          </w:p>
        </w:tc>
        <w:tc>
          <w:tcPr>
            <w:tcW w:w="0" w:type="auto"/>
            <w:tcBorders>
              <w:top w:val="nil"/>
              <w:left w:val="nil"/>
              <w:bottom w:val="nil"/>
              <w:right w:val="nil"/>
            </w:tcBorders>
            <w:noWrap/>
            <w:vAlign w:val="center"/>
            <w:hideMark/>
          </w:tcPr>
          <w:p w14:paraId="67D103A9"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4</w:t>
            </w:r>
          </w:p>
        </w:tc>
        <w:tc>
          <w:tcPr>
            <w:tcW w:w="0" w:type="auto"/>
            <w:tcBorders>
              <w:top w:val="nil"/>
              <w:left w:val="nil"/>
              <w:bottom w:val="nil"/>
              <w:right w:val="nil"/>
            </w:tcBorders>
            <w:noWrap/>
            <w:vAlign w:val="center"/>
            <w:hideMark/>
          </w:tcPr>
          <w:p w14:paraId="58866055"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3,5</w:t>
            </w:r>
          </w:p>
        </w:tc>
      </w:tr>
      <w:tr w:rsidR="00B838F3" w:rsidRPr="00F0405E" w14:paraId="16593278" w14:textId="77777777" w:rsidTr="00175FEC">
        <w:trPr>
          <w:cantSplit/>
          <w:jc w:val="center"/>
        </w:trPr>
        <w:tc>
          <w:tcPr>
            <w:tcW w:w="0" w:type="auto"/>
            <w:tcBorders>
              <w:top w:val="nil"/>
              <w:left w:val="nil"/>
              <w:bottom w:val="nil"/>
              <w:right w:val="nil"/>
            </w:tcBorders>
            <w:noWrap/>
            <w:vAlign w:val="center"/>
            <w:hideMark/>
          </w:tcPr>
          <w:p w14:paraId="158988FC"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Interdisciplinar</w:t>
            </w:r>
          </w:p>
        </w:tc>
        <w:tc>
          <w:tcPr>
            <w:tcW w:w="0" w:type="auto"/>
            <w:tcBorders>
              <w:top w:val="nil"/>
              <w:left w:val="nil"/>
              <w:bottom w:val="nil"/>
              <w:right w:val="nil"/>
            </w:tcBorders>
            <w:noWrap/>
            <w:vAlign w:val="center"/>
            <w:hideMark/>
          </w:tcPr>
          <w:p w14:paraId="5858ECCF"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6681A30E"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2,6</w:t>
            </w:r>
          </w:p>
        </w:tc>
      </w:tr>
      <w:tr w:rsidR="00B838F3" w:rsidRPr="00F0405E" w14:paraId="1EC0AC20" w14:textId="77777777" w:rsidTr="00175FEC">
        <w:trPr>
          <w:cantSplit/>
          <w:jc w:val="center"/>
        </w:trPr>
        <w:tc>
          <w:tcPr>
            <w:tcW w:w="0" w:type="auto"/>
            <w:tcBorders>
              <w:top w:val="nil"/>
              <w:left w:val="nil"/>
              <w:bottom w:val="nil"/>
              <w:right w:val="nil"/>
            </w:tcBorders>
            <w:noWrap/>
            <w:vAlign w:val="center"/>
            <w:hideMark/>
          </w:tcPr>
          <w:p w14:paraId="76F1EC06"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Comunicação</w:t>
            </w:r>
          </w:p>
        </w:tc>
        <w:tc>
          <w:tcPr>
            <w:tcW w:w="0" w:type="auto"/>
            <w:tcBorders>
              <w:top w:val="nil"/>
              <w:left w:val="nil"/>
              <w:bottom w:val="nil"/>
              <w:right w:val="nil"/>
            </w:tcBorders>
            <w:noWrap/>
            <w:vAlign w:val="center"/>
            <w:hideMark/>
          </w:tcPr>
          <w:p w14:paraId="39F8987E"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10FEEC6C"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1,8</w:t>
            </w:r>
          </w:p>
        </w:tc>
      </w:tr>
      <w:tr w:rsidR="00B838F3" w:rsidRPr="00F0405E" w14:paraId="1FA7B256" w14:textId="77777777" w:rsidTr="00175FEC">
        <w:trPr>
          <w:cantSplit/>
          <w:jc w:val="center"/>
        </w:trPr>
        <w:tc>
          <w:tcPr>
            <w:tcW w:w="0" w:type="auto"/>
            <w:tcBorders>
              <w:top w:val="nil"/>
              <w:left w:val="nil"/>
              <w:bottom w:val="nil"/>
              <w:right w:val="nil"/>
            </w:tcBorders>
            <w:noWrap/>
            <w:vAlign w:val="center"/>
            <w:hideMark/>
          </w:tcPr>
          <w:p w14:paraId="609806A3"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Educação</w:t>
            </w:r>
          </w:p>
        </w:tc>
        <w:tc>
          <w:tcPr>
            <w:tcW w:w="0" w:type="auto"/>
            <w:tcBorders>
              <w:top w:val="nil"/>
              <w:left w:val="nil"/>
              <w:bottom w:val="nil"/>
              <w:right w:val="nil"/>
            </w:tcBorders>
            <w:noWrap/>
            <w:vAlign w:val="center"/>
            <w:hideMark/>
          </w:tcPr>
          <w:p w14:paraId="43439233"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124C9974"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1,8</w:t>
            </w:r>
          </w:p>
        </w:tc>
      </w:tr>
      <w:tr w:rsidR="00B838F3" w:rsidRPr="00F0405E" w14:paraId="0B52D2B3" w14:textId="77777777" w:rsidTr="00175FEC">
        <w:trPr>
          <w:cantSplit/>
          <w:jc w:val="center"/>
        </w:trPr>
        <w:tc>
          <w:tcPr>
            <w:tcW w:w="0" w:type="auto"/>
            <w:tcBorders>
              <w:top w:val="nil"/>
              <w:left w:val="nil"/>
              <w:bottom w:val="nil"/>
              <w:right w:val="nil"/>
            </w:tcBorders>
            <w:noWrap/>
            <w:vAlign w:val="center"/>
            <w:hideMark/>
          </w:tcPr>
          <w:p w14:paraId="7F7153BF"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Engenharias III</w:t>
            </w:r>
          </w:p>
        </w:tc>
        <w:tc>
          <w:tcPr>
            <w:tcW w:w="0" w:type="auto"/>
            <w:tcBorders>
              <w:top w:val="nil"/>
              <w:left w:val="nil"/>
              <w:bottom w:val="nil"/>
              <w:right w:val="nil"/>
            </w:tcBorders>
            <w:noWrap/>
            <w:vAlign w:val="center"/>
            <w:hideMark/>
          </w:tcPr>
          <w:p w14:paraId="39A6C3AB"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4DAD4592"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1,8</w:t>
            </w:r>
          </w:p>
        </w:tc>
      </w:tr>
      <w:tr w:rsidR="00B838F3" w:rsidRPr="00F0405E" w14:paraId="0EC0D6F9" w14:textId="77777777" w:rsidTr="00175FEC">
        <w:trPr>
          <w:cantSplit/>
          <w:jc w:val="center"/>
        </w:trPr>
        <w:tc>
          <w:tcPr>
            <w:tcW w:w="0" w:type="auto"/>
            <w:tcBorders>
              <w:top w:val="nil"/>
              <w:left w:val="nil"/>
              <w:bottom w:val="nil"/>
              <w:right w:val="nil"/>
            </w:tcBorders>
            <w:noWrap/>
            <w:vAlign w:val="center"/>
            <w:hideMark/>
          </w:tcPr>
          <w:p w14:paraId="0369DCA5"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Ciências Agrárias</w:t>
            </w:r>
          </w:p>
        </w:tc>
        <w:tc>
          <w:tcPr>
            <w:tcW w:w="0" w:type="auto"/>
            <w:tcBorders>
              <w:top w:val="nil"/>
              <w:left w:val="nil"/>
              <w:bottom w:val="nil"/>
              <w:right w:val="nil"/>
            </w:tcBorders>
            <w:noWrap/>
            <w:vAlign w:val="center"/>
            <w:hideMark/>
          </w:tcPr>
          <w:p w14:paraId="0F426196"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00A68173"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0,9</w:t>
            </w:r>
          </w:p>
        </w:tc>
      </w:tr>
      <w:tr w:rsidR="00B838F3" w:rsidRPr="00F0405E" w14:paraId="519A02BF" w14:textId="77777777" w:rsidTr="00175FEC">
        <w:trPr>
          <w:cantSplit/>
          <w:jc w:val="center"/>
        </w:trPr>
        <w:tc>
          <w:tcPr>
            <w:tcW w:w="0" w:type="auto"/>
            <w:tcBorders>
              <w:top w:val="nil"/>
              <w:left w:val="nil"/>
              <w:bottom w:val="nil"/>
              <w:right w:val="nil"/>
            </w:tcBorders>
            <w:noWrap/>
            <w:vAlign w:val="center"/>
            <w:hideMark/>
          </w:tcPr>
          <w:p w14:paraId="1703B8CC"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Ciências da Saúde</w:t>
            </w:r>
          </w:p>
        </w:tc>
        <w:tc>
          <w:tcPr>
            <w:tcW w:w="0" w:type="auto"/>
            <w:tcBorders>
              <w:top w:val="nil"/>
              <w:left w:val="nil"/>
              <w:bottom w:val="nil"/>
              <w:right w:val="nil"/>
            </w:tcBorders>
            <w:noWrap/>
            <w:vAlign w:val="center"/>
            <w:hideMark/>
          </w:tcPr>
          <w:p w14:paraId="04D51AC7"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7E710A03"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0,9</w:t>
            </w:r>
          </w:p>
        </w:tc>
      </w:tr>
      <w:tr w:rsidR="00B838F3" w:rsidRPr="00F0405E" w14:paraId="6DB6CE33" w14:textId="77777777" w:rsidTr="00175FEC">
        <w:trPr>
          <w:cantSplit/>
          <w:jc w:val="center"/>
        </w:trPr>
        <w:tc>
          <w:tcPr>
            <w:tcW w:w="0" w:type="auto"/>
            <w:tcBorders>
              <w:top w:val="nil"/>
              <w:left w:val="nil"/>
              <w:bottom w:val="nil"/>
              <w:right w:val="nil"/>
            </w:tcBorders>
            <w:noWrap/>
            <w:vAlign w:val="center"/>
            <w:hideMark/>
          </w:tcPr>
          <w:p w14:paraId="1C683FF7"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Comunicação e Informação</w:t>
            </w:r>
          </w:p>
        </w:tc>
        <w:tc>
          <w:tcPr>
            <w:tcW w:w="0" w:type="auto"/>
            <w:tcBorders>
              <w:top w:val="nil"/>
              <w:left w:val="nil"/>
              <w:bottom w:val="nil"/>
              <w:right w:val="nil"/>
            </w:tcBorders>
            <w:noWrap/>
            <w:vAlign w:val="center"/>
            <w:hideMark/>
          </w:tcPr>
          <w:p w14:paraId="666AB3C1"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267EE8D4"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0,9</w:t>
            </w:r>
          </w:p>
        </w:tc>
      </w:tr>
      <w:tr w:rsidR="00B838F3" w:rsidRPr="00F0405E" w14:paraId="03FA85FC" w14:textId="77777777" w:rsidTr="00175FEC">
        <w:trPr>
          <w:cantSplit/>
          <w:jc w:val="center"/>
        </w:trPr>
        <w:tc>
          <w:tcPr>
            <w:tcW w:w="0" w:type="auto"/>
            <w:tcBorders>
              <w:top w:val="nil"/>
              <w:left w:val="nil"/>
              <w:bottom w:val="nil"/>
              <w:right w:val="nil"/>
            </w:tcBorders>
            <w:noWrap/>
            <w:vAlign w:val="center"/>
            <w:hideMark/>
          </w:tcPr>
          <w:p w14:paraId="19117BC8"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Enfermagem</w:t>
            </w:r>
          </w:p>
        </w:tc>
        <w:tc>
          <w:tcPr>
            <w:tcW w:w="0" w:type="auto"/>
            <w:tcBorders>
              <w:top w:val="nil"/>
              <w:left w:val="nil"/>
              <w:bottom w:val="nil"/>
              <w:right w:val="nil"/>
            </w:tcBorders>
            <w:noWrap/>
            <w:vAlign w:val="center"/>
            <w:hideMark/>
          </w:tcPr>
          <w:p w14:paraId="4EC667DF"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2C8BA30A"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0,9</w:t>
            </w:r>
          </w:p>
        </w:tc>
      </w:tr>
      <w:tr w:rsidR="00B838F3" w:rsidRPr="00F0405E" w14:paraId="33AF28D3" w14:textId="77777777" w:rsidTr="00175FEC">
        <w:trPr>
          <w:cantSplit/>
          <w:jc w:val="center"/>
        </w:trPr>
        <w:tc>
          <w:tcPr>
            <w:tcW w:w="0" w:type="auto"/>
            <w:tcBorders>
              <w:top w:val="nil"/>
              <w:left w:val="nil"/>
              <w:bottom w:val="nil"/>
              <w:right w:val="nil"/>
            </w:tcBorders>
            <w:noWrap/>
            <w:vAlign w:val="center"/>
            <w:hideMark/>
          </w:tcPr>
          <w:p w14:paraId="3CF2D5BC"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Engenharias II</w:t>
            </w:r>
          </w:p>
        </w:tc>
        <w:tc>
          <w:tcPr>
            <w:tcW w:w="0" w:type="auto"/>
            <w:tcBorders>
              <w:top w:val="nil"/>
              <w:left w:val="nil"/>
              <w:bottom w:val="nil"/>
              <w:right w:val="nil"/>
            </w:tcBorders>
            <w:noWrap/>
            <w:vAlign w:val="center"/>
            <w:hideMark/>
          </w:tcPr>
          <w:p w14:paraId="4AFE682F"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1CEFB994"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0,9</w:t>
            </w:r>
          </w:p>
        </w:tc>
      </w:tr>
      <w:tr w:rsidR="00B838F3" w:rsidRPr="00F0405E" w14:paraId="66C90CD3" w14:textId="77777777" w:rsidTr="00175FEC">
        <w:trPr>
          <w:cantSplit/>
          <w:jc w:val="center"/>
        </w:trPr>
        <w:tc>
          <w:tcPr>
            <w:tcW w:w="0" w:type="auto"/>
            <w:tcBorders>
              <w:top w:val="nil"/>
              <w:left w:val="nil"/>
              <w:bottom w:val="nil"/>
              <w:right w:val="nil"/>
            </w:tcBorders>
            <w:noWrap/>
            <w:vAlign w:val="center"/>
            <w:hideMark/>
          </w:tcPr>
          <w:p w14:paraId="61BDFA1F"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Sociologia</w:t>
            </w:r>
          </w:p>
        </w:tc>
        <w:tc>
          <w:tcPr>
            <w:tcW w:w="0" w:type="auto"/>
            <w:tcBorders>
              <w:top w:val="nil"/>
              <w:left w:val="nil"/>
              <w:bottom w:val="nil"/>
              <w:right w:val="nil"/>
            </w:tcBorders>
            <w:noWrap/>
            <w:vAlign w:val="center"/>
            <w:hideMark/>
          </w:tcPr>
          <w:p w14:paraId="50315E70"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1100CD1A"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0,9</w:t>
            </w:r>
          </w:p>
        </w:tc>
      </w:tr>
      <w:tr w:rsidR="00B838F3" w:rsidRPr="00F0405E" w14:paraId="0178AF48" w14:textId="77777777" w:rsidTr="00175FEC">
        <w:trPr>
          <w:cantSplit/>
          <w:jc w:val="center"/>
        </w:trPr>
        <w:tc>
          <w:tcPr>
            <w:tcW w:w="0" w:type="auto"/>
            <w:tcBorders>
              <w:top w:val="nil"/>
              <w:left w:val="nil"/>
              <w:bottom w:val="single" w:sz="4" w:space="0" w:color="auto"/>
              <w:right w:val="nil"/>
            </w:tcBorders>
            <w:noWrap/>
            <w:vAlign w:val="center"/>
            <w:hideMark/>
          </w:tcPr>
          <w:p w14:paraId="49FDE533" w14:textId="77777777" w:rsidR="00B838F3" w:rsidRPr="00F0405E" w:rsidRDefault="00B838F3" w:rsidP="00175FEC">
            <w:pPr>
              <w:spacing w:line="240" w:lineRule="auto"/>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Total</w:t>
            </w:r>
          </w:p>
        </w:tc>
        <w:tc>
          <w:tcPr>
            <w:tcW w:w="0" w:type="auto"/>
            <w:tcBorders>
              <w:top w:val="nil"/>
              <w:left w:val="nil"/>
              <w:bottom w:val="single" w:sz="4" w:space="0" w:color="auto"/>
              <w:right w:val="nil"/>
            </w:tcBorders>
            <w:noWrap/>
            <w:vAlign w:val="center"/>
            <w:hideMark/>
          </w:tcPr>
          <w:p w14:paraId="2C4EBA9B"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114</w:t>
            </w:r>
          </w:p>
        </w:tc>
        <w:tc>
          <w:tcPr>
            <w:tcW w:w="0" w:type="auto"/>
            <w:tcBorders>
              <w:top w:val="nil"/>
              <w:left w:val="nil"/>
              <w:bottom w:val="single" w:sz="4" w:space="0" w:color="auto"/>
              <w:right w:val="nil"/>
            </w:tcBorders>
            <w:noWrap/>
            <w:vAlign w:val="center"/>
            <w:hideMark/>
          </w:tcPr>
          <w:p w14:paraId="6359A76B" w14:textId="77777777" w:rsidR="00B838F3" w:rsidRPr="00F0405E" w:rsidRDefault="00B838F3" w:rsidP="00175FEC">
            <w:pPr>
              <w:spacing w:line="240" w:lineRule="auto"/>
              <w:jc w:val="right"/>
              <w:rPr>
                <w:rFonts w:ascii="Times New Roman" w:eastAsia="Times New Roman" w:hAnsi="Times New Roman" w:cs="Times New Roman"/>
                <w:color w:val="000000"/>
                <w:sz w:val="20"/>
                <w:szCs w:val="20"/>
              </w:rPr>
            </w:pPr>
            <w:r w:rsidRPr="00F0405E">
              <w:rPr>
                <w:rFonts w:ascii="Times New Roman" w:eastAsia="Times New Roman" w:hAnsi="Times New Roman" w:cs="Times New Roman"/>
                <w:color w:val="000000"/>
                <w:sz w:val="20"/>
                <w:szCs w:val="20"/>
              </w:rPr>
              <w:t>100</w:t>
            </w:r>
          </w:p>
        </w:tc>
      </w:tr>
    </w:tbl>
    <w:p w14:paraId="42644162"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BE8F2DE" w14:textId="49399DB7" w:rsidR="00B838F3" w:rsidRPr="00F0405E"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Áreas específicas como Administração (5,3%, n = 6) e Ciências Humanas (4,4%, n = 5) também aparecem com representatividade significativa, revelando uma abordagem mais ampla e multidimensional da GC que envolve elementos da gestão estratégica, comportamento organizacional, processos sociais e humanos.</w:t>
      </w:r>
    </w:p>
    <w:p w14:paraId="52B9E665" w14:textId="77777777" w:rsidR="00B838F3" w:rsidRPr="00F0405E"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Outras áreas, como Ciência da Computação (3,5%, n = 4), reforçam a ligação tecnológica da GC, especialmente em relação à utilização de ferramentas computacionais, inteligência artificial, sistemas de informação e análises avançadas de dados. Por fim, as áreas com menores frequências, tais como Educação, Ciências Agrárias, Ciências da Saúde, Enfermagem e Sociologia, sugerem uma inserção emergente, mas ainda limitada da GC, revelando potencial para expansão e aplicação mais aprofundada nessas áreas temáticas.</w:t>
      </w:r>
    </w:p>
    <w:p w14:paraId="48D581C8"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F0405E">
        <w:rPr>
          <w:rFonts w:ascii="Times New Roman" w:eastAsia="Times New Roman" w:hAnsi="Times New Roman" w:cs="Times New Roman"/>
          <w:sz w:val="24"/>
          <w:szCs w:val="24"/>
        </w:rPr>
        <w:t>A diversidade observada reforça o caráter interdisciplinar da Gestão do Conhecimento e aponta para a necessidade de estratégias específicas de ampliação e fortalecimento acadêmico nas áreas com menor representatividade, explorando sinergias e potenciais aplicações práticas ainda pouco exploradas.</w:t>
      </w:r>
    </w:p>
    <w:p w14:paraId="22869403" w14:textId="77777777" w:rsidR="00095A59" w:rsidRPr="0035085C" w:rsidRDefault="00095A59" w:rsidP="00095A59">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 xml:space="preserve">A Tabela </w:t>
      </w:r>
      <w:r>
        <w:rPr>
          <w:rFonts w:ascii="Times New Roman" w:eastAsia="Times New Roman" w:hAnsi="Times New Roman" w:cs="Times New Roman"/>
          <w:sz w:val="24"/>
          <w:szCs w:val="24"/>
        </w:rPr>
        <w:t xml:space="preserve">2 </w:t>
      </w:r>
      <w:r w:rsidRPr="0035085C">
        <w:rPr>
          <w:rFonts w:ascii="Times New Roman" w:eastAsia="Times New Roman" w:hAnsi="Times New Roman" w:cs="Times New Roman"/>
          <w:sz w:val="24"/>
          <w:szCs w:val="24"/>
        </w:rPr>
        <w:t xml:space="preserve">apresenta uma visão detalhada da distribuição dos </w:t>
      </w:r>
      <w:r>
        <w:rPr>
          <w:rFonts w:ascii="Times New Roman" w:eastAsia="Times New Roman" w:hAnsi="Times New Roman" w:cs="Times New Roman"/>
          <w:sz w:val="24"/>
          <w:szCs w:val="24"/>
        </w:rPr>
        <w:t>grupos de pesquisa</w:t>
      </w:r>
      <w:r w:rsidRPr="0035085C">
        <w:rPr>
          <w:rFonts w:ascii="Times New Roman" w:eastAsia="Times New Roman" w:hAnsi="Times New Roman" w:cs="Times New Roman"/>
          <w:sz w:val="24"/>
          <w:szCs w:val="24"/>
        </w:rPr>
        <w:t xml:space="preserve"> de Gestão do Conhecimento nas unidades federativas brasileiras, evidenciando importantes concentrações e desigualdades regionais:</w:t>
      </w:r>
    </w:p>
    <w:p w14:paraId="533E927C"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1E0BEDB" w14:textId="77777777" w:rsidR="00B838F3" w:rsidRPr="00213B16"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13B16">
        <w:rPr>
          <w:rFonts w:ascii="Times New Roman" w:eastAsia="Times New Roman" w:hAnsi="Times New Roman" w:cs="Times New Roman"/>
          <w:sz w:val="20"/>
          <w:szCs w:val="20"/>
        </w:rPr>
        <w:lastRenderedPageBreak/>
        <w:t xml:space="preserve">Tabela </w:t>
      </w:r>
      <w:r>
        <w:rPr>
          <w:rFonts w:ascii="Times New Roman" w:eastAsia="Times New Roman" w:hAnsi="Times New Roman" w:cs="Times New Roman"/>
          <w:sz w:val="20"/>
          <w:szCs w:val="20"/>
        </w:rPr>
        <w:t>2 -</w:t>
      </w:r>
      <w:r w:rsidRPr="00213B16">
        <w:rPr>
          <w:rFonts w:ascii="Times New Roman" w:eastAsia="Times New Roman" w:hAnsi="Times New Roman" w:cs="Times New Roman"/>
          <w:sz w:val="20"/>
          <w:szCs w:val="20"/>
        </w:rPr>
        <w:t xml:space="preserve"> Distribuição dos Programas por </w:t>
      </w:r>
      <w:r>
        <w:rPr>
          <w:rFonts w:ascii="Times New Roman" w:eastAsia="Times New Roman" w:hAnsi="Times New Roman" w:cs="Times New Roman"/>
          <w:sz w:val="20"/>
          <w:szCs w:val="20"/>
        </w:rPr>
        <w:t>Unidade da Federação</w:t>
      </w:r>
    </w:p>
    <w:tbl>
      <w:tblPr>
        <w:tblW w:w="0" w:type="auto"/>
        <w:jc w:val="center"/>
        <w:tblCellMar>
          <w:left w:w="70" w:type="dxa"/>
          <w:right w:w="70" w:type="dxa"/>
        </w:tblCellMar>
        <w:tblLook w:val="04A0" w:firstRow="1" w:lastRow="0" w:firstColumn="1" w:lastColumn="0" w:noHBand="0" w:noVBand="1"/>
      </w:tblPr>
      <w:tblGrid>
        <w:gridCol w:w="563"/>
        <w:gridCol w:w="1107"/>
        <w:gridCol w:w="1262"/>
      </w:tblGrid>
      <w:tr w:rsidR="00B838F3" w:rsidRPr="008F49F3" w14:paraId="62C85802" w14:textId="77777777" w:rsidTr="00175FEC">
        <w:trPr>
          <w:cantSplit/>
          <w:jc w:val="center"/>
        </w:trPr>
        <w:tc>
          <w:tcPr>
            <w:tcW w:w="0" w:type="auto"/>
            <w:tcBorders>
              <w:top w:val="single" w:sz="4" w:space="0" w:color="auto"/>
              <w:left w:val="nil"/>
              <w:bottom w:val="single" w:sz="4" w:space="0" w:color="auto"/>
              <w:right w:val="nil"/>
            </w:tcBorders>
            <w:noWrap/>
            <w:vAlign w:val="center"/>
            <w:hideMark/>
          </w:tcPr>
          <w:p w14:paraId="60BB7FA3"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UF</w:t>
            </w:r>
          </w:p>
        </w:tc>
        <w:tc>
          <w:tcPr>
            <w:tcW w:w="0" w:type="auto"/>
            <w:tcBorders>
              <w:top w:val="single" w:sz="4" w:space="0" w:color="auto"/>
              <w:left w:val="nil"/>
              <w:bottom w:val="single" w:sz="4" w:space="0" w:color="auto"/>
              <w:right w:val="nil"/>
            </w:tcBorders>
            <w:noWrap/>
            <w:vAlign w:val="center"/>
            <w:hideMark/>
          </w:tcPr>
          <w:p w14:paraId="141C6CE8"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Frequência</w:t>
            </w:r>
          </w:p>
        </w:tc>
        <w:tc>
          <w:tcPr>
            <w:tcW w:w="0" w:type="auto"/>
            <w:tcBorders>
              <w:top w:val="single" w:sz="4" w:space="0" w:color="auto"/>
              <w:left w:val="nil"/>
              <w:bottom w:val="single" w:sz="4" w:space="0" w:color="auto"/>
              <w:right w:val="nil"/>
            </w:tcBorders>
            <w:noWrap/>
            <w:vAlign w:val="center"/>
            <w:hideMark/>
          </w:tcPr>
          <w:p w14:paraId="218ABED9"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Porcentagem</w:t>
            </w:r>
          </w:p>
        </w:tc>
      </w:tr>
      <w:tr w:rsidR="00B838F3" w:rsidRPr="008F49F3" w14:paraId="11C185C3" w14:textId="77777777" w:rsidTr="00175FEC">
        <w:trPr>
          <w:cantSplit/>
          <w:jc w:val="center"/>
        </w:trPr>
        <w:tc>
          <w:tcPr>
            <w:tcW w:w="0" w:type="auto"/>
            <w:tcBorders>
              <w:top w:val="nil"/>
              <w:left w:val="nil"/>
              <w:bottom w:val="nil"/>
              <w:right w:val="nil"/>
            </w:tcBorders>
            <w:noWrap/>
            <w:vAlign w:val="center"/>
            <w:hideMark/>
          </w:tcPr>
          <w:p w14:paraId="3AE52203"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AL</w:t>
            </w:r>
          </w:p>
        </w:tc>
        <w:tc>
          <w:tcPr>
            <w:tcW w:w="0" w:type="auto"/>
            <w:tcBorders>
              <w:top w:val="nil"/>
              <w:left w:val="nil"/>
              <w:bottom w:val="nil"/>
              <w:right w:val="nil"/>
            </w:tcBorders>
            <w:noWrap/>
            <w:vAlign w:val="center"/>
            <w:hideMark/>
          </w:tcPr>
          <w:p w14:paraId="0356AC67"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2F20A0B1"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2,6</w:t>
            </w:r>
          </w:p>
        </w:tc>
      </w:tr>
      <w:tr w:rsidR="00B838F3" w:rsidRPr="008F49F3" w14:paraId="617B80C3" w14:textId="77777777" w:rsidTr="00175FEC">
        <w:trPr>
          <w:cantSplit/>
          <w:jc w:val="center"/>
        </w:trPr>
        <w:tc>
          <w:tcPr>
            <w:tcW w:w="0" w:type="auto"/>
            <w:tcBorders>
              <w:top w:val="nil"/>
              <w:left w:val="nil"/>
              <w:bottom w:val="nil"/>
              <w:right w:val="nil"/>
            </w:tcBorders>
            <w:noWrap/>
            <w:vAlign w:val="center"/>
            <w:hideMark/>
          </w:tcPr>
          <w:p w14:paraId="48354D0D"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AM</w:t>
            </w:r>
          </w:p>
        </w:tc>
        <w:tc>
          <w:tcPr>
            <w:tcW w:w="0" w:type="auto"/>
            <w:tcBorders>
              <w:top w:val="nil"/>
              <w:left w:val="nil"/>
              <w:bottom w:val="nil"/>
              <w:right w:val="nil"/>
            </w:tcBorders>
            <w:noWrap/>
            <w:vAlign w:val="center"/>
            <w:hideMark/>
          </w:tcPr>
          <w:p w14:paraId="3FD9C2F1"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20185B83"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0,9</w:t>
            </w:r>
          </w:p>
        </w:tc>
      </w:tr>
      <w:tr w:rsidR="00B838F3" w:rsidRPr="008F49F3" w14:paraId="68960DFA" w14:textId="77777777" w:rsidTr="00175FEC">
        <w:trPr>
          <w:cantSplit/>
          <w:jc w:val="center"/>
        </w:trPr>
        <w:tc>
          <w:tcPr>
            <w:tcW w:w="0" w:type="auto"/>
            <w:tcBorders>
              <w:top w:val="nil"/>
              <w:left w:val="nil"/>
              <w:bottom w:val="nil"/>
              <w:right w:val="nil"/>
            </w:tcBorders>
            <w:noWrap/>
            <w:vAlign w:val="center"/>
            <w:hideMark/>
          </w:tcPr>
          <w:p w14:paraId="5A07A051"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BA</w:t>
            </w:r>
          </w:p>
        </w:tc>
        <w:tc>
          <w:tcPr>
            <w:tcW w:w="0" w:type="auto"/>
            <w:tcBorders>
              <w:top w:val="nil"/>
              <w:left w:val="nil"/>
              <w:bottom w:val="nil"/>
              <w:right w:val="nil"/>
            </w:tcBorders>
            <w:noWrap/>
            <w:vAlign w:val="center"/>
            <w:hideMark/>
          </w:tcPr>
          <w:p w14:paraId="719E1758"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6</w:t>
            </w:r>
          </w:p>
        </w:tc>
        <w:tc>
          <w:tcPr>
            <w:tcW w:w="0" w:type="auto"/>
            <w:tcBorders>
              <w:top w:val="nil"/>
              <w:left w:val="nil"/>
              <w:bottom w:val="nil"/>
              <w:right w:val="nil"/>
            </w:tcBorders>
            <w:noWrap/>
            <w:vAlign w:val="center"/>
            <w:hideMark/>
          </w:tcPr>
          <w:p w14:paraId="58F27597"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5,3</w:t>
            </w:r>
          </w:p>
        </w:tc>
      </w:tr>
      <w:tr w:rsidR="00B838F3" w:rsidRPr="008F49F3" w14:paraId="2B98AF0E" w14:textId="77777777" w:rsidTr="00175FEC">
        <w:trPr>
          <w:cantSplit/>
          <w:jc w:val="center"/>
        </w:trPr>
        <w:tc>
          <w:tcPr>
            <w:tcW w:w="0" w:type="auto"/>
            <w:tcBorders>
              <w:top w:val="nil"/>
              <w:left w:val="nil"/>
              <w:bottom w:val="nil"/>
              <w:right w:val="nil"/>
            </w:tcBorders>
            <w:noWrap/>
            <w:vAlign w:val="center"/>
            <w:hideMark/>
          </w:tcPr>
          <w:p w14:paraId="5FA30DC7"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CE</w:t>
            </w:r>
          </w:p>
        </w:tc>
        <w:tc>
          <w:tcPr>
            <w:tcW w:w="0" w:type="auto"/>
            <w:tcBorders>
              <w:top w:val="nil"/>
              <w:left w:val="nil"/>
              <w:bottom w:val="nil"/>
              <w:right w:val="nil"/>
            </w:tcBorders>
            <w:noWrap/>
            <w:vAlign w:val="center"/>
            <w:hideMark/>
          </w:tcPr>
          <w:p w14:paraId="0D5482F5"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7E30A78C"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2,6</w:t>
            </w:r>
          </w:p>
        </w:tc>
      </w:tr>
      <w:tr w:rsidR="00B838F3" w:rsidRPr="008F49F3" w14:paraId="0B75963F" w14:textId="77777777" w:rsidTr="00175FEC">
        <w:trPr>
          <w:cantSplit/>
          <w:jc w:val="center"/>
        </w:trPr>
        <w:tc>
          <w:tcPr>
            <w:tcW w:w="0" w:type="auto"/>
            <w:tcBorders>
              <w:top w:val="nil"/>
              <w:left w:val="nil"/>
              <w:bottom w:val="nil"/>
              <w:right w:val="nil"/>
            </w:tcBorders>
            <w:noWrap/>
            <w:vAlign w:val="center"/>
            <w:hideMark/>
          </w:tcPr>
          <w:p w14:paraId="1B80760B"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DF</w:t>
            </w:r>
          </w:p>
        </w:tc>
        <w:tc>
          <w:tcPr>
            <w:tcW w:w="0" w:type="auto"/>
            <w:tcBorders>
              <w:top w:val="nil"/>
              <w:left w:val="nil"/>
              <w:bottom w:val="nil"/>
              <w:right w:val="nil"/>
            </w:tcBorders>
            <w:noWrap/>
            <w:vAlign w:val="center"/>
            <w:hideMark/>
          </w:tcPr>
          <w:p w14:paraId="2A3D4230"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0B20FC24"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2,6</w:t>
            </w:r>
          </w:p>
        </w:tc>
      </w:tr>
      <w:tr w:rsidR="00B838F3" w:rsidRPr="008F49F3" w14:paraId="0754193A" w14:textId="77777777" w:rsidTr="00175FEC">
        <w:trPr>
          <w:cantSplit/>
          <w:jc w:val="center"/>
        </w:trPr>
        <w:tc>
          <w:tcPr>
            <w:tcW w:w="0" w:type="auto"/>
            <w:tcBorders>
              <w:top w:val="nil"/>
              <w:left w:val="nil"/>
              <w:bottom w:val="nil"/>
              <w:right w:val="nil"/>
            </w:tcBorders>
            <w:noWrap/>
            <w:vAlign w:val="center"/>
            <w:hideMark/>
          </w:tcPr>
          <w:p w14:paraId="3911A5F6"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ES</w:t>
            </w:r>
          </w:p>
        </w:tc>
        <w:tc>
          <w:tcPr>
            <w:tcW w:w="0" w:type="auto"/>
            <w:tcBorders>
              <w:top w:val="nil"/>
              <w:left w:val="nil"/>
              <w:bottom w:val="nil"/>
              <w:right w:val="nil"/>
            </w:tcBorders>
            <w:noWrap/>
            <w:vAlign w:val="center"/>
            <w:hideMark/>
          </w:tcPr>
          <w:p w14:paraId="7518953F"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4B228BA5"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0,9</w:t>
            </w:r>
          </w:p>
        </w:tc>
      </w:tr>
      <w:tr w:rsidR="00B838F3" w:rsidRPr="008F49F3" w14:paraId="268E75B7" w14:textId="77777777" w:rsidTr="00175FEC">
        <w:trPr>
          <w:cantSplit/>
          <w:jc w:val="center"/>
        </w:trPr>
        <w:tc>
          <w:tcPr>
            <w:tcW w:w="0" w:type="auto"/>
            <w:tcBorders>
              <w:top w:val="nil"/>
              <w:left w:val="nil"/>
              <w:bottom w:val="nil"/>
              <w:right w:val="nil"/>
            </w:tcBorders>
            <w:noWrap/>
            <w:vAlign w:val="center"/>
            <w:hideMark/>
          </w:tcPr>
          <w:p w14:paraId="40588935"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MA</w:t>
            </w:r>
          </w:p>
        </w:tc>
        <w:tc>
          <w:tcPr>
            <w:tcW w:w="0" w:type="auto"/>
            <w:tcBorders>
              <w:top w:val="nil"/>
              <w:left w:val="nil"/>
              <w:bottom w:val="nil"/>
              <w:right w:val="nil"/>
            </w:tcBorders>
            <w:noWrap/>
            <w:vAlign w:val="center"/>
            <w:hideMark/>
          </w:tcPr>
          <w:p w14:paraId="1F948681"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1FF8CAF2"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1,8</w:t>
            </w:r>
          </w:p>
        </w:tc>
      </w:tr>
      <w:tr w:rsidR="00B838F3" w:rsidRPr="008F49F3" w14:paraId="688086D1" w14:textId="77777777" w:rsidTr="00175FEC">
        <w:trPr>
          <w:cantSplit/>
          <w:jc w:val="center"/>
        </w:trPr>
        <w:tc>
          <w:tcPr>
            <w:tcW w:w="0" w:type="auto"/>
            <w:tcBorders>
              <w:top w:val="nil"/>
              <w:left w:val="nil"/>
              <w:bottom w:val="nil"/>
              <w:right w:val="nil"/>
            </w:tcBorders>
            <w:noWrap/>
            <w:vAlign w:val="center"/>
            <w:hideMark/>
          </w:tcPr>
          <w:p w14:paraId="4246B21D"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MG</w:t>
            </w:r>
          </w:p>
        </w:tc>
        <w:tc>
          <w:tcPr>
            <w:tcW w:w="0" w:type="auto"/>
            <w:tcBorders>
              <w:top w:val="nil"/>
              <w:left w:val="nil"/>
              <w:bottom w:val="nil"/>
              <w:right w:val="nil"/>
            </w:tcBorders>
            <w:noWrap/>
            <w:vAlign w:val="center"/>
            <w:hideMark/>
          </w:tcPr>
          <w:p w14:paraId="2D2BEB10"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12</w:t>
            </w:r>
          </w:p>
        </w:tc>
        <w:tc>
          <w:tcPr>
            <w:tcW w:w="0" w:type="auto"/>
            <w:tcBorders>
              <w:top w:val="nil"/>
              <w:left w:val="nil"/>
              <w:bottom w:val="nil"/>
              <w:right w:val="nil"/>
            </w:tcBorders>
            <w:noWrap/>
            <w:vAlign w:val="center"/>
            <w:hideMark/>
          </w:tcPr>
          <w:p w14:paraId="08E58734"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10,5</w:t>
            </w:r>
          </w:p>
        </w:tc>
      </w:tr>
      <w:tr w:rsidR="00B838F3" w:rsidRPr="008F49F3" w14:paraId="71ECAC0B" w14:textId="77777777" w:rsidTr="00175FEC">
        <w:trPr>
          <w:cantSplit/>
          <w:jc w:val="center"/>
        </w:trPr>
        <w:tc>
          <w:tcPr>
            <w:tcW w:w="0" w:type="auto"/>
            <w:tcBorders>
              <w:top w:val="nil"/>
              <w:left w:val="nil"/>
              <w:bottom w:val="nil"/>
              <w:right w:val="nil"/>
            </w:tcBorders>
            <w:noWrap/>
            <w:vAlign w:val="center"/>
            <w:hideMark/>
          </w:tcPr>
          <w:p w14:paraId="25C0F138"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MS</w:t>
            </w:r>
          </w:p>
        </w:tc>
        <w:tc>
          <w:tcPr>
            <w:tcW w:w="0" w:type="auto"/>
            <w:tcBorders>
              <w:top w:val="nil"/>
              <w:left w:val="nil"/>
              <w:bottom w:val="nil"/>
              <w:right w:val="nil"/>
            </w:tcBorders>
            <w:noWrap/>
            <w:vAlign w:val="center"/>
            <w:hideMark/>
          </w:tcPr>
          <w:p w14:paraId="75F2BD65"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7C58B38A"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1,8</w:t>
            </w:r>
          </w:p>
        </w:tc>
      </w:tr>
      <w:tr w:rsidR="00B838F3" w:rsidRPr="008F49F3" w14:paraId="00F45C40" w14:textId="77777777" w:rsidTr="00175FEC">
        <w:trPr>
          <w:cantSplit/>
          <w:jc w:val="center"/>
        </w:trPr>
        <w:tc>
          <w:tcPr>
            <w:tcW w:w="0" w:type="auto"/>
            <w:tcBorders>
              <w:top w:val="nil"/>
              <w:left w:val="nil"/>
              <w:bottom w:val="nil"/>
              <w:right w:val="nil"/>
            </w:tcBorders>
            <w:noWrap/>
            <w:vAlign w:val="center"/>
            <w:hideMark/>
          </w:tcPr>
          <w:p w14:paraId="1F910607"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MT</w:t>
            </w:r>
          </w:p>
        </w:tc>
        <w:tc>
          <w:tcPr>
            <w:tcW w:w="0" w:type="auto"/>
            <w:tcBorders>
              <w:top w:val="nil"/>
              <w:left w:val="nil"/>
              <w:bottom w:val="nil"/>
              <w:right w:val="nil"/>
            </w:tcBorders>
            <w:noWrap/>
            <w:vAlign w:val="center"/>
            <w:hideMark/>
          </w:tcPr>
          <w:p w14:paraId="19A100E7"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50AC66E6"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0,9</w:t>
            </w:r>
          </w:p>
        </w:tc>
      </w:tr>
      <w:tr w:rsidR="00B838F3" w:rsidRPr="008F49F3" w14:paraId="3CAC49DF" w14:textId="77777777" w:rsidTr="00175FEC">
        <w:trPr>
          <w:cantSplit/>
          <w:jc w:val="center"/>
        </w:trPr>
        <w:tc>
          <w:tcPr>
            <w:tcW w:w="0" w:type="auto"/>
            <w:tcBorders>
              <w:top w:val="nil"/>
              <w:left w:val="nil"/>
              <w:bottom w:val="nil"/>
              <w:right w:val="nil"/>
            </w:tcBorders>
            <w:noWrap/>
            <w:vAlign w:val="center"/>
            <w:hideMark/>
          </w:tcPr>
          <w:p w14:paraId="3983BCCC"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PA</w:t>
            </w:r>
          </w:p>
        </w:tc>
        <w:tc>
          <w:tcPr>
            <w:tcW w:w="0" w:type="auto"/>
            <w:tcBorders>
              <w:top w:val="nil"/>
              <w:left w:val="nil"/>
              <w:bottom w:val="nil"/>
              <w:right w:val="nil"/>
            </w:tcBorders>
            <w:noWrap/>
            <w:vAlign w:val="center"/>
            <w:hideMark/>
          </w:tcPr>
          <w:p w14:paraId="0DEEA4C5"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5</w:t>
            </w:r>
          </w:p>
        </w:tc>
        <w:tc>
          <w:tcPr>
            <w:tcW w:w="0" w:type="auto"/>
            <w:tcBorders>
              <w:top w:val="nil"/>
              <w:left w:val="nil"/>
              <w:bottom w:val="nil"/>
              <w:right w:val="nil"/>
            </w:tcBorders>
            <w:noWrap/>
            <w:vAlign w:val="center"/>
            <w:hideMark/>
          </w:tcPr>
          <w:p w14:paraId="1733E386"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4,4</w:t>
            </w:r>
          </w:p>
        </w:tc>
      </w:tr>
      <w:tr w:rsidR="00B838F3" w:rsidRPr="008F49F3" w14:paraId="6335441E" w14:textId="77777777" w:rsidTr="00175FEC">
        <w:trPr>
          <w:cantSplit/>
          <w:jc w:val="center"/>
        </w:trPr>
        <w:tc>
          <w:tcPr>
            <w:tcW w:w="0" w:type="auto"/>
            <w:tcBorders>
              <w:top w:val="nil"/>
              <w:left w:val="nil"/>
              <w:bottom w:val="nil"/>
              <w:right w:val="nil"/>
            </w:tcBorders>
            <w:noWrap/>
            <w:vAlign w:val="center"/>
            <w:hideMark/>
          </w:tcPr>
          <w:p w14:paraId="389AC0B6"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PB</w:t>
            </w:r>
          </w:p>
        </w:tc>
        <w:tc>
          <w:tcPr>
            <w:tcW w:w="0" w:type="auto"/>
            <w:tcBorders>
              <w:top w:val="nil"/>
              <w:left w:val="nil"/>
              <w:bottom w:val="nil"/>
              <w:right w:val="nil"/>
            </w:tcBorders>
            <w:noWrap/>
            <w:vAlign w:val="center"/>
            <w:hideMark/>
          </w:tcPr>
          <w:p w14:paraId="23DFD1A6"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5C7A8460"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2,6</w:t>
            </w:r>
          </w:p>
        </w:tc>
      </w:tr>
      <w:tr w:rsidR="00B838F3" w:rsidRPr="008F49F3" w14:paraId="547499BE" w14:textId="77777777" w:rsidTr="00175FEC">
        <w:trPr>
          <w:cantSplit/>
          <w:jc w:val="center"/>
        </w:trPr>
        <w:tc>
          <w:tcPr>
            <w:tcW w:w="0" w:type="auto"/>
            <w:tcBorders>
              <w:top w:val="nil"/>
              <w:left w:val="nil"/>
              <w:bottom w:val="nil"/>
              <w:right w:val="nil"/>
            </w:tcBorders>
            <w:noWrap/>
            <w:vAlign w:val="center"/>
            <w:hideMark/>
          </w:tcPr>
          <w:p w14:paraId="0D832CA9"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PE</w:t>
            </w:r>
          </w:p>
        </w:tc>
        <w:tc>
          <w:tcPr>
            <w:tcW w:w="0" w:type="auto"/>
            <w:tcBorders>
              <w:top w:val="nil"/>
              <w:left w:val="nil"/>
              <w:bottom w:val="nil"/>
              <w:right w:val="nil"/>
            </w:tcBorders>
            <w:noWrap/>
            <w:vAlign w:val="center"/>
            <w:hideMark/>
          </w:tcPr>
          <w:p w14:paraId="7C55093C"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65504BB0"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2,6</w:t>
            </w:r>
          </w:p>
        </w:tc>
      </w:tr>
      <w:tr w:rsidR="00B838F3" w:rsidRPr="008F49F3" w14:paraId="78D52485" w14:textId="77777777" w:rsidTr="00175FEC">
        <w:trPr>
          <w:cantSplit/>
          <w:jc w:val="center"/>
        </w:trPr>
        <w:tc>
          <w:tcPr>
            <w:tcW w:w="0" w:type="auto"/>
            <w:tcBorders>
              <w:top w:val="nil"/>
              <w:left w:val="nil"/>
              <w:bottom w:val="nil"/>
              <w:right w:val="nil"/>
            </w:tcBorders>
            <w:noWrap/>
            <w:vAlign w:val="center"/>
            <w:hideMark/>
          </w:tcPr>
          <w:p w14:paraId="183B0310"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PI</w:t>
            </w:r>
          </w:p>
        </w:tc>
        <w:tc>
          <w:tcPr>
            <w:tcW w:w="0" w:type="auto"/>
            <w:tcBorders>
              <w:top w:val="nil"/>
              <w:left w:val="nil"/>
              <w:bottom w:val="nil"/>
              <w:right w:val="nil"/>
            </w:tcBorders>
            <w:noWrap/>
            <w:vAlign w:val="center"/>
            <w:hideMark/>
          </w:tcPr>
          <w:p w14:paraId="2AF14C03"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05FDE8B5"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1,8</w:t>
            </w:r>
          </w:p>
        </w:tc>
      </w:tr>
      <w:tr w:rsidR="00B838F3" w:rsidRPr="008F49F3" w14:paraId="23996C8E" w14:textId="77777777" w:rsidTr="00175FEC">
        <w:trPr>
          <w:cantSplit/>
          <w:jc w:val="center"/>
        </w:trPr>
        <w:tc>
          <w:tcPr>
            <w:tcW w:w="0" w:type="auto"/>
            <w:tcBorders>
              <w:top w:val="nil"/>
              <w:left w:val="nil"/>
              <w:bottom w:val="nil"/>
              <w:right w:val="nil"/>
            </w:tcBorders>
            <w:noWrap/>
            <w:vAlign w:val="center"/>
            <w:hideMark/>
          </w:tcPr>
          <w:p w14:paraId="23E6E812"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PR</w:t>
            </w:r>
          </w:p>
        </w:tc>
        <w:tc>
          <w:tcPr>
            <w:tcW w:w="0" w:type="auto"/>
            <w:tcBorders>
              <w:top w:val="nil"/>
              <w:left w:val="nil"/>
              <w:bottom w:val="nil"/>
              <w:right w:val="nil"/>
            </w:tcBorders>
            <w:noWrap/>
            <w:vAlign w:val="center"/>
            <w:hideMark/>
          </w:tcPr>
          <w:p w14:paraId="6C61C7CA"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15</w:t>
            </w:r>
          </w:p>
        </w:tc>
        <w:tc>
          <w:tcPr>
            <w:tcW w:w="0" w:type="auto"/>
            <w:tcBorders>
              <w:top w:val="nil"/>
              <w:left w:val="nil"/>
              <w:bottom w:val="nil"/>
              <w:right w:val="nil"/>
            </w:tcBorders>
            <w:noWrap/>
            <w:vAlign w:val="center"/>
            <w:hideMark/>
          </w:tcPr>
          <w:p w14:paraId="7E3A74A2"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13,2</w:t>
            </w:r>
          </w:p>
        </w:tc>
      </w:tr>
      <w:tr w:rsidR="00B838F3" w:rsidRPr="008F49F3" w14:paraId="2B447AB6" w14:textId="77777777" w:rsidTr="00175FEC">
        <w:trPr>
          <w:cantSplit/>
          <w:jc w:val="center"/>
        </w:trPr>
        <w:tc>
          <w:tcPr>
            <w:tcW w:w="0" w:type="auto"/>
            <w:tcBorders>
              <w:top w:val="nil"/>
              <w:left w:val="nil"/>
              <w:bottom w:val="nil"/>
              <w:right w:val="nil"/>
            </w:tcBorders>
            <w:noWrap/>
            <w:vAlign w:val="center"/>
            <w:hideMark/>
          </w:tcPr>
          <w:p w14:paraId="4FE6473F"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RJ</w:t>
            </w:r>
          </w:p>
        </w:tc>
        <w:tc>
          <w:tcPr>
            <w:tcW w:w="0" w:type="auto"/>
            <w:tcBorders>
              <w:top w:val="nil"/>
              <w:left w:val="nil"/>
              <w:bottom w:val="nil"/>
              <w:right w:val="nil"/>
            </w:tcBorders>
            <w:noWrap/>
            <w:vAlign w:val="center"/>
            <w:hideMark/>
          </w:tcPr>
          <w:p w14:paraId="5048168D"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11</w:t>
            </w:r>
          </w:p>
        </w:tc>
        <w:tc>
          <w:tcPr>
            <w:tcW w:w="0" w:type="auto"/>
            <w:tcBorders>
              <w:top w:val="nil"/>
              <w:left w:val="nil"/>
              <w:bottom w:val="nil"/>
              <w:right w:val="nil"/>
            </w:tcBorders>
            <w:noWrap/>
            <w:vAlign w:val="center"/>
            <w:hideMark/>
          </w:tcPr>
          <w:p w14:paraId="7895F0D1"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9,6</w:t>
            </w:r>
          </w:p>
        </w:tc>
      </w:tr>
      <w:tr w:rsidR="00B838F3" w:rsidRPr="008F49F3" w14:paraId="601048EC" w14:textId="77777777" w:rsidTr="00175FEC">
        <w:trPr>
          <w:cantSplit/>
          <w:jc w:val="center"/>
        </w:trPr>
        <w:tc>
          <w:tcPr>
            <w:tcW w:w="0" w:type="auto"/>
            <w:tcBorders>
              <w:top w:val="nil"/>
              <w:left w:val="nil"/>
              <w:bottom w:val="nil"/>
              <w:right w:val="nil"/>
            </w:tcBorders>
            <w:noWrap/>
            <w:vAlign w:val="center"/>
            <w:hideMark/>
          </w:tcPr>
          <w:p w14:paraId="7D246A76"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RN</w:t>
            </w:r>
          </w:p>
        </w:tc>
        <w:tc>
          <w:tcPr>
            <w:tcW w:w="0" w:type="auto"/>
            <w:tcBorders>
              <w:top w:val="nil"/>
              <w:left w:val="nil"/>
              <w:bottom w:val="nil"/>
              <w:right w:val="nil"/>
            </w:tcBorders>
            <w:noWrap/>
            <w:vAlign w:val="center"/>
            <w:hideMark/>
          </w:tcPr>
          <w:p w14:paraId="7915229B"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3ADD8A52"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1,8</w:t>
            </w:r>
          </w:p>
        </w:tc>
      </w:tr>
      <w:tr w:rsidR="00B838F3" w:rsidRPr="008F49F3" w14:paraId="59E8D23F" w14:textId="77777777" w:rsidTr="00175FEC">
        <w:trPr>
          <w:cantSplit/>
          <w:jc w:val="center"/>
        </w:trPr>
        <w:tc>
          <w:tcPr>
            <w:tcW w:w="0" w:type="auto"/>
            <w:tcBorders>
              <w:top w:val="nil"/>
              <w:left w:val="nil"/>
              <w:bottom w:val="nil"/>
              <w:right w:val="nil"/>
            </w:tcBorders>
            <w:noWrap/>
            <w:vAlign w:val="center"/>
            <w:hideMark/>
          </w:tcPr>
          <w:p w14:paraId="6BCA7D78"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RO</w:t>
            </w:r>
          </w:p>
        </w:tc>
        <w:tc>
          <w:tcPr>
            <w:tcW w:w="0" w:type="auto"/>
            <w:tcBorders>
              <w:top w:val="nil"/>
              <w:left w:val="nil"/>
              <w:bottom w:val="nil"/>
              <w:right w:val="nil"/>
            </w:tcBorders>
            <w:noWrap/>
            <w:vAlign w:val="center"/>
            <w:hideMark/>
          </w:tcPr>
          <w:p w14:paraId="523C4879"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6DB528BD"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0,9</w:t>
            </w:r>
          </w:p>
        </w:tc>
      </w:tr>
      <w:tr w:rsidR="00B838F3" w:rsidRPr="008F49F3" w14:paraId="3F5D28B1" w14:textId="77777777" w:rsidTr="00175FEC">
        <w:trPr>
          <w:cantSplit/>
          <w:jc w:val="center"/>
        </w:trPr>
        <w:tc>
          <w:tcPr>
            <w:tcW w:w="0" w:type="auto"/>
            <w:tcBorders>
              <w:top w:val="nil"/>
              <w:left w:val="nil"/>
              <w:bottom w:val="nil"/>
              <w:right w:val="nil"/>
            </w:tcBorders>
            <w:noWrap/>
            <w:vAlign w:val="center"/>
            <w:hideMark/>
          </w:tcPr>
          <w:p w14:paraId="53D690D4"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RS</w:t>
            </w:r>
          </w:p>
        </w:tc>
        <w:tc>
          <w:tcPr>
            <w:tcW w:w="0" w:type="auto"/>
            <w:tcBorders>
              <w:top w:val="nil"/>
              <w:left w:val="nil"/>
              <w:bottom w:val="nil"/>
              <w:right w:val="nil"/>
            </w:tcBorders>
            <w:noWrap/>
            <w:vAlign w:val="center"/>
            <w:hideMark/>
          </w:tcPr>
          <w:p w14:paraId="697EFBF7"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8</w:t>
            </w:r>
          </w:p>
        </w:tc>
        <w:tc>
          <w:tcPr>
            <w:tcW w:w="0" w:type="auto"/>
            <w:tcBorders>
              <w:top w:val="nil"/>
              <w:left w:val="nil"/>
              <w:bottom w:val="nil"/>
              <w:right w:val="nil"/>
            </w:tcBorders>
            <w:noWrap/>
            <w:vAlign w:val="center"/>
            <w:hideMark/>
          </w:tcPr>
          <w:p w14:paraId="47952299"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7</w:t>
            </w:r>
          </w:p>
        </w:tc>
      </w:tr>
      <w:tr w:rsidR="00B838F3" w:rsidRPr="008F49F3" w14:paraId="5A466667" w14:textId="77777777" w:rsidTr="00175FEC">
        <w:trPr>
          <w:cantSplit/>
          <w:jc w:val="center"/>
        </w:trPr>
        <w:tc>
          <w:tcPr>
            <w:tcW w:w="0" w:type="auto"/>
            <w:tcBorders>
              <w:top w:val="nil"/>
              <w:left w:val="nil"/>
              <w:bottom w:val="nil"/>
              <w:right w:val="nil"/>
            </w:tcBorders>
            <w:noWrap/>
            <w:vAlign w:val="center"/>
            <w:hideMark/>
          </w:tcPr>
          <w:p w14:paraId="73EED15C"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SC</w:t>
            </w:r>
          </w:p>
        </w:tc>
        <w:tc>
          <w:tcPr>
            <w:tcW w:w="0" w:type="auto"/>
            <w:tcBorders>
              <w:top w:val="nil"/>
              <w:left w:val="nil"/>
              <w:bottom w:val="nil"/>
              <w:right w:val="nil"/>
            </w:tcBorders>
            <w:noWrap/>
            <w:vAlign w:val="center"/>
            <w:hideMark/>
          </w:tcPr>
          <w:p w14:paraId="2BE2A611"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14</w:t>
            </w:r>
          </w:p>
        </w:tc>
        <w:tc>
          <w:tcPr>
            <w:tcW w:w="0" w:type="auto"/>
            <w:tcBorders>
              <w:top w:val="nil"/>
              <w:left w:val="nil"/>
              <w:bottom w:val="nil"/>
              <w:right w:val="nil"/>
            </w:tcBorders>
            <w:noWrap/>
            <w:vAlign w:val="center"/>
            <w:hideMark/>
          </w:tcPr>
          <w:p w14:paraId="3109A687"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12,3</w:t>
            </w:r>
          </w:p>
        </w:tc>
      </w:tr>
      <w:tr w:rsidR="00B838F3" w:rsidRPr="008F49F3" w14:paraId="5A5B818C" w14:textId="77777777" w:rsidTr="00175FEC">
        <w:trPr>
          <w:cantSplit/>
          <w:jc w:val="center"/>
        </w:trPr>
        <w:tc>
          <w:tcPr>
            <w:tcW w:w="0" w:type="auto"/>
            <w:tcBorders>
              <w:top w:val="nil"/>
              <w:left w:val="nil"/>
              <w:bottom w:val="nil"/>
              <w:right w:val="nil"/>
            </w:tcBorders>
            <w:noWrap/>
            <w:vAlign w:val="center"/>
            <w:hideMark/>
          </w:tcPr>
          <w:p w14:paraId="59D363B2"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SP</w:t>
            </w:r>
          </w:p>
        </w:tc>
        <w:tc>
          <w:tcPr>
            <w:tcW w:w="0" w:type="auto"/>
            <w:tcBorders>
              <w:top w:val="nil"/>
              <w:left w:val="nil"/>
              <w:bottom w:val="nil"/>
              <w:right w:val="nil"/>
            </w:tcBorders>
            <w:noWrap/>
            <w:vAlign w:val="center"/>
            <w:hideMark/>
          </w:tcPr>
          <w:p w14:paraId="1DA47B2F"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16</w:t>
            </w:r>
          </w:p>
        </w:tc>
        <w:tc>
          <w:tcPr>
            <w:tcW w:w="0" w:type="auto"/>
            <w:tcBorders>
              <w:top w:val="nil"/>
              <w:left w:val="nil"/>
              <w:bottom w:val="nil"/>
              <w:right w:val="nil"/>
            </w:tcBorders>
            <w:noWrap/>
            <w:vAlign w:val="center"/>
            <w:hideMark/>
          </w:tcPr>
          <w:p w14:paraId="4A16738B"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14</w:t>
            </w:r>
          </w:p>
        </w:tc>
      </w:tr>
      <w:tr w:rsidR="00B838F3" w:rsidRPr="008F49F3" w14:paraId="4F5DD50E" w14:textId="77777777" w:rsidTr="00175FEC">
        <w:trPr>
          <w:cantSplit/>
          <w:jc w:val="center"/>
        </w:trPr>
        <w:tc>
          <w:tcPr>
            <w:tcW w:w="0" w:type="auto"/>
            <w:tcBorders>
              <w:top w:val="nil"/>
              <w:left w:val="nil"/>
              <w:bottom w:val="single" w:sz="4" w:space="0" w:color="auto"/>
              <w:right w:val="nil"/>
            </w:tcBorders>
            <w:noWrap/>
            <w:vAlign w:val="center"/>
            <w:hideMark/>
          </w:tcPr>
          <w:p w14:paraId="0385C0D7"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Total</w:t>
            </w:r>
          </w:p>
        </w:tc>
        <w:tc>
          <w:tcPr>
            <w:tcW w:w="0" w:type="auto"/>
            <w:tcBorders>
              <w:top w:val="nil"/>
              <w:left w:val="nil"/>
              <w:bottom w:val="single" w:sz="4" w:space="0" w:color="auto"/>
              <w:right w:val="nil"/>
            </w:tcBorders>
            <w:noWrap/>
            <w:vAlign w:val="center"/>
            <w:hideMark/>
          </w:tcPr>
          <w:p w14:paraId="3D439793"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114</w:t>
            </w:r>
          </w:p>
        </w:tc>
        <w:tc>
          <w:tcPr>
            <w:tcW w:w="0" w:type="auto"/>
            <w:tcBorders>
              <w:top w:val="nil"/>
              <w:left w:val="nil"/>
              <w:bottom w:val="single" w:sz="4" w:space="0" w:color="auto"/>
              <w:right w:val="nil"/>
            </w:tcBorders>
            <w:noWrap/>
            <w:vAlign w:val="center"/>
            <w:hideMark/>
          </w:tcPr>
          <w:p w14:paraId="651AC754"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100</w:t>
            </w:r>
          </w:p>
        </w:tc>
      </w:tr>
    </w:tbl>
    <w:p w14:paraId="4897CA86"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BF2517F" w14:textId="1FE8FF53" w:rsidR="00B838F3" w:rsidRPr="003508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São Paulo (SP) lidera a concentração com 14% (n = 16) dos programas, refletindo o protagonismo acadêmico e institucional do estado, que abriga importantes universidades públicas e privadas, além de centros de excelência em pesquisa científica e tecnológica.</w:t>
      </w:r>
    </w:p>
    <w:p w14:paraId="3A2D4550" w14:textId="77777777" w:rsidR="00B838F3" w:rsidRPr="003508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O estado do Paraná (PR) vem em seguida, com expressivos 13,2% (n = 15), o que destaca a relevância dessa unidade federativa, especialmente no que diz respeito à inovação, pesquisa aplicada e desenvolvimento tecnológico.</w:t>
      </w:r>
    </w:p>
    <w:p w14:paraId="75C8CF2C"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Em terceiro lugar está Santa Catarina (SC), com 12,3% (n = 14), reforçando o papel crescente deste estado no cenário acadêmico brasileiro, particularmente em áreas como tecnologia e gestão.</w:t>
      </w:r>
    </w:p>
    <w:p w14:paraId="33C0C545" w14:textId="77777777" w:rsidR="00B838F3" w:rsidRPr="003508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Minas Gerais (MG) também tem grande relevância, concentrando 10,5% (n = 12) dos programas, com destaque para sua tradição em universidades federais e estaduais.</w:t>
      </w:r>
    </w:p>
    <w:p w14:paraId="359E4B6B" w14:textId="77777777" w:rsidR="00B838F3" w:rsidRPr="003508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O Rio de Janeiro (RJ), com 9,6% (n = 11), mantém posição significativa, decorrente de sua histórica importância acadêmica e científica, com instituições tradicionalmente fortes na pesquisa interdisciplinar e aplicada.</w:t>
      </w:r>
    </w:p>
    <w:p w14:paraId="14C02396" w14:textId="77777777" w:rsidR="00B838F3" w:rsidRPr="003508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O Rio Grande do Sul (RS) aparece com destaque intermediário, apresentando 7% (n = 8), consolidando seu papel acadêmico especialmente em programas ligados à inovação e gestão.</w:t>
      </w:r>
    </w:p>
    <w:p w14:paraId="2A21F18F" w14:textId="77777777" w:rsidR="00B838F3" w:rsidRPr="003508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lastRenderedPageBreak/>
        <w:t>Outros estados apresentam participação mais modesta, variando entre 0,9% e 5,3%, com destaque intermediário para a Bahia (BA) com 5,3% (n = 6) e o Pará (PA) com 4,4% (n = 5), indicando esforços regionais emergentes para fortalecer programas nessa área temática.</w:t>
      </w:r>
    </w:p>
    <w:p w14:paraId="733CBA09" w14:textId="77777777" w:rsidR="00B838F3" w:rsidRPr="003508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É importante notar que estados das regiões Norte (como Amazonas e Rondônia), Nordeste (como Maranhão, Piauí e Rio Grande do Norte) e Centro-Oeste (Mato Grosso, Mato Grosso do Sul e Distrito Federal) ainda apresentam números baixos de programas, refletindo desafios estruturais na ampliação da oferta acadêmica nessas regiões.</w:t>
      </w:r>
    </w:p>
    <w:p w14:paraId="7BB9E938"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5085C">
        <w:rPr>
          <w:rFonts w:ascii="Times New Roman" w:eastAsia="Times New Roman" w:hAnsi="Times New Roman" w:cs="Times New Roman"/>
          <w:sz w:val="24"/>
          <w:szCs w:val="24"/>
        </w:rPr>
        <w:t>Em síntese, a análise por UF confirma a predominância de São Paulo, Paraná e Santa Catarina, destacando o Sudeste e o Sul como polos consolidados de formação e pesquisa em Gestão do Conhecimento no país. Esses resultados sugerem fortemente a necessidade de políticas específicas para estimular e equilibrar a expansão de programas acadêmicos de GC nas demais regiões, buscando maior equidade e desenvolvimento acadêmico e profissional em escala nacional.</w:t>
      </w:r>
    </w:p>
    <w:p w14:paraId="26351696" w14:textId="77777777" w:rsidR="00B838F3" w:rsidRPr="00213B16"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13B16">
        <w:rPr>
          <w:rFonts w:ascii="Times New Roman" w:eastAsia="Times New Roman" w:hAnsi="Times New Roman" w:cs="Times New Roman"/>
          <w:sz w:val="20"/>
          <w:szCs w:val="20"/>
        </w:rPr>
        <w:t xml:space="preserve">Tabela </w:t>
      </w:r>
      <w:r>
        <w:rPr>
          <w:rFonts w:ascii="Times New Roman" w:eastAsia="Times New Roman" w:hAnsi="Times New Roman" w:cs="Times New Roman"/>
          <w:sz w:val="20"/>
          <w:szCs w:val="20"/>
        </w:rPr>
        <w:t>3 -</w:t>
      </w:r>
      <w:r w:rsidRPr="00213B16">
        <w:rPr>
          <w:rFonts w:ascii="Times New Roman" w:eastAsia="Times New Roman" w:hAnsi="Times New Roman" w:cs="Times New Roman"/>
          <w:sz w:val="20"/>
          <w:szCs w:val="20"/>
        </w:rPr>
        <w:t xml:space="preserve"> Distribuição dos Programas por </w:t>
      </w:r>
      <w:r>
        <w:rPr>
          <w:rFonts w:ascii="Times New Roman" w:eastAsia="Times New Roman" w:hAnsi="Times New Roman" w:cs="Times New Roman"/>
          <w:sz w:val="20"/>
          <w:szCs w:val="20"/>
        </w:rPr>
        <w:t>Modalidade</w:t>
      </w:r>
    </w:p>
    <w:tbl>
      <w:tblPr>
        <w:tblW w:w="0" w:type="auto"/>
        <w:jc w:val="center"/>
        <w:tblCellMar>
          <w:left w:w="70" w:type="dxa"/>
          <w:right w:w="70" w:type="dxa"/>
        </w:tblCellMar>
        <w:tblLook w:val="04A0" w:firstRow="1" w:lastRow="0" w:firstColumn="1" w:lastColumn="0" w:noHBand="0" w:noVBand="1"/>
      </w:tblPr>
      <w:tblGrid>
        <w:gridCol w:w="1523"/>
        <w:gridCol w:w="1107"/>
        <w:gridCol w:w="1262"/>
      </w:tblGrid>
      <w:tr w:rsidR="00B838F3" w:rsidRPr="008F49F3" w14:paraId="39E7C82F" w14:textId="77777777" w:rsidTr="00175FEC">
        <w:trPr>
          <w:cantSplit/>
          <w:jc w:val="center"/>
        </w:trPr>
        <w:tc>
          <w:tcPr>
            <w:tcW w:w="0" w:type="auto"/>
            <w:tcBorders>
              <w:top w:val="single" w:sz="4" w:space="0" w:color="auto"/>
              <w:left w:val="nil"/>
              <w:bottom w:val="single" w:sz="4" w:space="0" w:color="auto"/>
              <w:right w:val="nil"/>
            </w:tcBorders>
            <w:noWrap/>
            <w:vAlign w:val="center"/>
            <w:hideMark/>
          </w:tcPr>
          <w:p w14:paraId="32CF7C78"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Modalidade</w:t>
            </w:r>
          </w:p>
        </w:tc>
        <w:tc>
          <w:tcPr>
            <w:tcW w:w="0" w:type="auto"/>
            <w:tcBorders>
              <w:top w:val="single" w:sz="4" w:space="0" w:color="auto"/>
              <w:left w:val="nil"/>
              <w:bottom w:val="single" w:sz="4" w:space="0" w:color="auto"/>
              <w:right w:val="nil"/>
            </w:tcBorders>
            <w:noWrap/>
            <w:vAlign w:val="center"/>
            <w:hideMark/>
          </w:tcPr>
          <w:p w14:paraId="5CE6DE96"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Frequência</w:t>
            </w:r>
          </w:p>
        </w:tc>
        <w:tc>
          <w:tcPr>
            <w:tcW w:w="0" w:type="auto"/>
            <w:tcBorders>
              <w:top w:val="single" w:sz="4" w:space="0" w:color="auto"/>
              <w:left w:val="nil"/>
              <w:bottom w:val="single" w:sz="4" w:space="0" w:color="auto"/>
              <w:right w:val="nil"/>
            </w:tcBorders>
            <w:noWrap/>
            <w:vAlign w:val="center"/>
            <w:hideMark/>
          </w:tcPr>
          <w:p w14:paraId="1FF5F5EA"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Porcentagem</w:t>
            </w:r>
          </w:p>
        </w:tc>
      </w:tr>
      <w:tr w:rsidR="00B838F3" w:rsidRPr="008F49F3" w14:paraId="231FB638" w14:textId="77777777" w:rsidTr="00175FEC">
        <w:trPr>
          <w:cantSplit/>
          <w:jc w:val="center"/>
        </w:trPr>
        <w:tc>
          <w:tcPr>
            <w:tcW w:w="0" w:type="auto"/>
            <w:tcBorders>
              <w:top w:val="nil"/>
              <w:left w:val="nil"/>
              <w:bottom w:val="nil"/>
              <w:right w:val="nil"/>
            </w:tcBorders>
            <w:noWrap/>
            <w:vAlign w:val="center"/>
            <w:hideMark/>
          </w:tcPr>
          <w:p w14:paraId="0BF77311"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Acadêmico</w:t>
            </w:r>
          </w:p>
        </w:tc>
        <w:tc>
          <w:tcPr>
            <w:tcW w:w="0" w:type="auto"/>
            <w:tcBorders>
              <w:top w:val="nil"/>
              <w:left w:val="nil"/>
              <w:bottom w:val="nil"/>
              <w:right w:val="nil"/>
            </w:tcBorders>
            <w:noWrap/>
            <w:vAlign w:val="center"/>
            <w:hideMark/>
          </w:tcPr>
          <w:p w14:paraId="2F060B4C"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67</w:t>
            </w:r>
          </w:p>
        </w:tc>
        <w:tc>
          <w:tcPr>
            <w:tcW w:w="0" w:type="auto"/>
            <w:tcBorders>
              <w:top w:val="nil"/>
              <w:left w:val="nil"/>
              <w:bottom w:val="nil"/>
              <w:right w:val="nil"/>
            </w:tcBorders>
            <w:noWrap/>
            <w:vAlign w:val="center"/>
            <w:hideMark/>
          </w:tcPr>
          <w:p w14:paraId="15EC3E53"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58,8</w:t>
            </w:r>
          </w:p>
        </w:tc>
      </w:tr>
      <w:tr w:rsidR="00B838F3" w:rsidRPr="008F49F3" w14:paraId="009AE822" w14:textId="77777777" w:rsidTr="00175FEC">
        <w:trPr>
          <w:cantSplit/>
          <w:jc w:val="center"/>
        </w:trPr>
        <w:tc>
          <w:tcPr>
            <w:tcW w:w="0" w:type="auto"/>
            <w:tcBorders>
              <w:top w:val="nil"/>
              <w:left w:val="nil"/>
              <w:bottom w:val="nil"/>
              <w:right w:val="nil"/>
            </w:tcBorders>
            <w:noWrap/>
            <w:vAlign w:val="center"/>
            <w:hideMark/>
          </w:tcPr>
          <w:p w14:paraId="129E4170"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Não especificado</w:t>
            </w:r>
          </w:p>
        </w:tc>
        <w:tc>
          <w:tcPr>
            <w:tcW w:w="0" w:type="auto"/>
            <w:tcBorders>
              <w:top w:val="nil"/>
              <w:left w:val="nil"/>
              <w:bottom w:val="nil"/>
              <w:right w:val="nil"/>
            </w:tcBorders>
            <w:noWrap/>
            <w:vAlign w:val="center"/>
            <w:hideMark/>
          </w:tcPr>
          <w:p w14:paraId="5C4116EA"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37</w:t>
            </w:r>
          </w:p>
        </w:tc>
        <w:tc>
          <w:tcPr>
            <w:tcW w:w="0" w:type="auto"/>
            <w:tcBorders>
              <w:top w:val="nil"/>
              <w:left w:val="nil"/>
              <w:bottom w:val="nil"/>
              <w:right w:val="nil"/>
            </w:tcBorders>
            <w:noWrap/>
            <w:vAlign w:val="center"/>
            <w:hideMark/>
          </w:tcPr>
          <w:p w14:paraId="4818F5CF"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32,5</w:t>
            </w:r>
          </w:p>
        </w:tc>
      </w:tr>
      <w:tr w:rsidR="00B838F3" w:rsidRPr="008F49F3" w14:paraId="32BBE4ED" w14:textId="77777777" w:rsidTr="00175FEC">
        <w:trPr>
          <w:cantSplit/>
          <w:jc w:val="center"/>
        </w:trPr>
        <w:tc>
          <w:tcPr>
            <w:tcW w:w="0" w:type="auto"/>
            <w:tcBorders>
              <w:top w:val="nil"/>
              <w:left w:val="nil"/>
              <w:bottom w:val="nil"/>
              <w:right w:val="nil"/>
            </w:tcBorders>
            <w:noWrap/>
            <w:vAlign w:val="center"/>
            <w:hideMark/>
          </w:tcPr>
          <w:p w14:paraId="51C82356"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Profissional</w:t>
            </w:r>
          </w:p>
        </w:tc>
        <w:tc>
          <w:tcPr>
            <w:tcW w:w="0" w:type="auto"/>
            <w:tcBorders>
              <w:top w:val="nil"/>
              <w:left w:val="nil"/>
              <w:bottom w:val="nil"/>
              <w:right w:val="nil"/>
            </w:tcBorders>
            <w:noWrap/>
            <w:vAlign w:val="center"/>
            <w:hideMark/>
          </w:tcPr>
          <w:p w14:paraId="060082EC"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10</w:t>
            </w:r>
          </w:p>
        </w:tc>
        <w:tc>
          <w:tcPr>
            <w:tcW w:w="0" w:type="auto"/>
            <w:tcBorders>
              <w:top w:val="nil"/>
              <w:left w:val="nil"/>
              <w:bottom w:val="nil"/>
              <w:right w:val="nil"/>
            </w:tcBorders>
            <w:noWrap/>
            <w:vAlign w:val="center"/>
            <w:hideMark/>
          </w:tcPr>
          <w:p w14:paraId="5CAB4D28"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8,8</w:t>
            </w:r>
          </w:p>
        </w:tc>
      </w:tr>
      <w:tr w:rsidR="00B838F3" w:rsidRPr="008F49F3" w14:paraId="2248C94F" w14:textId="77777777" w:rsidTr="00175FEC">
        <w:trPr>
          <w:cantSplit/>
          <w:jc w:val="center"/>
        </w:trPr>
        <w:tc>
          <w:tcPr>
            <w:tcW w:w="0" w:type="auto"/>
            <w:tcBorders>
              <w:top w:val="nil"/>
              <w:left w:val="nil"/>
              <w:bottom w:val="single" w:sz="4" w:space="0" w:color="auto"/>
              <w:right w:val="nil"/>
            </w:tcBorders>
            <w:noWrap/>
            <w:vAlign w:val="center"/>
            <w:hideMark/>
          </w:tcPr>
          <w:p w14:paraId="6D4A396D"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Total</w:t>
            </w:r>
          </w:p>
        </w:tc>
        <w:tc>
          <w:tcPr>
            <w:tcW w:w="0" w:type="auto"/>
            <w:tcBorders>
              <w:top w:val="nil"/>
              <w:left w:val="nil"/>
              <w:bottom w:val="single" w:sz="4" w:space="0" w:color="auto"/>
              <w:right w:val="nil"/>
            </w:tcBorders>
            <w:noWrap/>
            <w:vAlign w:val="center"/>
            <w:hideMark/>
          </w:tcPr>
          <w:p w14:paraId="538A08ED"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114</w:t>
            </w:r>
          </w:p>
        </w:tc>
        <w:tc>
          <w:tcPr>
            <w:tcW w:w="0" w:type="auto"/>
            <w:tcBorders>
              <w:top w:val="nil"/>
              <w:left w:val="nil"/>
              <w:bottom w:val="single" w:sz="4" w:space="0" w:color="auto"/>
              <w:right w:val="nil"/>
            </w:tcBorders>
            <w:noWrap/>
            <w:vAlign w:val="center"/>
            <w:hideMark/>
          </w:tcPr>
          <w:p w14:paraId="71854F86"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100</w:t>
            </w:r>
          </w:p>
        </w:tc>
      </w:tr>
    </w:tbl>
    <w:p w14:paraId="2010E09A"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7F408A0" w14:textId="02415970"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 xml:space="preserve">A Tabela </w:t>
      </w:r>
      <w:r>
        <w:rPr>
          <w:rFonts w:ascii="Times New Roman" w:eastAsia="Times New Roman" w:hAnsi="Times New Roman" w:cs="Times New Roman"/>
          <w:sz w:val="24"/>
          <w:szCs w:val="24"/>
        </w:rPr>
        <w:t xml:space="preserve">3 </w:t>
      </w:r>
      <w:r w:rsidRPr="000962E6">
        <w:rPr>
          <w:rFonts w:ascii="Times New Roman" w:eastAsia="Times New Roman" w:hAnsi="Times New Roman" w:cs="Times New Roman"/>
          <w:sz w:val="24"/>
          <w:szCs w:val="24"/>
        </w:rPr>
        <w:t>apresenta a distribuição dos programas de pós-graduação em Gestão do Conhecimento (GC) segundo sua modalidade, destacando claramente três categorias distintas: Acadêmica, Profissional e Não especificada.</w:t>
      </w:r>
    </w:p>
    <w:p w14:paraId="37FB9F31" w14:textId="77777777"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A modalidade predominante é a Acadêmica, representando 58,8% (n = 67) dos programas analisados. Este dado evidencia que a maior parte dos programas está voltada à formação acadêmica tradicional, com forte ênfase em pesquisa científica e produção de conhecimento teórico e metodológico. Tal concentração reflete a importância que a GC tem adquirido no meio acadêmico e na pesquisa interdisciplinar no Brasil.</w:t>
      </w:r>
    </w:p>
    <w:p w14:paraId="407D9045" w14:textId="77777777"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 xml:space="preserve">Os programas classificados como </w:t>
      </w:r>
      <w:r>
        <w:rPr>
          <w:rFonts w:ascii="Times New Roman" w:eastAsia="Times New Roman" w:hAnsi="Times New Roman" w:cs="Times New Roman"/>
          <w:sz w:val="24"/>
          <w:szCs w:val="24"/>
        </w:rPr>
        <w:t>“</w:t>
      </w:r>
      <w:r w:rsidRPr="000962E6">
        <w:rPr>
          <w:rFonts w:ascii="Times New Roman" w:eastAsia="Times New Roman" w:hAnsi="Times New Roman" w:cs="Times New Roman"/>
          <w:sz w:val="24"/>
          <w:szCs w:val="24"/>
        </w:rPr>
        <w:t>Não especificados</w:t>
      </w:r>
      <w:r>
        <w:rPr>
          <w:rFonts w:ascii="Times New Roman" w:eastAsia="Times New Roman" w:hAnsi="Times New Roman" w:cs="Times New Roman"/>
          <w:sz w:val="24"/>
          <w:szCs w:val="24"/>
        </w:rPr>
        <w:t>”</w:t>
      </w:r>
      <w:r w:rsidRPr="000962E6">
        <w:rPr>
          <w:rFonts w:ascii="Times New Roman" w:eastAsia="Times New Roman" w:hAnsi="Times New Roman" w:cs="Times New Roman"/>
          <w:sz w:val="24"/>
          <w:szCs w:val="24"/>
        </w:rPr>
        <w:t xml:space="preserve"> representam uma parcela significativa (32,5%, n = 37), revelando uma possível limitação na clareza ou disponibilidade das informações institucionais sobre a modalidade dos programas. Este dado indica uma lacuna</w:t>
      </w:r>
      <w:r>
        <w:rPr>
          <w:rFonts w:ascii="Times New Roman" w:eastAsia="Times New Roman" w:hAnsi="Times New Roman" w:cs="Times New Roman"/>
          <w:sz w:val="24"/>
          <w:szCs w:val="24"/>
        </w:rPr>
        <w:t xml:space="preserve"> </w:t>
      </w:r>
      <w:r w:rsidRPr="000962E6">
        <w:rPr>
          <w:rFonts w:ascii="Times New Roman" w:eastAsia="Times New Roman" w:hAnsi="Times New Roman" w:cs="Times New Roman"/>
          <w:sz w:val="24"/>
          <w:szCs w:val="24"/>
        </w:rPr>
        <w:t>que pode prejudicar futuras análises mais detalhadas e sugere a necessidade de maior transparência institucional e melhor organização das informações públicas sobre esses programas.</w:t>
      </w:r>
    </w:p>
    <w:p w14:paraId="2C14779E" w14:textId="77777777"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 xml:space="preserve">Os programas na modalidade Profissional representam a menor parcela (8,8%, n = 10), destacando que, apesar de sua relevância prática e de sua forte conexão com demandas do </w:t>
      </w:r>
      <w:r w:rsidRPr="000962E6">
        <w:rPr>
          <w:rFonts w:ascii="Times New Roman" w:eastAsia="Times New Roman" w:hAnsi="Times New Roman" w:cs="Times New Roman"/>
          <w:sz w:val="24"/>
          <w:szCs w:val="24"/>
        </w:rPr>
        <w:lastRenderedPageBreak/>
        <w:t>mercado, a oferta ainda é bastante restrita em comparação às outras modalidades. Isso pode sugerir um potencial de crescimento e expansão, especialmente considerando as tendências atuais de aproximação entre academia e mercado.</w:t>
      </w:r>
    </w:p>
    <w:p w14:paraId="283DA5FE"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4614B">
        <w:rPr>
          <w:rFonts w:ascii="Times New Roman" w:eastAsia="Times New Roman" w:hAnsi="Times New Roman" w:cs="Times New Roman"/>
          <w:sz w:val="24"/>
          <w:szCs w:val="24"/>
        </w:rPr>
        <w:t>Em síntese, observa-se uma predominância marcante dos programas de natureza acadêmica na área de Gestão do Conhecimento, o que reflete a consolidação da tradição investigativa no campo. Em contrapartida, os programas profissionais ainda ocupam uma parcela reduzida do panorama nacional, sinalizando um potencial estratégico para expansão e diversificação da formação. Além disso, a elevada incidência de programas com informações não especificadas evidencia a necessidade premente de maior transparência e padronização na divulgação de dados institucionais, condição essencial para o aprimoramento de estudos futuros e para a realização de avaliações mais robustas e precisas na área.</w:t>
      </w:r>
    </w:p>
    <w:p w14:paraId="6015C096" w14:textId="77777777" w:rsidR="00B838F3" w:rsidRPr="00213B16"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13B16">
        <w:rPr>
          <w:rFonts w:ascii="Times New Roman" w:eastAsia="Times New Roman" w:hAnsi="Times New Roman" w:cs="Times New Roman"/>
          <w:sz w:val="20"/>
          <w:szCs w:val="20"/>
        </w:rPr>
        <w:t xml:space="preserve">Tabela </w:t>
      </w:r>
      <w:r>
        <w:rPr>
          <w:rFonts w:ascii="Times New Roman" w:eastAsia="Times New Roman" w:hAnsi="Times New Roman" w:cs="Times New Roman"/>
          <w:sz w:val="20"/>
          <w:szCs w:val="20"/>
        </w:rPr>
        <w:t>4 -</w:t>
      </w:r>
      <w:r w:rsidRPr="00213B16">
        <w:rPr>
          <w:rFonts w:ascii="Times New Roman" w:eastAsia="Times New Roman" w:hAnsi="Times New Roman" w:cs="Times New Roman"/>
          <w:sz w:val="20"/>
          <w:szCs w:val="20"/>
        </w:rPr>
        <w:t xml:space="preserve"> Distribuição dos Programas por </w:t>
      </w:r>
      <w:r>
        <w:rPr>
          <w:rFonts w:ascii="Times New Roman" w:eastAsia="Times New Roman" w:hAnsi="Times New Roman" w:cs="Times New Roman"/>
          <w:sz w:val="20"/>
          <w:szCs w:val="20"/>
        </w:rPr>
        <w:t>Grau de Formação</w:t>
      </w:r>
    </w:p>
    <w:tbl>
      <w:tblPr>
        <w:tblW w:w="0" w:type="auto"/>
        <w:jc w:val="center"/>
        <w:tblCellMar>
          <w:left w:w="70" w:type="dxa"/>
          <w:right w:w="70" w:type="dxa"/>
        </w:tblCellMar>
        <w:tblLook w:val="04A0" w:firstRow="1" w:lastRow="0" w:firstColumn="1" w:lastColumn="0" w:noHBand="0" w:noVBand="1"/>
      </w:tblPr>
      <w:tblGrid>
        <w:gridCol w:w="1890"/>
        <w:gridCol w:w="1107"/>
        <w:gridCol w:w="1262"/>
      </w:tblGrid>
      <w:tr w:rsidR="00B838F3" w:rsidRPr="008F49F3" w14:paraId="0C13555F" w14:textId="77777777" w:rsidTr="00175FEC">
        <w:trPr>
          <w:cantSplit/>
          <w:jc w:val="center"/>
        </w:trPr>
        <w:tc>
          <w:tcPr>
            <w:tcW w:w="0" w:type="auto"/>
            <w:tcBorders>
              <w:top w:val="single" w:sz="4" w:space="0" w:color="auto"/>
              <w:left w:val="nil"/>
              <w:bottom w:val="single" w:sz="4" w:space="0" w:color="auto"/>
              <w:right w:val="nil"/>
            </w:tcBorders>
            <w:noWrap/>
            <w:vAlign w:val="center"/>
            <w:hideMark/>
          </w:tcPr>
          <w:p w14:paraId="36422A3A"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Grau</w:t>
            </w:r>
          </w:p>
        </w:tc>
        <w:tc>
          <w:tcPr>
            <w:tcW w:w="0" w:type="auto"/>
            <w:tcBorders>
              <w:top w:val="single" w:sz="4" w:space="0" w:color="auto"/>
              <w:left w:val="nil"/>
              <w:bottom w:val="single" w:sz="4" w:space="0" w:color="auto"/>
              <w:right w:val="nil"/>
            </w:tcBorders>
            <w:noWrap/>
            <w:vAlign w:val="center"/>
            <w:hideMark/>
          </w:tcPr>
          <w:p w14:paraId="235AD621"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Frequência</w:t>
            </w:r>
          </w:p>
        </w:tc>
        <w:tc>
          <w:tcPr>
            <w:tcW w:w="0" w:type="auto"/>
            <w:tcBorders>
              <w:top w:val="single" w:sz="4" w:space="0" w:color="auto"/>
              <w:left w:val="nil"/>
              <w:bottom w:val="single" w:sz="4" w:space="0" w:color="auto"/>
              <w:right w:val="nil"/>
            </w:tcBorders>
            <w:noWrap/>
            <w:vAlign w:val="center"/>
            <w:hideMark/>
          </w:tcPr>
          <w:p w14:paraId="6ED56868" w14:textId="77777777" w:rsidR="00B838F3" w:rsidRPr="008F49F3" w:rsidRDefault="00B838F3" w:rsidP="00175FEC">
            <w:pPr>
              <w:spacing w:line="240" w:lineRule="auto"/>
              <w:jc w:val="center"/>
              <w:rPr>
                <w:rFonts w:ascii="Times New Roman" w:eastAsia="Times New Roman" w:hAnsi="Times New Roman" w:cs="Times New Roman"/>
                <w:b/>
                <w:bCs/>
                <w:color w:val="000000"/>
                <w:sz w:val="20"/>
                <w:szCs w:val="20"/>
              </w:rPr>
            </w:pPr>
            <w:r w:rsidRPr="008F49F3">
              <w:rPr>
                <w:rFonts w:ascii="Times New Roman" w:eastAsia="Times New Roman" w:hAnsi="Times New Roman" w:cs="Times New Roman"/>
                <w:b/>
                <w:bCs/>
                <w:color w:val="000000"/>
                <w:sz w:val="20"/>
                <w:szCs w:val="20"/>
              </w:rPr>
              <w:t>Porcentagem</w:t>
            </w:r>
          </w:p>
        </w:tc>
      </w:tr>
      <w:tr w:rsidR="00B838F3" w:rsidRPr="008F49F3" w14:paraId="2A33AE00" w14:textId="77777777" w:rsidTr="00175FEC">
        <w:trPr>
          <w:cantSplit/>
          <w:jc w:val="center"/>
        </w:trPr>
        <w:tc>
          <w:tcPr>
            <w:tcW w:w="0" w:type="auto"/>
            <w:tcBorders>
              <w:top w:val="nil"/>
              <w:left w:val="nil"/>
              <w:bottom w:val="nil"/>
              <w:right w:val="nil"/>
            </w:tcBorders>
            <w:noWrap/>
            <w:vAlign w:val="center"/>
            <w:hideMark/>
          </w:tcPr>
          <w:p w14:paraId="5CBECD17"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Doutorado</w:t>
            </w:r>
          </w:p>
        </w:tc>
        <w:tc>
          <w:tcPr>
            <w:tcW w:w="0" w:type="auto"/>
            <w:tcBorders>
              <w:top w:val="nil"/>
              <w:left w:val="nil"/>
              <w:bottom w:val="nil"/>
              <w:right w:val="nil"/>
            </w:tcBorders>
            <w:noWrap/>
            <w:vAlign w:val="center"/>
            <w:hideMark/>
          </w:tcPr>
          <w:p w14:paraId="1ECED24F"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7F66EA33"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1,8</w:t>
            </w:r>
          </w:p>
        </w:tc>
      </w:tr>
      <w:tr w:rsidR="00B838F3" w:rsidRPr="008F49F3" w14:paraId="1C66453C" w14:textId="77777777" w:rsidTr="00175FEC">
        <w:trPr>
          <w:cantSplit/>
          <w:jc w:val="center"/>
        </w:trPr>
        <w:tc>
          <w:tcPr>
            <w:tcW w:w="0" w:type="auto"/>
            <w:tcBorders>
              <w:top w:val="nil"/>
              <w:left w:val="nil"/>
              <w:bottom w:val="nil"/>
              <w:right w:val="nil"/>
            </w:tcBorders>
            <w:noWrap/>
            <w:vAlign w:val="center"/>
            <w:hideMark/>
          </w:tcPr>
          <w:p w14:paraId="1BA6F910"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Mestrado</w:t>
            </w:r>
          </w:p>
        </w:tc>
        <w:tc>
          <w:tcPr>
            <w:tcW w:w="0" w:type="auto"/>
            <w:tcBorders>
              <w:top w:val="nil"/>
              <w:left w:val="nil"/>
              <w:bottom w:val="nil"/>
              <w:right w:val="nil"/>
            </w:tcBorders>
            <w:noWrap/>
            <w:vAlign w:val="center"/>
            <w:hideMark/>
          </w:tcPr>
          <w:p w14:paraId="6FADA417"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20</w:t>
            </w:r>
          </w:p>
        </w:tc>
        <w:tc>
          <w:tcPr>
            <w:tcW w:w="0" w:type="auto"/>
            <w:tcBorders>
              <w:top w:val="nil"/>
              <w:left w:val="nil"/>
              <w:bottom w:val="nil"/>
              <w:right w:val="nil"/>
            </w:tcBorders>
            <w:noWrap/>
            <w:vAlign w:val="center"/>
            <w:hideMark/>
          </w:tcPr>
          <w:p w14:paraId="737CF8EB"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17,5</w:t>
            </w:r>
          </w:p>
        </w:tc>
      </w:tr>
      <w:tr w:rsidR="00B838F3" w:rsidRPr="008F49F3" w14:paraId="6E57A210" w14:textId="77777777" w:rsidTr="00175FEC">
        <w:trPr>
          <w:cantSplit/>
          <w:jc w:val="center"/>
        </w:trPr>
        <w:tc>
          <w:tcPr>
            <w:tcW w:w="0" w:type="auto"/>
            <w:tcBorders>
              <w:top w:val="nil"/>
              <w:left w:val="nil"/>
              <w:bottom w:val="nil"/>
              <w:right w:val="nil"/>
            </w:tcBorders>
            <w:noWrap/>
            <w:vAlign w:val="center"/>
            <w:hideMark/>
          </w:tcPr>
          <w:p w14:paraId="1A7ADE00"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Mestrado profissional</w:t>
            </w:r>
          </w:p>
        </w:tc>
        <w:tc>
          <w:tcPr>
            <w:tcW w:w="0" w:type="auto"/>
            <w:tcBorders>
              <w:top w:val="nil"/>
              <w:left w:val="nil"/>
              <w:bottom w:val="nil"/>
              <w:right w:val="nil"/>
            </w:tcBorders>
            <w:noWrap/>
            <w:vAlign w:val="center"/>
            <w:hideMark/>
          </w:tcPr>
          <w:p w14:paraId="76A3593F"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7</w:t>
            </w:r>
          </w:p>
        </w:tc>
        <w:tc>
          <w:tcPr>
            <w:tcW w:w="0" w:type="auto"/>
            <w:tcBorders>
              <w:top w:val="nil"/>
              <w:left w:val="nil"/>
              <w:bottom w:val="nil"/>
              <w:right w:val="nil"/>
            </w:tcBorders>
            <w:noWrap/>
            <w:vAlign w:val="center"/>
            <w:hideMark/>
          </w:tcPr>
          <w:p w14:paraId="73A3CF61"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6,1</w:t>
            </w:r>
          </w:p>
        </w:tc>
      </w:tr>
      <w:tr w:rsidR="00B838F3" w:rsidRPr="008F49F3" w14:paraId="35D1364F" w14:textId="77777777" w:rsidTr="00175FEC">
        <w:trPr>
          <w:cantSplit/>
          <w:jc w:val="center"/>
        </w:trPr>
        <w:tc>
          <w:tcPr>
            <w:tcW w:w="0" w:type="auto"/>
            <w:tcBorders>
              <w:top w:val="nil"/>
              <w:left w:val="nil"/>
              <w:bottom w:val="nil"/>
              <w:right w:val="nil"/>
            </w:tcBorders>
            <w:noWrap/>
            <w:vAlign w:val="center"/>
            <w:hideMark/>
          </w:tcPr>
          <w:p w14:paraId="32F13A52"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Mestrado/Doutorado</w:t>
            </w:r>
          </w:p>
        </w:tc>
        <w:tc>
          <w:tcPr>
            <w:tcW w:w="0" w:type="auto"/>
            <w:tcBorders>
              <w:top w:val="nil"/>
              <w:left w:val="nil"/>
              <w:bottom w:val="nil"/>
              <w:right w:val="nil"/>
            </w:tcBorders>
            <w:noWrap/>
            <w:vAlign w:val="center"/>
            <w:hideMark/>
          </w:tcPr>
          <w:p w14:paraId="6B573507"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45</w:t>
            </w:r>
          </w:p>
        </w:tc>
        <w:tc>
          <w:tcPr>
            <w:tcW w:w="0" w:type="auto"/>
            <w:tcBorders>
              <w:top w:val="nil"/>
              <w:left w:val="nil"/>
              <w:bottom w:val="nil"/>
              <w:right w:val="nil"/>
            </w:tcBorders>
            <w:noWrap/>
            <w:vAlign w:val="center"/>
            <w:hideMark/>
          </w:tcPr>
          <w:p w14:paraId="0B9A3433"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39,5</w:t>
            </w:r>
          </w:p>
        </w:tc>
      </w:tr>
      <w:tr w:rsidR="00B838F3" w:rsidRPr="008F49F3" w14:paraId="602AC278" w14:textId="77777777" w:rsidTr="00175FEC">
        <w:trPr>
          <w:cantSplit/>
          <w:jc w:val="center"/>
        </w:trPr>
        <w:tc>
          <w:tcPr>
            <w:tcW w:w="0" w:type="auto"/>
            <w:tcBorders>
              <w:top w:val="nil"/>
              <w:left w:val="nil"/>
              <w:bottom w:val="nil"/>
              <w:right w:val="nil"/>
            </w:tcBorders>
            <w:noWrap/>
            <w:vAlign w:val="center"/>
            <w:hideMark/>
          </w:tcPr>
          <w:p w14:paraId="361D4DDD"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Não especificado</w:t>
            </w:r>
          </w:p>
        </w:tc>
        <w:tc>
          <w:tcPr>
            <w:tcW w:w="0" w:type="auto"/>
            <w:tcBorders>
              <w:top w:val="nil"/>
              <w:left w:val="nil"/>
              <w:bottom w:val="nil"/>
              <w:right w:val="nil"/>
            </w:tcBorders>
            <w:noWrap/>
            <w:vAlign w:val="center"/>
            <w:hideMark/>
          </w:tcPr>
          <w:p w14:paraId="1D40F6F9"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40</w:t>
            </w:r>
          </w:p>
        </w:tc>
        <w:tc>
          <w:tcPr>
            <w:tcW w:w="0" w:type="auto"/>
            <w:tcBorders>
              <w:top w:val="nil"/>
              <w:left w:val="nil"/>
              <w:bottom w:val="nil"/>
              <w:right w:val="nil"/>
            </w:tcBorders>
            <w:noWrap/>
            <w:vAlign w:val="center"/>
            <w:hideMark/>
          </w:tcPr>
          <w:p w14:paraId="604F6035"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35,1</w:t>
            </w:r>
          </w:p>
        </w:tc>
      </w:tr>
      <w:tr w:rsidR="00B838F3" w:rsidRPr="008F49F3" w14:paraId="1107206C" w14:textId="77777777" w:rsidTr="00175FEC">
        <w:trPr>
          <w:cantSplit/>
          <w:jc w:val="center"/>
        </w:trPr>
        <w:tc>
          <w:tcPr>
            <w:tcW w:w="0" w:type="auto"/>
            <w:tcBorders>
              <w:top w:val="nil"/>
              <w:left w:val="nil"/>
              <w:bottom w:val="single" w:sz="4" w:space="0" w:color="auto"/>
              <w:right w:val="nil"/>
            </w:tcBorders>
            <w:noWrap/>
            <w:vAlign w:val="center"/>
            <w:hideMark/>
          </w:tcPr>
          <w:p w14:paraId="6373610A" w14:textId="77777777" w:rsidR="00B838F3" w:rsidRPr="008F49F3" w:rsidRDefault="00B838F3" w:rsidP="00175FEC">
            <w:pPr>
              <w:spacing w:line="240" w:lineRule="auto"/>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Total</w:t>
            </w:r>
          </w:p>
        </w:tc>
        <w:tc>
          <w:tcPr>
            <w:tcW w:w="0" w:type="auto"/>
            <w:tcBorders>
              <w:top w:val="nil"/>
              <w:left w:val="nil"/>
              <w:bottom w:val="single" w:sz="4" w:space="0" w:color="auto"/>
              <w:right w:val="nil"/>
            </w:tcBorders>
            <w:noWrap/>
            <w:vAlign w:val="center"/>
            <w:hideMark/>
          </w:tcPr>
          <w:p w14:paraId="5C5EA89A"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114</w:t>
            </w:r>
          </w:p>
        </w:tc>
        <w:tc>
          <w:tcPr>
            <w:tcW w:w="0" w:type="auto"/>
            <w:tcBorders>
              <w:top w:val="nil"/>
              <w:left w:val="nil"/>
              <w:bottom w:val="single" w:sz="4" w:space="0" w:color="auto"/>
              <w:right w:val="nil"/>
            </w:tcBorders>
            <w:noWrap/>
            <w:vAlign w:val="center"/>
            <w:hideMark/>
          </w:tcPr>
          <w:p w14:paraId="36771255" w14:textId="77777777" w:rsidR="00B838F3" w:rsidRPr="008F49F3" w:rsidRDefault="00B838F3" w:rsidP="00175FEC">
            <w:pPr>
              <w:spacing w:line="240" w:lineRule="auto"/>
              <w:jc w:val="right"/>
              <w:rPr>
                <w:rFonts w:ascii="Times New Roman" w:eastAsia="Times New Roman" w:hAnsi="Times New Roman" w:cs="Times New Roman"/>
                <w:color w:val="000000"/>
                <w:sz w:val="20"/>
                <w:szCs w:val="20"/>
              </w:rPr>
            </w:pPr>
            <w:r w:rsidRPr="008F49F3">
              <w:rPr>
                <w:rFonts w:ascii="Times New Roman" w:eastAsia="Times New Roman" w:hAnsi="Times New Roman" w:cs="Times New Roman"/>
                <w:color w:val="000000"/>
                <w:sz w:val="20"/>
                <w:szCs w:val="20"/>
              </w:rPr>
              <w:t>100</w:t>
            </w:r>
          </w:p>
        </w:tc>
      </w:tr>
    </w:tbl>
    <w:p w14:paraId="0A741555"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DCCAF70" w14:textId="42852F4B"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 xml:space="preserve">A Tabela </w:t>
      </w:r>
      <w:r>
        <w:rPr>
          <w:rFonts w:ascii="Times New Roman" w:eastAsia="Times New Roman" w:hAnsi="Times New Roman" w:cs="Times New Roman"/>
          <w:sz w:val="24"/>
          <w:szCs w:val="24"/>
        </w:rPr>
        <w:t xml:space="preserve">4 </w:t>
      </w:r>
      <w:r w:rsidRPr="000962E6">
        <w:rPr>
          <w:rFonts w:ascii="Times New Roman" w:eastAsia="Times New Roman" w:hAnsi="Times New Roman" w:cs="Times New Roman"/>
          <w:sz w:val="24"/>
          <w:szCs w:val="24"/>
        </w:rPr>
        <w:t>demonstra a distribuição dos programas de pós-graduação em Gestão do Conhecimento (GC) conforme o grau de formação oferecido, revelando algumas tendências importantes sobre a oferta educacional nesta área.</w:t>
      </w:r>
    </w:p>
    <w:p w14:paraId="307353B9" w14:textId="77777777"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A categoria com maior frequência é a oferta conjunta de Mestrado/Doutorado, com 39,5% (n = 45) dos programas. Isso destaca que uma parcela significativa das instituições oferece um percurso acadêmico completo em GC, refletindo a maturidade e consolidação da área como campo de formação avançada e pesquisa científica no Brasil.</w:t>
      </w:r>
    </w:p>
    <w:p w14:paraId="535FB9BF"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 xml:space="preserve">Em seguida, nota-se um percentual relevante de programas classificados como </w:t>
      </w:r>
      <w:r>
        <w:rPr>
          <w:rFonts w:ascii="Times New Roman" w:eastAsia="Times New Roman" w:hAnsi="Times New Roman" w:cs="Times New Roman"/>
          <w:sz w:val="24"/>
          <w:szCs w:val="24"/>
        </w:rPr>
        <w:t>“</w:t>
      </w:r>
      <w:r w:rsidRPr="000962E6">
        <w:rPr>
          <w:rFonts w:ascii="Times New Roman" w:eastAsia="Times New Roman" w:hAnsi="Times New Roman" w:cs="Times New Roman"/>
          <w:sz w:val="24"/>
          <w:szCs w:val="24"/>
        </w:rPr>
        <w:t>Não especificados</w:t>
      </w:r>
      <w:r>
        <w:rPr>
          <w:rFonts w:ascii="Times New Roman" w:eastAsia="Times New Roman" w:hAnsi="Times New Roman" w:cs="Times New Roman"/>
          <w:sz w:val="24"/>
          <w:szCs w:val="24"/>
        </w:rPr>
        <w:t>”</w:t>
      </w:r>
      <w:r w:rsidRPr="000962E6">
        <w:rPr>
          <w:rFonts w:ascii="Times New Roman" w:eastAsia="Times New Roman" w:hAnsi="Times New Roman" w:cs="Times New Roman"/>
          <w:sz w:val="24"/>
          <w:szCs w:val="24"/>
        </w:rPr>
        <w:t xml:space="preserve"> (35,1%, n = 40). Este dado sugere dificuldades de clareza e padronização das informações institucionais disponíveis, indicando uma importante limitação para estudos mais detalhados e a necessidade urgente de melhor organização e transparência nas informações institucionais sobre o grau de formação.</w:t>
      </w:r>
    </w:p>
    <w:p w14:paraId="382AF67D" w14:textId="77777777"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Os programas exclusivamente de Mestrado Acadêmico correspondem a 17,5% (n = 20) da amostra, refletindo a oferta tradicional e amplamente difundida de cursos de mestrado, orientados predominantemente para pesquisa acadêmica e formação inicial de pesquisadores.</w:t>
      </w:r>
    </w:p>
    <w:p w14:paraId="633EF2CD" w14:textId="77777777" w:rsidR="00B838F3" w:rsidRPr="000962E6"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 xml:space="preserve">O Mestrado Profissional tem uma representação ainda limitada (6,1%, n = 7), sinalizando oportunidades potenciais de expansão, considerando-se a importância crescente da </w:t>
      </w:r>
      <w:r w:rsidRPr="000962E6">
        <w:rPr>
          <w:rFonts w:ascii="Times New Roman" w:eastAsia="Times New Roman" w:hAnsi="Times New Roman" w:cs="Times New Roman"/>
          <w:sz w:val="24"/>
          <w:szCs w:val="24"/>
        </w:rPr>
        <w:lastRenderedPageBreak/>
        <w:t>GC em contextos organizacionais e do mercado de trabalho, onde a formação aplicada e profissionalizante possui grande valor.</w:t>
      </w:r>
    </w:p>
    <w:p w14:paraId="00F587B4"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0962E6">
        <w:rPr>
          <w:rFonts w:ascii="Times New Roman" w:eastAsia="Times New Roman" w:hAnsi="Times New Roman" w:cs="Times New Roman"/>
          <w:sz w:val="24"/>
          <w:szCs w:val="24"/>
        </w:rPr>
        <w:t>Em resumo, os resultados sugerem uma forte consolidação dos programas integrados de mestrado e doutorado, o que indica maturidade na área acadêmica da Gestão do Conhecimento no país. Contudo, também destacam oportunidades claras para expansão em modalidades como o mestrado profissional. Além disso, o alto percentual de informações não especificadas reforça a necessidade urgente de maior transparência institucional, essencial para avaliações precisas e planejamento estratégico futuro nessa área.</w:t>
      </w:r>
    </w:p>
    <w:p w14:paraId="6663C713" w14:textId="77777777" w:rsidR="00B838F3" w:rsidRPr="00213B16"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13B16">
        <w:rPr>
          <w:rFonts w:ascii="Times New Roman" w:eastAsia="Times New Roman" w:hAnsi="Times New Roman" w:cs="Times New Roman"/>
          <w:sz w:val="20"/>
          <w:szCs w:val="20"/>
        </w:rPr>
        <w:t xml:space="preserve">Tabela </w:t>
      </w:r>
      <w:r>
        <w:rPr>
          <w:rFonts w:ascii="Times New Roman" w:eastAsia="Times New Roman" w:hAnsi="Times New Roman" w:cs="Times New Roman"/>
          <w:sz w:val="20"/>
          <w:szCs w:val="20"/>
        </w:rPr>
        <w:t>5 -</w:t>
      </w:r>
      <w:r w:rsidRPr="00213B16">
        <w:rPr>
          <w:rFonts w:ascii="Times New Roman" w:eastAsia="Times New Roman" w:hAnsi="Times New Roman" w:cs="Times New Roman"/>
          <w:sz w:val="20"/>
          <w:szCs w:val="20"/>
        </w:rPr>
        <w:t xml:space="preserve"> Distribuição dos </w:t>
      </w:r>
      <w:r>
        <w:rPr>
          <w:rFonts w:ascii="Times New Roman" w:eastAsia="Times New Roman" w:hAnsi="Times New Roman" w:cs="Times New Roman"/>
          <w:sz w:val="20"/>
          <w:szCs w:val="20"/>
        </w:rPr>
        <w:t>Grupos de Pesquisa</w:t>
      </w:r>
      <w:r w:rsidRPr="00213B16">
        <w:rPr>
          <w:rFonts w:ascii="Times New Roman" w:eastAsia="Times New Roman" w:hAnsi="Times New Roman" w:cs="Times New Roman"/>
          <w:sz w:val="20"/>
          <w:szCs w:val="20"/>
        </w:rPr>
        <w:t xml:space="preserve"> por </w:t>
      </w:r>
      <w:r>
        <w:rPr>
          <w:rFonts w:ascii="Times New Roman" w:eastAsia="Times New Roman" w:hAnsi="Times New Roman" w:cs="Times New Roman"/>
          <w:sz w:val="20"/>
          <w:szCs w:val="20"/>
        </w:rPr>
        <w:t>Região e Tipo de Instituição</w:t>
      </w:r>
    </w:p>
    <w:tbl>
      <w:tblPr>
        <w:tblW w:w="0" w:type="auto"/>
        <w:jc w:val="center"/>
        <w:tblCellMar>
          <w:left w:w="70" w:type="dxa"/>
          <w:right w:w="70" w:type="dxa"/>
        </w:tblCellMar>
        <w:tblLook w:val="04A0" w:firstRow="1" w:lastRow="0" w:firstColumn="1" w:lastColumn="0" w:noHBand="0" w:noVBand="1"/>
      </w:tblPr>
      <w:tblGrid>
        <w:gridCol w:w="1162"/>
        <w:gridCol w:w="896"/>
        <w:gridCol w:w="796"/>
        <w:gridCol w:w="1018"/>
        <w:gridCol w:w="596"/>
      </w:tblGrid>
      <w:tr w:rsidR="00B838F3" w:rsidRPr="0023535C" w14:paraId="0576AF34" w14:textId="77777777" w:rsidTr="00175FEC">
        <w:trPr>
          <w:cantSplit/>
          <w:jc w:val="center"/>
        </w:trPr>
        <w:tc>
          <w:tcPr>
            <w:tcW w:w="0" w:type="auto"/>
            <w:tcBorders>
              <w:top w:val="single" w:sz="4" w:space="0" w:color="auto"/>
              <w:left w:val="nil"/>
              <w:bottom w:val="nil"/>
              <w:right w:val="nil"/>
            </w:tcBorders>
            <w:noWrap/>
            <w:vAlign w:val="center"/>
            <w:hideMark/>
          </w:tcPr>
          <w:p w14:paraId="5B92A677" w14:textId="77777777" w:rsidR="00B838F3" w:rsidRPr="0023535C" w:rsidRDefault="00B838F3" w:rsidP="00175FEC">
            <w:pPr>
              <w:spacing w:line="240" w:lineRule="auto"/>
              <w:jc w:val="center"/>
              <w:rPr>
                <w:rFonts w:ascii="Times New Roman" w:eastAsia="Times New Roman" w:hAnsi="Times New Roman" w:cs="Times New Roman"/>
                <w:b/>
                <w:bCs/>
                <w:color w:val="000000"/>
                <w:sz w:val="20"/>
                <w:szCs w:val="20"/>
              </w:rPr>
            </w:pPr>
            <w:r w:rsidRPr="0023535C">
              <w:rPr>
                <w:rFonts w:ascii="Times New Roman" w:eastAsia="Times New Roman" w:hAnsi="Times New Roman" w:cs="Times New Roman"/>
                <w:b/>
                <w:bCs/>
                <w:color w:val="000000"/>
                <w:sz w:val="20"/>
                <w:szCs w:val="20"/>
              </w:rPr>
              <w:t> </w:t>
            </w:r>
          </w:p>
        </w:tc>
        <w:tc>
          <w:tcPr>
            <w:tcW w:w="0" w:type="auto"/>
            <w:gridSpan w:val="3"/>
            <w:tcBorders>
              <w:top w:val="single" w:sz="4" w:space="0" w:color="auto"/>
              <w:left w:val="nil"/>
              <w:bottom w:val="nil"/>
              <w:right w:val="nil"/>
            </w:tcBorders>
            <w:noWrap/>
            <w:vAlign w:val="center"/>
            <w:hideMark/>
          </w:tcPr>
          <w:p w14:paraId="240909F6" w14:textId="77777777" w:rsidR="00B838F3" w:rsidRPr="0023535C" w:rsidRDefault="00B838F3" w:rsidP="00175FEC">
            <w:pPr>
              <w:spacing w:line="240" w:lineRule="auto"/>
              <w:jc w:val="center"/>
              <w:rPr>
                <w:rFonts w:ascii="Times New Roman" w:eastAsia="Times New Roman" w:hAnsi="Times New Roman" w:cs="Times New Roman"/>
                <w:b/>
                <w:bCs/>
                <w:color w:val="000000"/>
                <w:sz w:val="20"/>
                <w:szCs w:val="20"/>
              </w:rPr>
            </w:pPr>
            <w:r w:rsidRPr="0023535C">
              <w:rPr>
                <w:rFonts w:ascii="Times New Roman" w:eastAsia="Times New Roman" w:hAnsi="Times New Roman" w:cs="Times New Roman"/>
                <w:b/>
                <w:bCs/>
                <w:color w:val="000000"/>
                <w:sz w:val="20"/>
                <w:szCs w:val="20"/>
              </w:rPr>
              <w:t>Tipo de Instituição</w:t>
            </w:r>
          </w:p>
        </w:tc>
        <w:tc>
          <w:tcPr>
            <w:tcW w:w="0" w:type="auto"/>
            <w:tcBorders>
              <w:top w:val="single" w:sz="4" w:space="0" w:color="auto"/>
              <w:left w:val="nil"/>
              <w:bottom w:val="nil"/>
              <w:right w:val="nil"/>
            </w:tcBorders>
            <w:noWrap/>
            <w:vAlign w:val="center"/>
            <w:hideMark/>
          </w:tcPr>
          <w:p w14:paraId="09CFD6F8" w14:textId="77777777" w:rsidR="00B838F3" w:rsidRPr="0023535C" w:rsidRDefault="00B838F3" w:rsidP="00175FEC">
            <w:pPr>
              <w:spacing w:line="240" w:lineRule="auto"/>
              <w:jc w:val="center"/>
              <w:rPr>
                <w:rFonts w:ascii="Times New Roman" w:eastAsia="Times New Roman" w:hAnsi="Times New Roman" w:cs="Times New Roman"/>
                <w:b/>
                <w:bCs/>
                <w:color w:val="000000"/>
                <w:sz w:val="20"/>
                <w:szCs w:val="20"/>
              </w:rPr>
            </w:pPr>
            <w:r w:rsidRPr="0023535C">
              <w:rPr>
                <w:rFonts w:ascii="Times New Roman" w:eastAsia="Times New Roman" w:hAnsi="Times New Roman" w:cs="Times New Roman"/>
                <w:b/>
                <w:bCs/>
                <w:color w:val="000000"/>
                <w:sz w:val="20"/>
                <w:szCs w:val="20"/>
              </w:rPr>
              <w:t>Total</w:t>
            </w:r>
          </w:p>
        </w:tc>
      </w:tr>
      <w:tr w:rsidR="00B838F3" w:rsidRPr="0023535C" w14:paraId="117255C2" w14:textId="77777777" w:rsidTr="00175FEC">
        <w:trPr>
          <w:cantSplit/>
          <w:jc w:val="center"/>
        </w:trPr>
        <w:tc>
          <w:tcPr>
            <w:tcW w:w="0" w:type="auto"/>
            <w:tcBorders>
              <w:top w:val="nil"/>
              <w:left w:val="nil"/>
              <w:bottom w:val="single" w:sz="4" w:space="0" w:color="auto"/>
              <w:right w:val="nil"/>
            </w:tcBorders>
            <w:noWrap/>
            <w:vAlign w:val="center"/>
            <w:hideMark/>
          </w:tcPr>
          <w:p w14:paraId="352C1FD4" w14:textId="77777777" w:rsidR="00B838F3" w:rsidRPr="0023535C" w:rsidRDefault="00B838F3" w:rsidP="00175FEC">
            <w:pPr>
              <w:spacing w:line="240" w:lineRule="auto"/>
              <w:jc w:val="center"/>
              <w:rPr>
                <w:rFonts w:ascii="Times New Roman" w:eastAsia="Times New Roman" w:hAnsi="Times New Roman" w:cs="Times New Roman"/>
                <w:b/>
                <w:bCs/>
                <w:color w:val="000000"/>
                <w:sz w:val="20"/>
                <w:szCs w:val="20"/>
              </w:rPr>
            </w:pPr>
            <w:r w:rsidRPr="0023535C">
              <w:rPr>
                <w:rFonts w:ascii="Times New Roman" w:eastAsia="Times New Roman" w:hAnsi="Times New Roman" w:cs="Times New Roman"/>
                <w:b/>
                <w:bCs/>
                <w:color w:val="000000"/>
                <w:sz w:val="20"/>
                <w:szCs w:val="20"/>
              </w:rPr>
              <w:t>Região</w:t>
            </w:r>
          </w:p>
        </w:tc>
        <w:tc>
          <w:tcPr>
            <w:tcW w:w="0" w:type="auto"/>
            <w:tcBorders>
              <w:top w:val="nil"/>
              <w:left w:val="nil"/>
              <w:bottom w:val="single" w:sz="4" w:space="0" w:color="auto"/>
              <w:right w:val="nil"/>
            </w:tcBorders>
            <w:noWrap/>
            <w:vAlign w:val="center"/>
            <w:hideMark/>
          </w:tcPr>
          <w:p w14:paraId="78CDDBDB" w14:textId="77777777" w:rsidR="00B838F3" w:rsidRPr="0023535C" w:rsidRDefault="00B838F3" w:rsidP="00175FEC">
            <w:pPr>
              <w:spacing w:line="240" w:lineRule="auto"/>
              <w:jc w:val="center"/>
              <w:rPr>
                <w:rFonts w:ascii="Times New Roman" w:eastAsia="Times New Roman" w:hAnsi="Times New Roman" w:cs="Times New Roman"/>
                <w:b/>
                <w:bCs/>
                <w:color w:val="000000"/>
                <w:sz w:val="20"/>
                <w:szCs w:val="20"/>
              </w:rPr>
            </w:pPr>
            <w:r w:rsidRPr="0023535C">
              <w:rPr>
                <w:rFonts w:ascii="Times New Roman" w:eastAsia="Times New Roman" w:hAnsi="Times New Roman" w:cs="Times New Roman"/>
                <w:b/>
                <w:bCs/>
                <w:color w:val="000000"/>
                <w:sz w:val="20"/>
                <w:szCs w:val="20"/>
              </w:rPr>
              <w:t>Estadual</w:t>
            </w:r>
          </w:p>
        </w:tc>
        <w:tc>
          <w:tcPr>
            <w:tcW w:w="0" w:type="auto"/>
            <w:tcBorders>
              <w:top w:val="nil"/>
              <w:left w:val="nil"/>
              <w:bottom w:val="single" w:sz="4" w:space="0" w:color="auto"/>
              <w:right w:val="nil"/>
            </w:tcBorders>
            <w:noWrap/>
            <w:vAlign w:val="center"/>
            <w:hideMark/>
          </w:tcPr>
          <w:p w14:paraId="0C786A94" w14:textId="77777777" w:rsidR="00B838F3" w:rsidRPr="0023535C" w:rsidRDefault="00B838F3" w:rsidP="00175FEC">
            <w:pPr>
              <w:spacing w:line="240" w:lineRule="auto"/>
              <w:jc w:val="center"/>
              <w:rPr>
                <w:rFonts w:ascii="Times New Roman" w:eastAsia="Times New Roman" w:hAnsi="Times New Roman" w:cs="Times New Roman"/>
                <w:b/>
                <w:bCs/>
                <w:color w:val="000000"/>
                <w:sz w:val="20"/>
                <w:szCs w:val="20"/>
              </w:rPr>
            </w:pPr>
            <w:r w:rsidRPr="0023535C">
              <w:rPr>
                <w:rFonts w:ascii="Times New Roman" w:eastAsia="Times New Roman" w:hAnsi="Times New Roman" w:cs="Times New Roman"/>
                <w:b/>
                <w:bCs/>
                <w:color w:val="000000"/>
                <w:sz w:val="20"/>
                <w:szCs w:val="20"/>
              </w:rPr>
              <w:t>Federal</w:t>
            </w:r>
          </w:p>
        </w:tc>
        <w:tc>
          <w:tcPr>
            <w:tcW w:w="0" w:type="auto"/>
            <w:tcBorders>
              <w:top w:val="nil"/>
              <w:left w:val="nil"/>
              <w:bottom w:val="single" w:sz="4" w:space="0" w:color="auto"/>
              <w:right w:val="nil"/>
            </w:tcBorders>
            <w:noWrap/>
            <w:vAlign w:val="center"/>
            <w:hideMark/>
          </w:tcPr>
          <w:p w14:paraId="029D79B9" w14:textId="77777777" w:rsidR="00B838F3" w:rsidRPr="0023535C" w:rsidRDefault="00B838F3" w:rsidP="00175FEC">
            <w:pPr>
              <w:spacing w:line="240" w:lineRule="auto"/>
              <w:jc w:val="center"/>
              <w:rPr>
                <w:rFonts w:ascii="Times New Roman" w:eastAsia="Times New Roman" w:hAnsi="Times New Roman" w:cs="Times New Roman"/>
                <w:b/>
                <w:bCs/>
                <w:color w:val="000000"/>
                <w:sz w:val="20"/>
                <w:szCs w:val="20"/>
              </w:rPr>
            </w:pPr>
            <w:r w:rsidRPr="0023535C">
              <w:rPr>
                <w:rFonts w:ascii="Times New Roman" w:eastAsia="Times New Roman" w:hAnsi="Times New Roman" w:cs="Times New Roman"/>
                <w:b/>
                <w:bCs/>
                <w:color w:val="000000"/>
                <w:sz w:val="20"/>
                <w:szCs w:val="20"/>
              </w:rPr>
              <w:t>Particular</w:t>
            </w:r>
          </w:p>
        </w:tc>
        <w:tc>
          <w:tcPr>
            <w:tcW w:w="0" w:type="auto"/>
            <w:tcBorders>
              <w:top w:val="nil"/>
              <w:left w:val="nil"/>
              <w:bottom w:val="single" w:sz="4" w:space="0" w:color="auto"/>
              <w:right w:val="nil"/>
            </w:tcBorders>
            <w:noWrap/>
            <w:vAlign w:val="center"/>
            <w:hideMark/>
          </w:tcPr>
          <w:p w14:paraId="6E536C65" w14:textId="77777777" w:rsidR="00B838F3" w:rsidRPr="0023535C" w:rsidRDefault="00B838F3" w:rsidP="00175FEC">
            <w:pPr>
              <w:spacing w:line="240" w:lineRule="auto"/>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 </w:t>
            </w:r>
          </w:p>
        </w:tc>
      </w:tr>
      <w:tr w:rsidR="00B838F3" w:rsidRPr="0023535C" w14:paraId="40D0061E" w14:textId="77777777" w:rsidTr="00175FEC">
        <w:trPr>
          <w:cantSplit/>
          <w:jc w:val="center"/>
        </w:trPr>
        <w:tc>
          <w:tcPr>
            <w:tcW w:w="0" w:type="auto"/>
            <w:tcBorders>
              <w:top w:val="nil"/>
              <w:left w:val="nil"/>
              <w:bottom w:val="nil"/>
              <w:right w:val="nil"/>
            </w:tcBorders>
            <w:noWrap/>
            <w:vAlign w:val="center"/>
            <w:hideMark/>
          </w:tcPr>
          <w:p w14:paraId="6A50AFA4" w14:textId="77777777" w:rsidR="00B838F3" w:rsidRPr="0023535C" w:rsidRDefault="00B838F3" w:rsidP="00175FEC">
            <w:pPr>
              <w:spacing w:line="240" w:lineRule="auto"/>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Centro-oeste</w:t>
            </w:r>
          </w:p>
        </w:tc>
        <w:tc>
          <w:tcPr>
            <w:tcW w:w="0" w:type="auto"/>
            <w:tcBorders>
              <w:top w:val="nil"/>
              <w:left w:val="nil"/>
              <w:bottom w:val="nil"/>
              <w:right w:val="nil"/>
            </w:tcBorders>
            <w:noWrap/>
            <w:vAlign w:val="center"/>
            <w:hideMark/>
          </w:tcPr>
          <w:p w14:paraId="346F2150"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265DC1C5"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4</w:t>
            </w:r>
          </w:p>
        </w:tc>
        <w:tc>
          <w:tcPr>
            <w:tcW w:w="0" w:type="auto"/>
            <w:tcBorders>
              <w:top w:val="nil"/>
              <w:left w:val="nil"/>
              <w:bottom w:val="nil"/>
              <w:right w:val="nil"/>
            </w:tcBorders>
            <w:noWrap/>
            <w:vAlign w:val="center"/>
            <w:hideMark/>
          </w:tcPr>
          <w:p w14:paraId="75DF75E2"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18BA5EB5"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5</w:t>
            </w:r>
          </w:p>
        </w:tc>
      </w:tr>
      <w:tr w:rsidR="00B838F3" w:rsidRPr="0023535C" w14:paraId="2C3D4985" w14:textId="77777777" w:rsidTr="00175FEC">
        <w:trPr>
          <w:cantSplit/>
          <w:jc w:val="center"/>
        </w:trPr>
        <w:tc>
          <w:tcPr>
            <w:tcW w:w="0" w:type="auto"/>
            <w:tcBorders>
              <w:top w:val="nil"/>
              <w:left w:val="nil"/>
              <w:bottom w:val="nil"/>
              <w:right w:val="nil"/>
            </w:tcBorders>
            <w:noWrap/>
            <w:vAlign w:val="center"/>
            <w:hideMark/>
          </w:tcPr>
          <w:p w14:paraId="078787DD" w14:textId="77777777" w:rsidR="00B838F3" w:rsidRPr="0023535C" w:rsidRDefault="00B838F3" w:rsidP="00175FEC">
            <w:pPr>
              <w:spacing w:line="240" w:lineRule="auto"/>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Nordeste</w:t>
            </w:r>
          </w:p>
        </w:tc>
        <w:tc>
          <w:tcPr>
            <w:tcW w:w="0" w:type="auto"/>
            <w:tcBorders>
              <w:top w:val="nil"/>
              <w:left w:val="nil"/>
              <w:bottom w:val="nil"/>
              <w:right w:val="nil"/>
            </w:tcBorders>
            <w:noWrap/>
            <w:vAlign w:val="center"/>
            <w:hideMark/>
          </w:tcPr>
          <w:p w14:paraId="7573F064"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7BDA14A0"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19</w:t>
            </w:r>
          </w:p>
        </w:tc>
        <w:tc>
          <w:tcPr>
            <w:tcW w:w="0" w:type="auto"/>
            <w:tcBorders>
              <w:top w:val="nil"/>
              <w:left w:val="nil"/>
              <w:bottom w:val="nil"/>
              <w:right w:val="nil"/>
            </w:tcBorders>
            <w:noWrap/>
            <w:vAlign w:val="center"/>
            <w:hideMark/>
          </w:tcPr>
          <w:p w14:paraId="78563854"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1EBBF89C"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24</w:t>
            </w:r>
          </w:p>
        </w:tc>
      </w:tr>
      <w:tr w:rsidR="00B838F3" w:rsidRPr="0023535C" w14:paraId="612F7481" w14:textId="77777777" w:rsidTr="00175FEC">
        <w:trPr>
          <w:cantSplit/>
          <w:jc w:val="center"/>
        </w:trPr>
        <w:tc>
          <w:tcPr>
            <w:tcW w:w="0" w:type="auto"/>
            <w:tcBorders>
              <w:top w:val="nil"/>
              <w:left w:val="nil"/>
              <w:bottom w:val="nil"/>
              <w:right w:val="nil"/>
            </w:tcBorders>
            <w:noWrap/>
            <w:vAlign w:val="center"/>
            <w:hideMark/>
          </w:tcPr>
          <w:p w14:paraId="463A4CC8" w14:textId="77777777" w:rsidR="00B838F3" w:rsidRPr="0023535C" w:rsidRDefault="00B838F3" w:rsidP="00175FEC">
            <w:pPr>
              <w:spacing w:line="240" w:lineRule="auto"/>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Norte</w:t>
            </w:r>
          </w:p>
        </w:tc>
        <w:tc>
          <w:tcPr>
            <w:tcW w:w="0" w:type="auto"/>
            <w:tcBorders>
              <w:top w:val="nil"/>
              <w:left w:val="nil"/>
              <w:bottom w:val="nil"/>
              <w:right w:val="nil"/>
            </w:tcBorders>
            <w:noWrap/>
            <w:vAlign w:val="center"/>
            <w:hideMark/>
          </w:tcPr>
          <w:p w14:paraId="45A069DA"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360997D4"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5</w:t>
            </w:r>
          </w:p>
        </w:tc>
        <w:tc>
          <w:tcPr>
            <w:tcW w:w="0" w:type="auto"/>
            <w:tcBorders>
              <w:top w:val="nil"/>
              <w:left w:val="nil"/>
              <w:bottom w:val="nil"/>
              <w:right w:val="nil"/>
            </w:tcBorders>
            <w:noWrap/>
            <w:vAlign w:val="center"/>
            <w:hideMark/>
          </w:tcPr>
          <w:p w14:paraId="29126C5F"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42D42F82"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7</w:t>
            </w:r>
          </w:p>
        </w:tc>
      </w:tr>
      <w:tr w:rsidR="00B838F3" w:rsidRPr="0023535C" w14:paraId="1D9DAB91" w14:textId="77777777" w:rsidTr="00175FEC">
        <w:trPr>
          <w:cantSplit/>
          <w:jc w:val="center"/>
        </w:trPr>
        <w:tc>
          <w:tcPr>
            <w:tcW w:w="0" w:type="auto"/>
            <w:tcBorders>
              <w:top w:val="nil"/>
              <w:left w:val="nil"/>
              <w:bottom w:val="nil"/>
              <w:right w:val="nil"/>
            </w:tcBorders>
            <w:noWrap/>
            <w:vAlign w:val="center"/>
            <w:hideMark/>
          </w:tcPr>
          <w:p w14:paraId="74955060" w14:textId="77777777" w:rsidR="00B838F3" w:rsidRPr="0023535C" w:rsidRDefault="00B838F3" w:rsidP="00175FEC">
            <w:pPr>
              <w:spacing w:line="240" w:lineRule="auto"/>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Sudeste</w:t>
            </w:r>
          </w:p>
        </w:tc>
        <w:tc>
          <w:tcPr>
            <w:tcW w:w="0" w:type="auto"/>
            <w:tcBorders>
              <w:top w:val="nil"/>
              <w:left w:val="nil"/>
              <w:bottom w:val="nil"/>
              <w:right w:val="nil"/>
            </w:tcBorders>
            <w:noWrap/>
            <w:vAlign w:val="center"/>
            <w:hideMark/>
          </w:tcPr>
          <w:p w14:paraId="1F397913"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9</w:t>
            </w:r>
          </w:p>
        </w:tc>
        <w:tc>
          <w:tcPr>
            <w:tcW w:w="0" w:type="auto"/>
            <w:tcBorders>
              <w:top w:val="nil"/>
              <w:left w:val="nil"/>
              <w:bottom w:val="nil"/>
              <w:right w:val="nil"/>
            </w:tcBorders>
            <w:noWrap/>
            <w:vAlign w:val="center"/>
            <w:hideMark/>
          </w:tcPr>
          <w:p w14:paraId="7AE68DAA"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21</w:t>
            </w:r>
          </w:p>
        </w:tc>
        <w:tc>
          <w:tcPr>
            <w:tcW w:w="0" w:type="auto"/>
            <w:tcBorders>
              <w:top w:val="nil"/>
              <w:left w:val="nil"/>
              <w:bottom w:val="nil"/>
              <w:right w:val="nil"/>
            </w:tcBorders>
            <w:noWrap/>
            <w:vAlign w:val="center"/>
            <w:hideMark/>
          </w:tcPr>
          <w:p w14:paraId="79D5A2B3"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11</w:t>
            </w:r>
          </w:p>
        </w:tc>
        <w:tc>
          <w:tcPr>
            <w:tcW w:w="0" w:type="auto"/>
            <w:tcBorders>
              <w:top w:val="nil"/>
              <w:left w:val="nil"/>
              <w:bottom w:val="nil"/>
              <w:right w:val="nil"/>
            </w:tcBorders>
            <w:noWrap/>
            <w:vAlign w:val="center"/>
            <w:hideMark/>
          </w:tcPr>
          <w:p w14:paraId="13CF9541"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41</w:t>
            </w:r>
          </w:p>
        </w:tc>
      </w:tr>
      <w:tr w:rsidR="00B838F3" w:rsidRPr="0023535C" w14:paraId="486B3128" w14:textId="77777777" w:rsidTr="00175FEC">
        <w:trPr>
          <w:cantSplit/>
          <w:jc w:val="center"/>
        </w:trPr>
        <w:tc>
          <w:tcPr>
            <w:tcW w:w="0" w:type="auto"/>
            <w:tcBorders>
              <w:top w:val="nil"/>
              <w:left w:val="nil"/>
              <w:bottom w:val="nil"/>
              <w:right w:val="nil"/>
            </w:tcBorders>
            <w:noWrap/>
            <w:vAlign w:val="center"/>
            <w:hideMark/>
          </w:tcPr>
          <w:p w14:paraId="44CBA20E" w14:textId="77777777" w:rsidR="00B838F3" w:rsidRPr="0023535C" w:rsidRDefault="00B838F3" w:rsidP="00175FEC">
            <w:pPr>
              <w:spacing w:line="240" w:lineRule="auto"/>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Sul</w:t>
            </w:r>
          </w:p>
        </w:tc>
        <w:tc>
          <w:tcPr>
            <w:tcW w:w="0" w:type="auto"/>
            <w:tcBorders>
              <w:top w:val="nil"/>
              <w:left w:val="nil"/>
              <w:bottom w:val="nil"/>
              <w:right w:val="nil"/>
            </w:tcBorders>
            <w:noWrap/>
            <w:vAlign w:val="center"/>
            <w:hideMark/>
          </w:tcPr>
          <w:p w14:paraId="5314DEC2"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4</w:t>
            </w:r>
          </w:p>
        </w:tc>
        <w:tc>
          <w:tcPr>
            <w:tcW w:w="0" w:type="auto"/>
            <w:tcBorders>
              <w:top w:val="nil"/>
              <w:left w:val="nil"/>
              <w:bottom w:val="nil"/>
              <w:right w:val="nil"/>
            </w:tcBorders>
            <w:noWrap/>
            <w:vAlign w:val="center"/>
            <w:hideMark/>
          </w:tcPr>
          <w:p w14:paraId="62B292FD"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25</w:t>
            </w:r>
          </w:p>
        </w:tc>
        <w:tc>
          <w:tcPr>
            <w:tcW w:w="0" w:type="auto"/>
            <w:tcBorders>
              <w:top w:val="nil"/>
              <w:left w:val="nil"/>
              <w:bottom w:val="nil"/>
              <w:right w:val="nil"/>
            </w:tcBorders>
            <w:noWrap/>
            <w:vAlign w:val="center"/>
            <w:hideMark/>
          </w:tcPr>
          <w:p w14:paraId="77BDDDEE"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8</w:t>
            </w:r>
          </w:p>
        </w:tc>
        <w:tc>
          <w:tcPr>
            <w:tcW w:w="0" w:type="auto"/>
            <w:tcBorders>
              <w:top w:val="nil"/>
              <w:left w:val="nil"/>
              <w:bottom w:val="nil"/>
              <w:right w:val="nil"/>
            </w:tcBorders>
            <w:noWrap/>
            <w:vAlign w:val="center"/>
            <w:hideMark/>
          </w:tcPr>
          <w:p w14:paraId="49F7F47D"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37</w:t>
            </w:r>
          </w:p>
        </w:tc>
      </w:tr>
      <w:tr w:rsidR="00B838F3" w:rsidRPr="0023535C" w14:paraId="2E4E8ED1" w14:textId="77777777" w:rsidTr="00175FEC">
        <w:trPr>
          <w:cantSplit/>
          <w:jc w:val="center"/>
        </w:trPr>
        <w:tc>
          <w:tcPr>
            <w:tcW w:w="0" w:type="auto"/>
            <w:tcBorders>
              <w:top w:val="nil"/>
              <w:left w:val="nil"/>
              <w:bottom w:val="single" w:sz="4" w:space="0" w:color="auto"/>
              <w:right w:val="nil"/>
            </w:tcBorders>
            <w:noWrap/>
            <w:vAlign w:val="center"/>
            <w:hideMark/>
          </w:tcPr>
          <w:p w14:paraId="5349ABE3" w14:textId="77777777" w:rsidR="00B838F3" w:rsidRPr="0023535C" w:rsidRDefault="00B838F3" w:rsidP="00175FEC">
            <w:pPr>
              <w:spacing w:line="240" w:lineRule="auto"/>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Total</w:t>
            </w:r>
          </w:p>
        </w:tc>
        <w:tc>
          <w:tcPr>
            <w:tcW w:w="0" w:type="auto"/>
            <w:tcBorders>
              <w:top w:val="nil"/>
              <w:left w:val="nil"/>
              <w:bottom w:val="single" w:sz="4" w:space="0" w:color="auto"/>
              <w:right w:val="nil"/>
            </w:tcBorders>
            <w:noWrap/>
            <w:vAlign w:val="center"/>
            <w:hideMark/>
          </w:tcPr>
          <w:p w14:paraId="4C5413EF"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17</w:t>
            </w:r>
          </w:p>
        </w:tc>
        <w:tc>
          <w:tcPr>
            <w:tcW w:w="0" w:type="auto"/>
            <w:tcBorders>
              <w:top w:val="nil"/>
              <w:left w:val="nil"/>
              <w:bottom w:val="single" w:sz="4" w:space="0" w:color="auto"/>
              <w:right w:val="nil"/>
            </w:tcBorders>
            <w:noWrap/>
            <w:vAlign w:val="center"/>
            <w:hideMark/>
          </w:tcPr>
          <w:p w14:paraId="508D83F3"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74</w:t>
            </w:r>
          </w:p>
        </w:tc>
        <w:tc>
          <w:tcPr>
            <w:tcW w:w="0" w:type="auto"/>
            <w:tcBorders>
              <w:top w:val="nil"/>
              <w:left w:val="nil"/>
              <w:bottom w:val="single" w:sz="4" w:space="0" w:color="auto"/>
              <w:right w:val="nil"/>
            </w:tcBorders>
            <w:noWrap/>
            <w:vAlign w:val="center"/>
            <w:hideMark/>
          </w:tcPr>
          <w:p w14:paraId="600BF018"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23</w:t>
            </w:r>
          </w:p>
        </w:tc>
        <w:tc>
          <w:tcPr>
            <w:tcW w:w="0" w:type="auto"/>
            <w:tcBorders>
              <w:top w:val="nil"/>
              <w:left w:val="nil"/>
              <w:bottom w:val="single" w:sz="4" w:space="0" w:color="auto"/>
              <w:right w:val="nil"/>
            </w:tcBorders>
            <w:noWrap/>
            <w:vAlign w:val="center"/>
            <w:hideMark/>
          </w:tcPr>
          <w:p w14:paraId="4506BB5C" w14:textId="77777777" w:rsidR="00B838F3" w:rsidRPr="0023535C" w:rsidRDefault="00B838F3" w:rsidP="00175FEC">
            <w:pPr>
              <w:spacing w:line="240" w:lineRule="auto"/>
              <w:jc w:val="right"/>
              <w:rPr>
                <w:rFonts w:ascii="Times New Roman" w:eastAsia="Times New Roman" w:hAnsi="Times New Roman" w:cs="Times New Roman"/>
                <w:color w:val="000000"/>
                <w:sz w:val="20"/>
                <w:szCs w:val="20"/>
              </w:rPr>
            </w:pPr>
            <w:r w:rsidRPr="0023535C">
              <w:rPr>
                <w:rFonts w:ascii="Times New Roman" w:eastAsia="Times New Roman" w:hAnsi="Times New Roman" w:cs="Times New Roman"/>
                <w:color w:val="000000"/>
                <w:sz w:val="20"/>
                <w:szCs w:val="20"/>
              </w:rPr>
              <w:t>114</w:t>
            </w:r>
          </w:p>
        </w:tc>
      </w:tr>
    </w:tbl>
    <w:p w14:paraId="5055426F"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E76FDDC" w14:textId="2263237D"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 xml:space="preserve">A Tabela </w:t>
      </w:r>
      <w:r>
        <w:rPr>
          <w:rFonts w:ascii="Times New Roman" w:eastAsia="Times New Roman" w:hAnsi="Times New Roman" w:cs="Times New Roman"/>
          <w:sz w:val="24"/>
          <w:szCs w:val="24"/>
        </w:rPr>
        <w:t xml:space="preserve">5 </w:t>
      </w:r>
      <w:r w:rsidRPr="0023535C">
        <w:rPr>
          <w:rFonts w:ascii="Times New Roman" w:eastAsia="Times New Roman" w:hAnsi="Times New Roman" w:cs="Times New Roman"/>
          <w:sz w:val="24"/>
          <w:szCs w:val="24"/>
        </w:rPr>
        <w:t>revela a distribuição quantitativa dos grupos de pesquisa conforme a região do país e o tipo de instituição de ensino superior à qual estão vinculados. A análise permite observar tanto padrões de concentração regional quanto a natureza institucional predominante.</w:t>
      </w:r>
    </w:p>
    <w:p w14:paraId="65F5C985" w14:textId="77777777" w:rsidR="00B838F3" w:rsidRPr="00720F00"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720F00">
        <w:rPr>
          <w:rFonts w:ascii="Times New Roman" w:eastAsia="Times New Roman" w:hAnsi="Times New Roman" w:cs="Times New Roman"/>
          <w:b/>
          <w:bCs/>
          <w:sz w:val="24"/>
          <w:szCs w:val="24"/>
        </w:rPr>
        <w:t>1. Predominância das Instituições Federais</w:t>
      </w:r>
    </w:p>
    <w:p w14:paraId="2140E309" w14:textId="77777777" w:rsidR="00B838F3" w:rsidRPr="002353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A categoria federal lidera em todas as regiões, totalizando 74 grupos (64,9%). Isso reforça o papel central das universidades e institutos federais na consolidação da pesquisa em Gestão do Conhecimento no Brasil, com destaque especial para:</w:t>
      </w:r>
    </w:p>
    <w:p w14:paraId="5152A370" w14:textId="77777777" w:rsidR="00B838F3" w:rsidRPr="0023535C" w:rsidRDefault="00B838F3" w:rsidP="00B838F3">
      <w:pPr>
        <w:pStyle w:val="PargrafodaLista"/>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Região Sul: 25 grupos federais (maior número absoluto),</w:t>
      </w:r>
    </w:p>
    <w:p w14:paraId="6A54F15A" w14:textId="77777777" w:rsidR="00B838F3" w:rsidRPr="0023535C" w:rsidRDefault="00B838F3" w:rsidP="00B838F3">
      <w:pPr>
        <w:pStyle w:val="PargrafodaLista"/>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Sudeste: 21 grupos federais,</w:t>
      </w:r>
    </w:p>
    <w:p w14:paraId="57BBF897" w14:textId="77777777" w:rsidR="00B838F3" w:rsidRPr="00106440" w:rsidRDefault="00B838F3" w:rsidP="00B838F3">
      <w:pPr>
        <w:pStyle w:val="PargrafodaLista"/>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Nordeste: 19 grupos federais.</w:t>
      </w:r>
    </w:p>
    <w:p w14:paraId="613C8C19"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Essa distribuição mostra que as instituições federais estão bem distribuídas nacionalmente e sustentam a maior parte da estrutura de pesquisa da área.</w:t>
      </w:r>
    </w:p>
    <w:p w14:paraId="5806F52A" w14:textId="77777777" w:rsidR="00B838F3" w:rsidRPr="00720F00"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720F00">
        <w:rPr>
          <w:rFonts w:ascii="Times New Roman" w:eastAsia="Times New Roman" w:hAnsi="Times New Roman" w:cs="Times New Roman"/>
          <w:b/>
          <w:bCs/>
          <w:sz w:val="24"/>
          <w:szCs w:val="24"/>
        </w:rPr>
        <w:t>2. Participação das Instituições Estaduais</w:t>
      </w:r>
    </w:p>
    <w:p w14:paraId="1DF8208E"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As instituições estaduais somam 17 grupos (14,9%), com forte concentração na Região Sudeste (9 grupos) e na Região Sul (4 grupos). Isso reflete a tradição de universidades estaduais fortes nesses locais, como USP, UNESP, UNICAMP e UERJ. Já nas regiões Centro-Oeste e Nordeste, a presença estadual é inexistente ou muito baixa (0 e 3 grupos, respectivamente), evidenciando limitações estruturais e menor capilaridade dos sistemas estaduais nessas regiões.</w:t>
      </w:r>
    </w:p>
    <w:p w14:paraId="17D07B73" w14:textId="77777777" w:rsidR="00095A59" w:rsidRPr="0023535C"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305B3CA" w14:textId="77777777" w:rsidR="00B838F3" w:rsidRPr="00720F00"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720F00">
        <w:rPr>
          <w:rFonts w:ascii="Times New Roman" w:eastAsia="Times New Roman" w:hAnsi="Times New Roman" w:cs="Times New Roman"/>
          <w:b/>
          <w:bCs/>
          <w:sz w:val="24"/>
          <w:szCs w:val="24"/>
        </w:rPr>
        <w:lastRenderedPageBreak/>
        <w:t>3. Presença das Instituições Particulares</w:t>
      </w:r>
    </w:p>
    <w:p w14:paraId="1CCF1BCF" w14:textId="77777777" w:rsidR="00B838F3" w:rsidRPr="002353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Os grupos em instituições particulares totalizam 23 (20,2%), com destaque para:</w:t>
      </w:r>
    </w:p>
    <w:p w14:paraId="506A9C5B" w14:textId="77777777" w:rsidR="00B838F3" w:rsidRPr="0023535C" w:rsidRDefault="00B838F3" w:rsidP="00B838F3">
      <w:pPr>
        <w:pStyle w:val="PargrafodaLista"/>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Sudeste: 11 grupos,</w:t>
      </w:r>
    </w:p>
    <w:p w14:paraId="24FD25D4" w14:textId="77777777" w:rsidR="00B838F3" w:rsidRPr="0023535C" w:rsidRDefault="00B838F3" w:rsidP="00B838F3">
      <w:pPr>
        <w:pStyle w:val="PargrafodaLista"/>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Sul: 8 grupos,</w:t>
      </w:r>
    </w:p>
    <w:p w14:paraId="1EA0F688" w14:textId="77777777" w:rsidR="00B838F3" w:rsidRPr="0023535C" w:rsidRDefault="00B838F3" w:rsidP="00B838F3">
      <w:pPr>
        <w:pStyle w:val="PargrafodaLista"/>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Outras regiões (Nordeste, Norte, Centro-Oeste): apenas 4 grupos no total.</w:t>
      </w:r>
    </w:p>
    <w:p w14:paraId="201E81F2" w14:textId="77777777" w:rsidR="00B838F3" w:rsidRPr="002353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Essa distribuição evidencia que, embora as instituições privadas tenham participação relevante, especialmente em regiões mais desenvolvidas, sua atuação em pesquisa ainda é bastante restrita nas demais regiões do país. A menor presença nas regiões Norte, Nordeste e Centro-Oeste pode estar relacionada à menor densidade de instituições privadas com foco em pesquisa e pós-graduação stricto sensu nessas áreas.</w:t>
      </w:r>
    </w:p>
    <w:p w14:paraId="4D6BDFC7" w14:textId="77777777" w:rsidR="00B838F3" w:rsidRPr="002353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A análise mostra que os grupos de pesquisa em Gestão do Conhecimento no Brasil estão fortemente concentrados</w:t>
      </w:r>
      <w:r>
        <w:rPr>
          <w:rFonts w:ascii="Times New Roman" w:eastAsia="Times New Roman" w:hAnsi="Times New Roman" w:cs="Times New Roman"/>
          <w:sz w:val="24"/>
          <w:szCs w:val="24"/>
        </w:rPr>
        <w:t xml:space="preserve"> nas</w:t>
      </w:r>
      <w:r w:rsidRPr="0023535C">
        <w:rPr>
          <w:rFonts w:ascii="Times New Roman" w:eastAsia="Times New Roman" w:hAnsi="Times New Roman" w:cs="Times New Roman"/>
          <w:sz w:val="24"/>
          <w:szCs w:val="24"/>
        </w:rPr>
        <w:t xml:space="preserve"> regiões Sudeste e Sul</w:t>
      </w:r>
      <w:r>
        <w:rPr>
          <w:rFonts w:ascii="Times New Roman" w:eastAsia="Times New Roman" w:hAnsi="Times New Roman" w:cs="Times New Roman"/>
          <w:sz w:val="24"/>
          <w:szCs w:val="24"/>
        </w:rPr>
        <w:t xml:space="preserve"> e </w:t>
      </w:r>
      <w:r w:rsidRPr="0023535C">
        <w:rPr>
          <w:rFonts w:ascii="Times New Roman" w:eastAsia="Times New Roman" w:hAnsi="Times New Roman" w:cs="Times New Roman"/>
          <w:sz w:val="24"/>
          <w:szCs w:val="24"/>
        </w:rPr>
        <w:t>nas instituições públicas, especialmente federais.</w:t>
      </w:r>
    </w:p>
    <w:p w14:paraId="3E74BE58" w14:textId="77777777" w:rsidR="00B838F3" w:rsidRPr="0023535C"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As instituições federais formam a espinha dorsal da pesquisa na área em todas as regiões, enquanto as estaduais concentram sua atuação em polos tradicionais do Sudeste e Sul. Já as instituições particulares, embora tenham presença significativa n</w:t>
      </w:r>
      <w:r>
        <w:rPr>
          <w:rFonts w:ascii="Times New Roman" w:eastAsia="Times New Roman" w:hAnsi="Times New Roman" w:cs="Times New Roman"/>
          <w:sz w:val="24"/>
          <w:szCs w:val="24"/>
        </w:rPr>
        <w:t>ess</w:t>
      </w:r>
      <w:r w:rsidRPr="0023535C">
        <w:rPr>
          <w:rFonts w:ascii="Times New Roman" w:eastAsia="Times New Roman" w:hAnsi="Times New Roman" w:cs="Times New Roman"/>
          <w:sz w:val="24"/>
          <w:szCs w:val="24"/>
        </w:rPr>
        <w:t>as regiões, ainda apresentam baixa capilaridade nacional.</w:t>
      </w:r>
    </w:p>
    <w:p w14:paraId="1FB702C6"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23535C">
        <w:rPr>
          <w:rFonts w:ascii="Times New Roman" w:eastAsia="Times New Roman" w:hAnsi="Times New Roman" w:cs="Times New Roman"/>
          <w:sz w:val="24"/>
          <w:szCs w:val="24"/>
        </w:rPr>
        <w:t>Esses dados reforçam a necessidade de políticas públicas para incentivo à formação e consolidação de grupos de pesquisa em GC em instituições estaduais e privadas fora do eixo Sul-Sudeste, contribuindo para reduzir as desigualdades regionais e institucionais na produção científica da área.</w:t>
      </w:r>
    </w:p>
    <w:p w14:paraId="4AF22060"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DD2B07">
        <w:rPr>
          <w:rFonts w:ascii="Times New Roman" w:eastAsia="Times New Roman" w:hAnsi="Times New Roman" w:cs="Times New Roman"/>
          <w:sz w:val="24"/>
          <w:szCs w:val="24"/>
        </w:rPr>
        <w:t xml:space="preserve"> Tabela </w:t>
      </w:r>
      <w:r>
        <w:rPr>
          <w:rFonts w:ascii="Times New Roman" w:eastAsia="Times New Roman" w:hAnsi="Times New Roman" w:cs="Times New Roman"/>
          <w:sz w:val="24"/>
          <w:szCs w:val="24"/>
        </w:rPr>
        <w:t xml:space="preserve">6 </w:t>
      </w:r>
      <w:r w:rsidRPr="00DD2B07">
        <w:rPr>
          <w:rFonts w:ascii="Times New Roman" w:eastAsia="Times New Roman" w:hAnsi="Times New Roman" w:cs="Times New Roman"/>
          <w:sz w:val="24"/>
          <w:szCs w:val="24"/>
        </w:rPr>
        <w:t>cruza duas dimensões importantes:</w:t>
      </w:r>
      <w:r>
        <w:rPr>
          <w:rFonts w:ascii="Times New Roman" w:eastAsia="Times New Roman" w:hAnsi="Times New Roman" w:cs="Times New Roman"/>
          <w:sz w:val="24"/>
          <w:szCs w:val="24"/>
        </w:rPr>
        <w:t xml:space="preserve"> </w:t>
      </w:r>
      <w:r w:rsidRPr="00DD2B07">
        <w:rPr>
          <w:rFonts w:ascii="Times New Roman" w:eastAsia="Times New Roman" w:hAnsi="Times New Roman" w:cs="Times New Roman"/>
          <w:sz w:val="24"/>
          <w:szCs w:val="24"/>
        </w:rPr>
        <w:t>a região geográfica em que o grupo de pesquisa está localizado, e</w:t>
      </w:r>
      <w:r>
        <w:rPr>
          <w:rFonts w:ascii="Times New Roman" w:eastAsia="Times New Roman" w:hAnsi="Times New Roman" w:cs="Times New Roman"/>
          <w:sz w:val="24"/>
          <w:szCs w:val="24"/>
        </w:rPr>
        <w:t xml:space="preserve"> </w:t>
      </w:r>
      <w:r w:rsidRPr="00DD2B07">
        <w:rPr>
          <w:rFonts w:ascii="Times New Roman" w:eastAsia="Times New Roman" w:hAnsi="Times New Roman" w:cs="Times New Roman"/>
          <w:sz w:val="24"/>
          <w:szCs w:val="24"/>
        </w:rPr>
        <w:t>o conceito CAPES do programa de pós-graduação stricto sensu ao qual o grupo está vinculado.</w:t>
      </w:r>
    </w:p>
    <w:p w14:paraId="45D0D06D"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Como um mesmo programa pode abrigar mais de um grupo, os dados revelam a densidade e a qualidade relativa dos ambientes de pesquisa, permitindo avaliar onde se concentram os grupos em contextos de maior ou menor excelência acadêmica.</w:t>
      </w:r>
    </w:p>
    <w:p w14:paraId="74321D7C" w14:textId="77777777" w:rsidR="00B838F3" w:rsidRPr="00213B16"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213B16">
        <w:rPr>
          <w:rFonts w:ascii="Times New Roman" w:eastAsia="Times New Roman" w:hAnsi="Times New Roman" w:cs="Times New Roman"/>
          <w:sz w:val="20"/>
          <w:szCs w:val="20"/>
        </w:rPr>
        <w:t xml:space="preserve">Tabela </w:t>
      </w:r>
      <w:r>
        <w:rPr>
          <w:rFonts w:ascii="Times New Roman" w:eastAsia="Times New Roman" w:hAnsi="Times New Roman" w:cs="Times New Roman"/>
          <w:sz w:val="20"/>
          <w:szCs w:val="20"/>
        </w:rPr>
        <w:t>6 -</w:t>
      </w:r>
      <w:r w:rsidRPr="00213B16">
        <w:rPr>
          <w:rFonts w:ascii="Times New Roman" w:eastAsia="Times New Roman" w:hAnsi="Times New Roman" w:cs="Times New Roman"/>
          <w:sz w:val="20"/>
          <w:szCs w:val="20"/>
        </w:rPr>
        <w:t xml:space="preserve"> Distribuição dos </w:t>
      </w:r>
      <w:r>
        <w:rPr>
          <w:rFonts w:ascii="Times New Roman" w:eastAsia="Times New Roman" w:hAnsi="Times New Roman" w:cs="Times New Roman"/>
          <w:sz w:val="20"/>
          <w:szCs w:val="20"/>
        </w:rPr>
        <w:t>Grupos de Pesquisa</w:t>
      </w:r>
      <w:r w:rsidRPr="00213B16">
        <w:rPr>
          <w:rFonts w:ascii="Times New Roman" w:eastAsia="Times New Roman" w:hAnsi="Times New Roman" w:cs="Times New Roman"/>
          <w:sz w:val="20"/>
          <w:szCs w:val="20"/>
        </w:rPr>
        <w:t xml:space="preserve"> por </w:t>
      </w:r>
      <w:r>
        <w:rPr>
          <w:rFonts w:ascii="Times New Roman" w:eastAsia="Times New Roman" w:hAnsi="Times New Roman" w:cs="Times New Roman"/>
          <w:sz w:val="20"/>
          <w:szCs w:val="20"/>
        </w:rPr>
        <w:t>Região e Conceito do Programa</w:t>
      </w:r>
    </w:p>
    <w:tbl>
      <w:tblPr>
        <w:tblW w:w="0" w:type="auto"/>
        <w:jc w:val="center"/>
        <w:tblCellMar>
          <w:left w:w="70" w:type="dxa"/>
          <w:right w:w="70" w:type="dxa"/>
        </w:tblCellMar>
        <w:tblLook w:val="04A0" w:firstRow="1" w:lastRow="0" w:firstColumn="1" w:lastColumn="0" w:noHBand="0" w:noVBand="1"/>
      </w:tblPr>
      <w:tblGrid>
        <w:gridCol w:w="1162"/>
        <w:gridCol w:w="240"/>
        <w:gridCol w:w="240"/>
        <w:gridCol w:w="340"/>
        <w:gridCol w:w="340"/>
        <w:gridCol w:w="240"/>
        <w:gridCol w:w="340"/>
        <w:gridCol w:w="1613"/>
        <w:gridCol w:w="596"/>
      </w:tblGrid>
      <w:tr w:rsidR="00B838F3" w:rsidRPr="00DD2B07" w14:paraId="1FEA76C4" w14:textId="77777777" w:rsidTr="00175FEC">
        <w:trPr>
          <w:cantSplit/>
          <w:jc w:val="center"/>
        </w:trPr>
        <w:tc>
          <w:tcPr>
            <w:tcW w:w="0" w:type="auto"/>
            <w:tcBorders>
              <w:top w:val="single" w:sz="4" w:space="0" w:color="auto"/>
              <w:left w:val="nil"/>
              <w:bottom w:val="nil"/>
              <w:right w:val="nil"/>
            </w:tcBorders>
            <w:noWrap/>
            <w:vAlign w:val="center"/>
            <w:hideMark/>
          </w:tcPr>
          <w:p w14:paraId="235E192B" w14:textId="77777777" w:rsidR="00B838F3" w:rsidRPr="00DD2B07" w:rsidRDefault="00B838F3" w:rsidP="00175FEC">
            <w:pPr>
              <w:spacing w:line="240" w:lineRule="auto"/>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 </w:t>
            </w:r>
          </w:p>
        </w:tc>
        <w:tc>
          <w:tcPr>
            <w:tcW w:w="0" w:type="auto"/>
            <w:gridSpan w:val="7"/>
            <w:tcBorders>
              <w:top w:val="single" w:sz="4" w:space="0" w:color="auto"/>
              <w:left w:val="nil"/>
              <w:bottom w:val="nil"/>
              <w:right w:val="nil"/>
            </w:tcBorders>
            <w:noWrap/>
            <w:vAlign w:val="center"/>
            <w:hideMark/>
          </w:tcPr>
          <w:p w14:paraId="6BF854B2"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Conceito</w:t>
            </w:r>
          </w:p>
        </w:tc>
        <w:tc>
          <w:tcPr>
            <w:tcW w:w="0" w:type="auto"/>
            <w:tcBorders>
              <w:top w:val="single" w:sz="4" w:space="0" w:color="auto"/>
              <w:left w:val="nil"/>
              <w:bottom w:val="nil"/>
              <w:right w:val="nil"/>
            </w:tcBorders>
            <w:noWrap/>
            <w:vAlign w:val="center"/>
            <w:hideMark/>
          </w:tcPr>
          <w:p w14:paraId="30D614D8"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Total</w:t>
            </w:r>
          </w:p>
        </w:tc>
      </w:tr>
      <w:tr w:rsidR="00B838F3" w:rsidRPr="00DD2B07" w14:paraId="055E0172" w14:textId="77777777" w:rsidTr="00175FEC">
        <w:trPr>
          <w:cantSplit/>
          <w:jc w:val="center"/>
        </w:trPr>
        <w:tc>
          <w:tcPr>
            <w:tcW w:w="0" w:type="auto"/>
            <w:tcBorders>
              <w:top w:val="nil"/>
              <w:left w:val="nil"/>
              <w:bottom w:val="single" w:sz="4" w:space="0" w:color="auto"/>
              <w:right w:val="nil"/>
            </w:tcBorders>
            <w:noWrap/>
            <w:vAlign w:val="center"/>
            <w:hideMark/>
          </w:tcPr>
          <w:p w14:paraId="00DAFDF2"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Região</w:t>
            </w:r>
          </w:p>
        </w:tc>
        <w:tc>
          <w:tcPr>
            <w:tcW w:w="0" w:type="auto"/>
            <w:tcBorders>
              <w:top w:val="nil"/>
              <w:left w:val="nil"/>
              <w:bottom w:val="single" w:sz="4" w:space="0" w:color="auto"/>
              <w:right w:val="nil"/>
            </w:tcBorders>
            <w:noWrap/>
            <w:vAlign w:val="center"/>
            <w:hideMark/>
          </w:tcPr>
          <w:p w14:paraId="6C4CDDFD"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2</w:t>
            </w:r>
          </w:p>
        </w:tc>
        <w:tc>
          <w:tcPr>
            <w:tcW w:w="0" w:type="auto"/>
            <w:tcBorders>
              <w:top w:val="nil"/>
              <w:left w:val="nil"/>
              <w:bottom w:val="single" w:sz="4" w:space="0" w:color="auto"/>
              <w:right w:val="nil"/>
            </w:tcBorders>
            <w:noWrap/>
            <w:vAlign w:val="center"/>
            <w:hideMark/>
          </w:tcPr>
          <w:p w14:paraId="5BED3223"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3</w:t>
            </w:r>
          </w:p>
        </w:tc>
        <w:tc>
          <w:tcPr>
            <w:tcW w:w="0" w:type="auto"/>
            <w:tcBorders>
              <w:top w:val="nil"/>
              <w:left w:val="nil"/>
              <w:bottom w:val="single" w:sz="4" w:space="0" w:color="auto"/>
              <w:right w:val="nil"/>
            </w:tcBorders>
            <w:noWrap/>
            <w:vAlign w:val="center"/>
            <w:hideMark/>
          </w:tcPr>
          <w:p w14:paraId="35A95E6E"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4</w:t>
            </w:r>
          </w:p>
        </w:tc>
        <w:tc>
          <w:tcPr>
            <w:tcW w:w="0" w:type="auto"/>
            <w:tcBorders>
              <w:top w:val="nil"/>
              <w:left w:val="nil"/>
              <w:bottom w:val="single" w:sz="4" w:space="0" w:color="auto"/>
              <w:right w:val="nil"/>
            </w:tcBorders>
            <w:noWrap/>
            <w:vAlign w:val="center"/>
            <w:hideMark/>
          </w:tcPr>
          <w:p w14:paraId="3D986326"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5</w:t>
            </w:r>
          </w:p>
        </w:tc>
        <w:tc>
          <w:tcPr>
            <w:tcW w:w="0" w:type="auto"/>
            <w:tcBorders>
              <w:top w:val="nil"/>
              <w:left w:val="nil"/>
              <w:bottom w:val="single" w:sz="4" w:space="0" w:color="auto"/>
              <w:right w:val="nil"/>
            </w:tcBorders>
            <w:noWrap/>
            <w:vAlign w:val="center"/>
            <w:hideMark/>
          </w:tcPr>
          <w:p w14:paraId="1A2083B2"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6</w:t>
            </w:r>
          </w:p>
        </w:tc>
        <w:tc>
          <w:tcPr>
            <w:tcW w:w="0" w:type="auto"/>
            <w:tcBorders>
              <w:top w:val="nil"/>
              <w:left w:val="nil"/>
              <w:bottom w:val="single" w:sz="4" w:space="0" w:color="auto"/>
              <w:right w:val="nil"/>
            </w:tcBorders>
            <w:noWrap/>
            <w:vAlign w:val="center"/>
            <w:hideMark/>
          </w:tcPr>
          <w:p w14:paraId="6C6903CD"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7</w:t>
            </w:r>
          </w:p>
        </w:tc>
        <w:tc>
          <w:tcPr>
            <w:tcW w:w="0" w:type="auto"/>
            <w:tcBorders>
              <w:top w:val="nil"/>
              <w:left w:val="nil"/>
              <w:bottom w:val="single" w:sz="4" w:space="0" w:color="auto"/>
              <w:right w:val="nil"/>
            </w:tcBorders>
            <w:noWrap/>
            <w:vAlign w:val="center"/>
            <w:hideMark/>
          </w:tcPr>
          <w:p w14:paraId="13C3BBE6"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Não Especificado</w:t>
            </w:r>
          </w:p>
        </w:tc>
        <w:tc>
          <w:tcPr>
            <w:tcW w:w="0" w:type="auto"/>
            <w:tcBorders>
              <w:top w:val="nil"/>
              <w:left w:val="nil"/>
              <w:bottom w:val="single" w:sz="4" w:space="0" w:color="auto"/>
              <w:right w:val="nil"/>
            </w:tcBorders>
            <w:noWrap/>
            <w:vAlign w:val="center"/>
            <w:hideMark/>
          </w:tcPr>
          <w:p w14:paraId="570C13BC" w14:textId="77777777" w:rsidR="00B838F3" w:rsidRPr="00DD2B07" w:rsidRDefault="00B838F3" w:rsidP="00175FEC">
            <w:pPr>
              <w:spacing w:line="240" w:lineRule="auto"/>
              <w:jc w:val="center"/>
              <w:rPr>
                <w:rFonts w:ascii="Times New Roman" w:eastAsia="Times New Roman" w:hAnsi="Times New Roman" w:cs="Times New Roman"/>
                <w:b/>
                <w:bCs/>
                <w:color w:val="000000"/>
                <w:sz w:val="20"/>
                <w:szCs w:val="20"/>
              </w:rPr>
            </w:pPr>
            <w:r w:rsidRPr="00DD2B07">
              <w:rPr>
                <w:rFonts w:ascii="Times New Roman" w:eastAsia="Times New Roman" w:hAnsi="Times New Roman" w:cs="Times New Roman"/>
                <w:b/>
                <w:bCs/>
                <w:color w:val="000000"/>
                <w:sz w:val="20"/>
                <w:szCs w:val="20"/>
              </w:rPr>
              <w:t> </w:t>
            </w:r>
          </w:p>
        </w:tc>
      </w:tr>
      <w:tr w:rsidR="00B838F3" w:rsidRPr="00DD2B07" w14:paraId="23476F47" w14:textId="77777777" w:rsidTr="00175FEC">
        <w:trPr>
          <w:cantSplit/>
          <w:jc w:val="center"/>
        </w:trPr>
        <w:tc>
          <w:tcPr>
            <w:tcW w:w="0" w:type="auto"/>
            <w:tcBorders>
              <w:top w:val="nil"/>
              <w:left w:val="nil"/>
              <w:bottom w:val="nil"/>
              <w:right w:val="nil"/>
            </w:tcBorders>
            <w:noWrap/>
            <w:vAlign w:val="center"/>
            <w:hideMark/>
          </w:tcPr>
          <w:p w14:paraId="026A2658" w14:textId="77777777" w:rsidR="00B838F3" w:rsidRPr="00DD2B07" w:rsidRDefault="00B838F3" w:rsidP="00175FEC">
            <w:pPr>
              <w:spacing w:line="240" w:lineRule="auto"/>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Centro-oeste</w:t>
            </w:r>
          </w:p>
        </w:tc>
        <w:tc>
          <w:tcPr>
            <w:tcW w:w="0" w:type="auto"/>
            <w:tcBorders>
              <w:top w:val="nil"/>
              <w:left w:val="nil"/>
              <w:bottom w:val="nil"/>
              <w:right w:val="nil"/>
            </w:tcBorders>
            <w:noWrap/>
            <w:vAlign w:val="center"/>
            <w:hideMark/>
          </w:tcPr>
          <w:p w14:paraId="3D4DACB9"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67E81C3C"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4E901146"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07F37E5A"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234306F5"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5D6EAAB0"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7996F8ED"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2FD897E1"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5</w:t>
            </w:r>
          </w:p>
        </w:tc>
      </w:tr>
      <w:tr w:rsidR="00B838F3" w:rsidRPr="00DD2B07" w14:paraId="6817D3E9" w14:textId="77777777" w:rsidTr="00175FEC">
        <w:trPr>
          <w:cantSplit/>
          <w:jc w:val="center"/>
        </w:trPr>
        <w:tc>
          <w:tcPr>
            <w:tcW w:w="0" w:type="auto"/>
            <w:tcBorders>
              <w:top w:val="nil"/>
              <w:left w:val="nil"/>
              <w:bottom w:val="nil"/>
              <w:right w:val="nil"/>
            </w:tcBorders>
            <w:noWrap/>
            <w:vAlign w:val="center"/>
            <w:hideMark/>
          </w:tcPr>
          <w:p w14:paraId="0684B6C9" w14:textId="77777777" w:rsidR="00B838F3" w:rsidRPr="00DD2B07" w:rsidRDefault="00B838F3" w:rsidP="00175FEC">
            <w:pPr>
              <w:spacing w:line="240" w:lineRule="auto"/>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Nordeste</w:t>
            </w:r>
          </w:p>
        </w:tc>
        <w:tc>
          <w:tcPr>
            <w:tcW w:w="0" w:type="auto"/>
            <w:tcBorders>
              <w:top w:val="nil"/>
              <w:left w:val="nil"/>
              <w:bottom w:val="nil"/>
              <w:right w:val="nil"/>
            </w:tcBorders>
            <w:noWrap/>
            <w:vAlign w:val="center"/>
            <w:hideMark/>
          </w:tcPr>
          <w:p w14:paraId="2C64F524"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381D41CB"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5571C8CF"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8</w:t>
            </w:r>
          </w:p>
        </w:tc>
        <w:tc>
          <w:tcPr>
            <w:tcW w:w="0" w:type="auto"/>
            <w:tcBorders>
              <w:top w:val="nil"/>
              <w:left w:val="nil"/>
              <w:bottom w:val="nil"/>
              <w:right w:val="nil"/>
            </w:tcBorders>
            <w:noWrap/>
            <w:vAlign w:val="center"/>
            <w:hideMark/>
          </w:tcPr>
          <w:p w14:paraId="093192A8"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4DD3E842"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558212C7"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7A173E39"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9</w:t>
            </w:r>
          </w:p>
        </w:tc>
        <w:tc>
          <w:tcPr>
            <w:tcW w:w="0" w:type="auto"/>
            <w:tcBorders>
              <w:top w:val="nil"/>
              <w:left w:val="nil"/>
              <w:bottom w:val="nil"/>
              <w:right w:val="nil"/>
            </w:tcBorders>
            <w:noWrap/>
            <w:vAlign w:val="center"/>
            <w:hideMark/>
          </w:tcPr>
          <w:p w14:paraId="68BAFA0E"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24</w:t>
            </w:r>
          </w:p>
        </w:tc>
      </w:tr>
      <w:tr w:rsidR="00B838F3" w:rsidRPr="00DD2B07" w14:paraId="4F7BA716" w14:textId="77777777" w:rsidTr="00175FEC">
        <w:trPr>
          <w:cantSplit/>
          <w:jc w:val="center"/>
        </w:trPr>
        <w:tc>
          <w:tcPr>
            <w:tcW w:w="0" w:type="auto"/>
            <w:tcBorders>
              <w:top w:val="nil"/>
              <w:left w:val="nil"/>
              <w:bottom w:val="nil"/>
              <w:right w:val="nil"/>
            </w:tcBorders>
            <w:noWrap/>
            <w:vAlign w:val="center"/>
            <w:hideMark/>
          </w:tcPr>
          <w:p w14:paraId="75296FE7" w14:textId="77777777" w:rsidR="00B838F3" w:rsidRPr="00DD2B07" w:rsidRDefault="00B838F3" w:rsidP="00175FEC">
            <w:pPr>
              <w:spacing w:line="240" w:lineRule="auto"/>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Norte</w:t>
            </w:r>
          </w:p>
        </w:tc>
        <w:tc>
          <w:tcPr>
            <w:tcW w:w="0" w:type="auto"/>
            <w:tcBorders>
              <w:top w:val="nil"/>
              <w:left w:val="nil"/>
              <w:bottom w:val="nil"/>
              <w:right w:val="nil"/>
            </w:tcBorders>
            <w:noWrap/>
            <w:vAlign w:val="center"/>
            <w:hideMark/>
          </w:tcPr>
          <w:p w14:paraId="51B6DE16"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6F72E4DB"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25C290DC"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343BFF98"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w:t>
            </w:r>
          </w:p>
        </w:tc>
        <w:tc>
          <w:tcPr>
            <w:tcW w:w="0" w:type="auto"/>
            <w:tcBorders>
              <w:top w:val="nil"/>
              <w:left w:val="nil"/>
              <w:bottom w:val="nil"/>
              <w:right w:val="nil"/>
            </w:tcBorders>
            <w:noWrap/>
            <w:vAlign w:val="center"/>
            <w:hideMark/>
          </w:tcPr>
          <w:p w14:paraId="7CC9427B"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500867D6"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6D846005"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0A649382"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7</w:t>
            </w:r>
          </w:p>
        </w:tc>
      </w:tr>
      <w:tr w:rsidR="00B838F3" w:rsidRPr="00DD2B07" w14:paraId="5AD63717" w14:textId="77777777" w:rsidTr="00175FEC">
        <w:trPr>
          <w:cantSplit/>
          <w:jc w:val="center"/>
        </w:trPr>
        <w:tc>
          <w:tcPr>
            <w:tcW w:w="0" w:type="auto"/>
            <w:tcBorders>
              <w:top w:val="nil"/>
              <w:left w:val="nil"/>
              <w:bottom w:val="nil"/>
              <w:right w:val="nil"/>
            </w:tcBorders>
            <w:noWrap/>
            <w:vAlign w:val="center"/>
            <w:hideMark/>
          </w:tcPr>
          <w:p w14:paraId="55C5CE0F" w14:textId="77777777" w:rsidR="00B838F3" w:rsidRPr="00DD2B07" w:rsidRDefault="00B838F3" w:rsidP="00175FEC">
            <w:pPr>
              <w:spacing w:line="240" w:lineRule="auto"/>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Sudeste</w:t>
            </w:r>
          </w:p>
        </w:tc>
        <w:tc>
          <w:tcPr>
            <w:tcW w:w="0" w:type="auto"/>
            <w:tcBorders>
              <w:top w:val="nil"/>
              <w:left w:val="nil"/>
              <w:bottom w:val="nil"/>
              <w:right w:val="nil"/>
            </w:tcBorders>
            <w:noWrap/>
            <w:vAlign w:val="center"/>
            <w:hideMark/>
          </w:tcPr>
          <w:p w14:paraId="207EF1D7"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41107728"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w:t>
            </w:r>
          </w:p>
        </w:tc>
        <w:tc>
          <w:tcPr>
            <w:tcW w:w="0" w:type="auto"/>
            <w:tcBorders>
              <w:top w:val="nil"/>
              <w:left w:val="nil"/>
              <w:bottom w:val="nil"/>
              <w:right w:val="nil"/>
            </w:tcBorders>
            <w:noWrap/>
            <w:vAlign w:val="center"/>
            <w:hideMark/>
          </w:tcPr>
          <w:p w14:paraId="2FB82042"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14</w:t>
            </w:r>
          </w:p>
        </w:tc>
        <w:tc>
          <w:tcPr>
            <w:tcW w:w="0" w:type="auto"/>
            <w:tcBorders>
              <w:top w:val="nil"/>
              <w:left w:val="nil"/>
              <w:bottom w:val="nil"/>
              <w:right w:val="nil"/>
            </w:tcBorders>
            <w:noWrap/>
            <w:vAlign w:val="center"/>
            <w:hideMark/>
          </w:tcPr>
          <w:p w14:paraId="45BA5EF1"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14</w:t>
            </w:r>
          </w:p>
        </w:tc>
        <w:tc>
          <w:tcPr>
            <w:tcW w:w="0" w:type="auto"/>
            <w:tcBorders>
              <w:top w:val="nil"/>
              <w:left w:val="nil"/>
              <w:bottom w:val="nil"/>
              <w:right w:val="nil"/>
            </w:tcBorders>
            <w:noWrap/>
            <w:vAlign w:val="center"/>
            <w:hideMark/>
          </w:tcPr>
          <w:p w14:paraId="19D90AA9"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367AB755"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1CD80BBA"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8</w:t>
            </w:r>
          </w:p>
        </w:tc>
        <w:tc>
          <w:tcPr>
            <w:tcW w:w="0" w:type="auto"/>
            <w:tcBorders>
              <w:top w:val="nil"/>
              <w:left w:val="nil"/>
              <w:bottom w:val="nil"/>
              <w:right w:val="nil"/>
            </w:tcBorders>
            <w:noWrap/>
            <w:vAlign w:val="center"/>
            <w:hideMark/>
          </w:tcPr>
          <w:p w14:paraId="27469BDD"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41</w:t>
            </w:r>
          </w:p>
        </w:tc>
      </w:tr>
      <w:tr w:rsidR="00B838F3" w:rsidRPr="00DD2B07" w14:paraId="5A1D6FA5" w14:textId="77777777" w:rsidTr="00175FEC">
        <w:trPr>
          <w:cantSplit/>
          <w:jc w:val="center"/>
        </w:trPr>
        <w:tc>
          <w:tcPr>
            <w:tcW w:w="0" w:type="auto"/>
            <w:tcBorders>
              <w:top w:val="nil"/>
              <w:left w:val="nil"/>
              <w:bottom w:val="nil"/>
              <w:right w:val="nil"/>
            </w:tcBorders>
            <w:noWrap/>
            <w:vAlign w:val="center"/>
            <w:hideMark/>
          </w:tcPr>
          <w:p w14:paraId="670C43F8" w14:textId="77777777" w:rsidR="00B838F3" w:rsidRPr="00DD2B07" w:rsidRDefault="00B838F3" w:rsidP="00175FEC">
            <w:pPr>
              <w:spacing w:line="240" w:lineRule="auto"/>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Sul</w:t>
            </w:r>
          </w:p>
        </w:tc>
        <w:tc>
          <w:tcPr>
            <w:tcW w:w="0" w:type="auto"/>
            <w:tcBorders>
              <w:top w:val="nil"/>
              <w:left w:val="nil"/>
              <w:bottom w:val="nil"/>
              <w:right w:val="nil"/>
            </w:tcBorders>
            <w:noWrap/>
            <w:vAlign w:val="center"/>
            <w:hideMark/>
          </w:tcPr>
          <w:p w14:paraId="5C988065"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618293D5"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2</w:t>
            </w:r>
          </w:p>
        </w:tc>
        <w:tc>
          <w:tcPr>
            <w:tcW w:w="0" w:type="auto"/>
            <w:tcBorders>
              <w:top w:val="nil"/>
              <w:left w:val="nil"/>
              <w:bottom w:val="nil"/>
              <w:right w:val="nil"/>
            </w:tcBorders>
            <w:noWrap/>
            <w:vAlign w:val="center"/>
            <w:hideMark/>
          </w:tcPr>
          <w:p w14:paraId="696E36DB"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10</w:t>
            </w:r>
          </w:p>
        </w:tc>
        <w:tc>
          <w:tcPr>
            <w:tcW w:w="0" w:type="auto"/>
            <w:tcBorders>
              <w:top w:val="nil"/>
              <w:left w:val="nil"/>
              <w:bottom w:val="nil"/>
              <w:right w:val="nil"/>
            </w:tcBorders>
            <w:noWrap/>
            <w:vAlign w:val="center"/>
            <w:hideMark/>
          </w:tcPr>
          <w:p w14:paraId="443B5FA7"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5</w:t>
            </w:r>
          </w:p>
        </w:tc>
        <w:tc>
          <w:tcPr>
            <w:tcW w:w="0" w:type="auto"/>
            <w:tcBorders>
              <w:top w:val="nil"/>
              <w:left w:val="nil"/>
              <w:bottom w:val="nil"/>
              <w:right w:val="nil"/>
            </w:tcBorders>
            <w:noWrap/>
            <w:vAlign w:val="center"/>
            <w:hideMark/>
          </w:tcPr>
          <w:p w14:paraId="34D15951"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0</w:t>
            </w:r>
          </w:p>
        </w:tc>
        <w:tc>
          <w:tcPr>
            <w:tcW w:w="0" w:type="auto"/>
            <w:tcBorders>
              <w:top w:val="nil"/>
              <w:left w:val="nil"/>
              <w:bottom w:val="nil"/>
              <w:right w:val="nil"/>
            </w:tcBorders>
            <w:noWrap/>
            <w:vAlign w:val="center"/>
            <w:hideMark/>
          </w:tcPr>
          <w:p w14:paraId="5E5C557C"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11</w:t>
            </w:r>
          </w:p>
        </w:tc>
        <w:tc>
          <w:tcPr>
            <w:tcW w:w="0" w:type="auto"/>
            <w:tcBorders>
              <w:top w:val="nil"/>
              <w:left w:val="nil"/>
              <w:bottom w:val="nil"/>
              <w:right w:val="nil"/>
            </w:tcBorders>
            <w:noWrap/>
            <w:vAlign w:val="center"/>
            <w:hideMark/>
          </w:tcPr>
          <w:p w14:paraId="174866D1"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9</w:t>
            </w:r>
          </w:p>
        </w:tc>
        <w:tc>
          <w:tcPr>
            <w:tcW w:w="0" w:type="auto"/>
            <w:tcBorders>
              <w:top w:val="nil"/>
              <w:left w:val="nil"/>
              <w:bottom w:val="nil"/>
              <w:right w:val="nil"/>
            </w:tcBorders>
            <w:noWrap/>
            <w:vAlign w:val="center"/>
            <w:hideMark/>
          </w:tcPr>
          <w:p w14:paraId="4F9D2190"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37</w:t>
            </w:r>
          </w:p>
        </w:tc>
      </w:tr>
      <w:tr w:rsidR="00B838F3" w:rsidRPr="00DD2B07" w14:paraId="2647CC00" w14:textId="77777777" w:rsidTr="00175FEC">
        <w:trPr>
          <w:cantSplit/>
          <w:jc w:val="center"/>
        </w:trPr>
        <w:tc>
          <w:tcPr>
            <w:tcW w:w="0" w:type="auto"/>
            <w:tcBorders>
              <w:top w:val="nil"/>
              <w:left w:val="nil"/>
              <w:bottom w:val="single" w:sz="4" w:space="0" w:color="auto"/>
              <w:right w:val="nil"/>
            </w:tcBorders>
            <w:noWrap/>
            <w:vAlign w:val="center"/>
            <w:hideMark/>
          </w:tcPr>
          <w:p w14:paraId="36510115" w14:textId="77777777" w:rsidR="00B838F3" w:rsidRPr="00DD2B07" w:rsidRDefault="00B838F3" w:rsidP="00175FEC">
            <w:pPr>
              <w:spacing w:line="240" w:lineRule="auto"/>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Total</w:t>
            </w:r>
          </w:p>
        </w:tc>
        <w:tc>
          <w:tcPr>
            <w:tcW w:w="0" w:type="auto"/>
            <w:tcBorders>
              <w:top w:val="nil"/>
              <w:left w:val="nil"/>
              <w:bottom w:val="single" w:sz="4" w:space="0" w:color="auto"/>
              <w:right w:val="nil"/>
            </w:tcBorders>
            <w:noWrap/>
            <w:vAlign w:val="center"/>
            <w:hideMark/>
          </w:tcPr>
          <w:p w14:paraId="5CA34AEF"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nil"/>
            </w:tcBorders>
            <w:noWrap/>
            <w:vAlign w:val="center"/>
            <w:hideMark/>
          </w:tcPr>
          <w:p w14:paraId="7F7E9786"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8</w:t>
            </w:r>
          </w:p>
        </w:tc>
        <w:tc>
          <w:tcPr>
            <w:tcW w:w="0" w:type="auto"/>
            <w:tcBorders>
              <w:top w:val="nil"/>
              <w:left w:val="nil"/>
              <w:bottom w:val="single" w:sz="4" w:space="0" w:color="auto"/>
              <w:right w:val="nil"/>
            </w:tcBorders>
            <w:noWrap/>
            <w:vAlign w:val="center"/>
            <w:hideMark/>
          </w:tcPr>
          <w:p w14:paraId="3687F4AE"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37</w:t>
            </w:r>
          </w:p>
        </w:tc>
        <w:tc>
          <w:tcPr>
            <w:tcW w:w="0" w:type="auto"/>
            <w:tcBorders>
              <w:top w:val="nil"/>
              <w:left w:val="nil"/>
              <w:bottom w:val="single" w:sz="4" w:space="0" w:color="auto"/>
              <w:right w:val="nil"/>
            </w:tcBorders>
            <w:noWrap/>
            <w:vAlign w:val="center"/>
            <w:hideMark/>
          </w:tcPr>
          <w:p w14:paraId="18C27A93"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24</w:t>
            </w:r>
          </w:p>
        </w:tc>
        <w:tc>
          <w:tcPr>
            <w:tcW w:w="0" w:type="auto"/>
            <w:tcBorders>
              <w:top w:val="nil"/>
              <w:left w:val="nil"/>
              <w:bottom w:val="single" w:sz="4" w:space="0" w:color="auto"/>
              <w:right w:val="nil"/>
            </w:tcBorders>
            <w:noWrap/>
            <w:vAlign w:val="center"/>
            <w:hideMark/>
          </w:tcPr>
          <w:p w14:paraId="77E51830"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nil"/>
            </w:tcBorders>
            <w:noWrap/>
            <w:vAlign w:val="center"/>
            <w:hideMark/>
          </w:tcPr>
          <w:p w14:paraId="2ADDF1E2"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11</w:t>
            </w:r>
          </w:p>
        </w:tc>
        <w:tc>
          <w:tcPr>
            <w:tcW w:w="0" w:type="auto"/>
            <w:tcBorders>
              <w:top w:val="nil"/>
              <w:left w:val="nil"/>
              <w:bottom w:val="single" w:sz="4" w:space="0" w:color="auto"/>
              <w:right w:val="nil"/>
            </w:tcBorders>
            <w:noWrap/>
            <w:vAlign w:val="center"/>
            <w:hideMark/>
          </w:tcPr>
          <w:p w14:paraId="1F953C1A"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31</w:t>
            </w:r>
          </w:p>
        </w:tc>
        <w:tc>
          <w:tcPr>
            <w:tcW w:w="0" w:type="auto"/>
            <w:tcBorders>
              <w:top w:val="nil"/>
              <w:left w:val="nil"/>
              <w:bottom w:val="single" w:sz="4" w:space="0" w:color="auto"/>
              <w:right w:val="nil"/>
            </w:tcBorders>
            <w:noWrap/>
            <w:vAlign w:val="center"/>
            <w:hideMark/>
          </w:tcPr>
          <w:p w14:paraId="3B2F727C" w14:textId="77777777" w:rsidR="00B838F3" w:rsidRPr="00DD2B07" w:rsidRDefault="00B838F3" w:rsidP="00175FEC">
            <w:pPr>
              <w:spacing w:line="240" w:lineRule="auto"/>
              <w:jc w:val="right"/>
              <w:rPr>
                <w:rFonts w:ascii="Times New Roman" w:eastAsia="Times New Roman" w:hAnsi="Times New Roman" w:cs="Times New Roman"/>
                <w:color w:val="000000"/>
                <w:sz w:val="20"/>
                <w:szCs w:val="20"/>
              </w:rPr>
            </w:pPr>
            <w:r w:rsidRPr="00DD2B07">
              <w:rPr>
                <w:rFonts w:ascii="Times New Roman" w:eastAsia="Times New Roman" w:hAnsi="Times New Roman" w:cs="Times New Roman"/>
                <w:color w:val="000000"/>
                <w:sz w:val="20"/>
                <w:szCs w:val="20"/>
              </w:rPr>
              <w:t>114</w:t>
            </w:r>
          </w:p>
        </w:tc>
      </w:tr>
    </w:tbl>
    <w:p w14:paraId="63B49CC4"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p>
    <w:p w14:paraId="0A21A59E" w14:textId="77777777" w:rsidR="00B838F3" w:rsidRPr="00720F00"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720F00">
        <w:rPr>
          <w:rFonts w:ascii="Times New Roman" w:eastAsia="Times New Roman" w:hAnsi="Times New Roman" w:cs="Times New Roman"/>
          <w:b/>
          <w:bCs/>
          <w:sz w:val="24"/>
          <w:szCs w:val="24"/>
        </w:rPr>
        <w:lastRenderedPageBreak/>
        <w:t>1. Predominância dos Grupos em Programas com Conceito 4 e 5</w:t>
      </w:r>
    </w:p>
    <w:p w14:paraId="47DB4270"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37 grupos (32,5%) estão vinculados a programas com conceito 4 e 24 grupos (21,1%) com conceito 5.</w:t>
      </w:r>
    </w:p>
    <w:p w14:paraId="4190AAB0"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 xml:space="preserve">Juntos, esses níveis intermediários de avaliação abrangem mais da metade (53,6%) dos grupos de pesquisa, </w:t>
      </w:r>
      <w:r>
        <w:rPr>
          <w:rFonts w:ascii="Times New Roman" w:eastAsia="Times New Roman" w:hAnsi="Times New Roman" w:cs="Times New Roman"/>
          <w:sz w:val="24"/>
          <w:szCs w:val="24"/>
        </w:rPr>
        <w:t>sugerindo</w:t>
      </w:r>
      <w:r w:rsidRPr="00DD2B07">
        <w:rPr>
          <w:rFonts w:ascii="Times New Roman" w:eastAsia="Times New Roman" w:hAnsi="Times New Roman" w:cs="Times New Roman"/>
          <w:sz w:val="24"/>
          <w:szCs w:val="24"/>
        </w:rPr>
        <w:t xml:space="preserve"> que a maior parte da atividade científica na área de GC ocorre em contextos avaliados como “bons” ou “muito bons” pela CAPES.</w:t>
      </w:r>
    </w:p>
    <w:p w14:paraId="65F10045" w14:textId="77777777" w:rsidR="00B838F3" w:rsidRPr="00720F00"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720F00">
        <w:rPr>
          <w:rFonts w:ascii="Times New Roman" w:eastAsia="Times New Roman" w:hAnsi="Times New Roman" w:cs="Times New Roman"/>
          <w:b/>
          <w:bCs/>
          <w:sz w:val="24"/>
          <w:szCs w:val="24"/>
        </w:rPr>
        <w:t>2. Conceitos mais altos (6 e 7) ainda são minoritários</w:t>
      </w:r>
    </w:p>
    <w:p w14:paraId="69A44B34"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157726">
        <w:rPr>
          <w:rFonts w:ascii="Times New Roman" w:eastAsia="Times New Roman" w:hAnsi="Times New Roman" w:cs="Times New Roman"/>
          <w:sz w:val="24"/>
          <w:szCs w:val="24"/>
        </w:rPr>
        <w:t xml:space="preserve">Apenas dois grupos de pesquisa estão inseridos em programas de pós-graduação com conceito 6, ambos vinculados ao IBICT (RJ). Outros 11 grupos (9,6% do total) encontram-se em </w:t>
      </w:r>
      <w:r>
        <w:rPr>
          <w:rFonts w:ascii="Times New Roman" w:eastAsia="Times New Roman" w:hAnsi="Times New Roman" w:cs="Times New Roman"/>
          <w:sz w:val="24"/>
          <w:szCs w:val="24"/>
        </w:rPr>
        <w:t xml:space="preserve">um </w:t>
      </w:r>
      <w:r w:rsidRPr="00157726">
        <w:rPr>
          <w:rFonts w:ascii="Times New Roman" w:eastAsia="Times New Roman" w:hAnsi="Times New Roman" w:cs="Times New Roman"/>
          <w:sz w:val="24"/>
          <w:szCs w:val="24"/>
        </w:rPr>
        <w:t>programa com conceito 7, todos localizados na Região Sul e vinculados à UFSC.</w:t>
      </w:r>
    </w:p>
    <w:p w14:paraId="5EE5F88F" w14:textId="77777777" w:rsidR="00B838F3" w:rsidRPr="00720F00" w:rsidRDefault="00B838F3" w:rsidP="00B838F3">
      <w:pPr>
        <w:pBdr>
          <w:top w:val="nil"/>
          <w:left w:val="nil"/>
          <w:bottom w:val="nil"/>
          <w:right w:val="nil"/>
          <w:between w:val="nil"/>
        </w:pBdr>
        <w:tabs>
          <w:tab w:val="left" w:pos="1240"/>
        </w:tabs>
        <w:spacing w:line="360" w:lineRule="auto"/>
        <w:ind w:firstLine="720"/>
        <w:jc w:val="both"/>
        <w:rPr>
          <w:rFonts w:ascii="Times New Roman" w:eastAsia="Times New Roman" w:hAnsi="Times New Roman" w:cs="Times New Roman"/>
          <w:b/>
          <w:bCs/>
          <w:sz w:val="24"/>
          <w:szCs w:val="24"/>
        </w:rPr>
      </w:pPr>
      <w:r w:rsidRPr="00720F00">
        <w:rPr>
          <w:rFonts w:ascii="Times New Roman" w:eastAsia="Times New Roman" w:hAnsi="Times New Roman" w:cs="Times New Roman"/>
          <w:b/>
          <w:bCs/>
          <w:sz w:val="24"/>
          <w:szCs w:val="24"/>
        </w:rPr>
        <w:t>3. Grande número de grupos em programas com conceito não especificado</w:t>
      </w:r>
    </w:p>
    <w:p w14:paraId="377D6AA7"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31 grupos (27,2%) não possuem especificação quanto ao conceito do programa ao qual estão vinculados.</w:t>
      </w:r>
    </w:p>
    <w:p w14:paraId="6171674D"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Essa lacuna pode significar que:</w:t>
      </w:r>
    </w:p>
    <w:p w14:paraId="5694DE9F" w14:textId="77777777" w:rsidR="00B838F3" w:rsidRPr="00DD2B07" w:rsidRDefault="00B838F3" w:rsidP="00B838F3">
      <w:pPr>
        <w:pStyle w:val="PargrafodaLista"/>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O programa ainda não foi avaliado;</w:t>
      </w:r>
    </w:p>
    <w:p w14:paraId="282D57F3" w14:textId="77777777" w:rsidR="00B838F3" w:rsidRPr="00DD2B07" w:rsidRDefault="00B838F3" w:rsidP="00B838F3">
      <w:pPr>
        <w:pStyle w:val="PargrafodaLista"/>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Os dados não estão devidamente registrados nas bases públicas;</w:t>
      </w:r>
    </w:p>
    <w:p w14:paraId="6E93C51D" w14:textId="77777777" w:rsidR="00B838F3" w:rsidRPr="00DD2B07" w:rsidRDefault="00B838F3" w:rsidP="00B838F3">
      <w:pPr>
        <w:pStyle w:val="PargrafodaLista"/>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Ou há grupos vinculados a instituições ou programas não reconhecidos oficialmente como stricto sensu.</w:t>
      </w:r>
    </w:p>
    <w:p w14:paraId="35FDE073"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Esse dado é relevante, pois dificulta a análise de qualidade e o planejamento de políticas de fomento e desenvolvimento da área, indicando a necessidade de maior transparência institucional e atualização cadastral.</w:t>
      </w:r>
    </w:p>
    <w:p w14:paraId="67985971" w14:textId="77777777" w:rsidR="00B838F3" w:rsidRPr="00D61A0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61A03">
        <w:rPr>
          <w:rFonts w:ascii="Times New Roman" w:eastAsia="Times New Roman" w:hAnsi="Times New Roman" w:cs="Times New Roman"/>
          <w:b/>
          <w:bCs/>
          <w:sz w:val="24"/>
          <w:szCs w:val="24"/>
        </w:rPr>
        <w:t>4. Destaques Regionais</w:t>
      </w:r>
    </w:p>
    <w:p w14:paraId="5AAC30B2"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Região Sudeste:</w:t>
      </w:r>
      <w:r>
        <w:rPr>
          <w:rFonts w:ascii="Times New Roman" w:eastAsia="Times New Roman" w:hAnsi="Times New Roman" w:cs="Times New Roman"/>
          <w:sz w:val="24"/>
          <w:szCs w:val="24"/>
        </w:rPr>
        <w:t xml:space="preserve"> </w:t>
      </w:r>
      <w:r w:rsidRPr="00DD2B07">
        <w:rPr>
          <w:rFonts w:ascii="Times New Roman" w:eastAsia="Times New Roman" w:hAnsi="Times New Roman" w:cs="Times New Roman"/>
          <w:sz w:val="24"/>
          <w:szCs w:val="24"/>
        </w:rPr>
        <w:t>Totaliza 41 grupos, sendo 28 deles vinculados a programas com conceito 4 ou 5, e 2 com conceito 6. Destaca-se como região com maior volume em níveis intermediários de avaliação, refletindo robustez institucional.</w:t>
      </w:r>
    </w:p>
    <w:p w14:paraId="2A768804"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Região Sul:</w:t>
      </w:r>
      <w:r>
        <w:rPr>
          <w:rFonts w:ascii="Times New Roman" w:eastAsia="Times New Roman" w:hAnsi="Times New Roman" w:cs="Times New Roman"/>
          <w:sz w:val="24"/>
          <w:szCs w:val="24"/>
        </w:rPr>
        <w:t xml:space="preserve"> </w:t>
      </w:r>
      <w:r w:rsidRPr="00DD2B07">
        <w:rPr>
          <w:rFonts w:ascii="Times New Roman" w:eastAsia="Times New Roman" w:hAnsi="Times New Roman" w:cs="Times New Roman"/>
          <w:sz w:val="24"/>
          <w:szCs w:val="24"/>
        </w:rPr>
        <w:t xml:space="preserve">Apresenta 37 grupos, com distribuição equilibrada entre conceitos 4 (10), 5 (5) e destaque para </w:t>
      </w:r>
      <w:r>
        <w:rPr>
          <w:rFonts w:ascii="Times New Roman" w:eastAsia="Times New Roman" w:hAnsi="Times New Roman" w:cs="Times New Roman"/>
          <w:sz w:val="24"/>
          <w:szCs w:val="24"/>
        </w:rPr>
        <w:t xml:space="preserve">os </w:t>
      </w:r>
      <w:r w:rsidRPr="00DD2B07">
        <w:rPr>
          <w:rFonts w:ascii="Times New Roman" w:eastAsia="Times New Roman" w:hAnsi="Times New Roman" w:cs="Times New Roman"/>
          <w:sz w:val="24"/>
          <w:szCs w:val="24"/>
        </w:rPr>
        <w:t xml:space="preserve">11 grupos </w:t>
      </w:r>
      <w:r>
        <w:rPr>
          <w:rFonts w:ascii="Times New Roman" w:eastAsia="Times New Roman" w:hAnsi="Times New Roman" w:cs="Times New Roman"/>
          <w:sz w:val="24"/>
          <w:szCs w:val="24"/>
        </w:rPr>
        <w:t>num</w:t>
      </w:r>
      <w:r w:rsidRPr="00DD2B07">
        <w:rPr>
          <w:rFonts w:ascii="Times New Roman" w:eastAsia="Times New Roman" w:hAnsi="Times New Roman" w:cs="Times New Roman"/>
          <w:sz w:val="24"/>
          <w:szCs w:val="24"/>
        </w:rPr>
        <w:t xml:space="preserve"> programa de excelência (conceito 7), evidenciando alta qualificação acadêmica.</w:t>
      </w:r>
    </w:p>
    <w:p w14:paraId="204CC424"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Região Nordeste:</w:t>
      </w:r>
      <w:r>
        <w:rPr>
          <w:rFonts w:ascii="Times New Roman" w:eastAsia="Times New Roman" w:hAnsi="Times New Roman" w:cs="Times New Roman"/>
          <w:sz w:val="24"/>
          <w:szCs w:val="24"/>
        </w:rPr>
        <w:t xml:space="preserve"> </w:t>
      </w:r>
      <w:r w:rsidRPr="00DD2B07">
        <w:rPr>
          <w:rFonts w:ascii="Times New Roman" w:eastAsia="Times New Roman" w:hAnsi="Times New Roman" w:cs="Times New Roman"/>
          <w:sz w:val="24"/>
          <w:szCs w:val="24"/>
        </w:rPr>
        <w:t>Com 24 grupos, a maior parte está em programas com conceito 4 (n = 8) e uma parte expressiva sem conceito especificado (n = 9). Há um grupo em programa com conceito 2, o mais baixo da amostra.</w:t>
      </w:r>
    </w:p>
    <w:p w14:paraId="3C0D65E1"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lastRenderedPageBreak/>
        <w:t>Regiões Norte e Centro-Oeste:</w:t>
      </w:r>
      <w:r>
        <w:rPr>
          <w:rFonts w:ascii="Times New Roman" w:eastAsia="Times New Roman" w:hAnsi="Times New Roman" w:cs="Times New Roman"/>
          <w:sz w:val="24"/>
          <w:szCs w:val="24"/>
        </w:rPr>
        <w:t xml:space="preserve"> </w:t>
      </w:r>
      <w:r w:rsidRPr="00DD2B07">
        <w:rPr>
          <w:rFonts w:ascii="Times New Roman" w:eastAsia="Times New Roman" w:hAnsi="Times New Roman" w:cs="Times New Roman"/>
          <w:sz w:val="24"/>
          <w:szCs w:val="24"/>
        </w:rPr>
        <w:t>Juntas somam 12 grupos, todos em faixas mais baixas ou não especificadas, o que reforça a necessidade de maior investimento e políticas de fortalecimento institucional e acadêmico nessas regiões.</w:t>
      </w:r>
    </w:p>
    <w:p w14:paraId="690A498B"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334A764" wp14:editId="660668AA">
            <wp:extent cx="3623001" cy="2260655"/>
            <wp:effectExtent l="0" t="0" r="0" b="6350"/>
            <wp:docPr id="7409961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9055" cy="2283152"/>
                    </a:xfrm>
                    <a:prstGeom prst="rect">
                      <a:avLst/>
                    </a:prstGeom>
                    <a:noFill/>
                  </pic:spPr>
                </pic:pic>
              </a:graphicData>
            </a:graphic>
          </wp:inline>
        </w:drawing>
      </w:r>
    </w:p>
    <w:p w14:paraId="4AB44D69" w14:textId="77777777" w:rsidR="00B838F3" w:rsidRPr="009577F5"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9577F5">
        <w:rPr>
          <w:rFonts w:ascii="Times New Roman" w:eastAsia="Times New Roman" w:hAnsi="Times New Roman" w:cs="Times New Roman"/>
          <w:sz w:val="20"/>
          <w:szCs w:val="20"/>
        </w:rPr>
        <w:t xml:space="preserve">Figura </w:t>
      </w:r>
      <w:r>
        <w:rPr>
          <w:rFonts w:ascii="Times New Roman" w:eastAsia="Times New Roman" w:hAnsi="Times New Roman" w:cs="Times New Roman"/>
          <w:sz w:val="20"/>
          <w:szCs w:val="20"/>
        </w:rPr>
        <w:t>1</w:t>
      </w:r>
      <w:r w:rsidRPr="009577F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9577F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Distribuição dos</w:t>
      </w:r>
      <w:r w:rsidRPr="009577F5">
        <w:rPr>
          <w:rFonts w:ascii="Times New Roman" w:eastAsia="Times New Roman" w:hAnsi="Times New Roman" w:cs="Times New Roman"/>
          <w:sz w:val="20"/>
          <w:szCs w:val="20"/>
        </w:rPr>
        <w:t xml:space="preserve"> Grupos de Pesquisa por </w:t>
      </w:r>
      <w:r>
        <w:rPr>
          <w:rFonts w:ascii="Times New Roman" w:eastAsia="Times New Roman" w:hAnsi="Times New Roman" w:cs="Times New Roman"/>
          <w:sz w:val="20"/>
          <w:szCs w:val="20"/>
        </w:rPr>
        <w:t>Região</w:t>
      </w:r>
    </w:p>
    <w:p w14:paraId="020A8EEA" w14:textId="77777777" w:rsidR="00B838F3" w:rsidRPr="00DD2B07"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A análise mostra que os grupos de pesquisa em Gestão do Conhecimento estão fortemente concentrados:</w:t>
      </w:r>
    </w:p>
    <w:p w14:paraId="6A194B59" w14:textId="77777777" w:rsidR="00B838F3" w:rsidRPr="00DD2B07" w:rsidRDefault="00B838F3" w:rsidP="00B838F3">
      <w:pPr>
        <w:pStyle w:val="PargrafodaLista"/>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w:t>
      </w:r>
      <w:r w:rsidRPr="00DD2B07">
        <w:rPr>
          <w:rFonts w:ascii="Times New Roman" w:eastAsia="Times New Roman" w:hAnsi="Times New Roman" w:cs="Times New Roman"/>
          <w:sz w:val="24"/>
          <w:szCs w:val="24"/>
        </w:rPr>
        <w:t>regiões Sudeste e Sul</w:t>
      </w:r>
      <w:r>
        <w:rPr>
          <w:rFonts w:ascii="Times New Roman" w:eastAsia="Times New Roman" w:hAnsi="Times New Roman" w:cs="Times New Roman"/>
          <w:sz w:val="24"/>
          <w:szCs w:val="24"/>
        </w:rPr>
        <w:t>, como mostra a Figura 1</w:t>
      </w:r>
      <w:r w:rsidRPr="00DD2B07">
        <w:rPr>
          <w:rFonts w:ascii="Times New Roman" w:eastAsia="Times New Roman" w:hAnsi="Times New Roman" w:cs="Times New Roman"/>
          <w:sz w:val="24"/>
          <w:szCs w:val="24"/>
        </w:rPr>
        <w:t>;</w:t>
      </w:r>
    </w:p>
    <w:p w14:paraId="676C72D8" w14:textId="77777777" w:rsidR="00B838F3" w:rsidRPr="00DD2B07" w:rsidRDefault="00B838F3" w:rsidP="00B838F3">
      <w:pPr>
        <w:pStyle w:val="PargrafodaLista"/>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Em programas com avaliação CAPES intermediária (conceitos 4 e 5);</w:t>
      </w:r>
    </w:p>
    <w:p w14:paraId="467EAD52" w14:textId="77777777" w:rsidR="00B838F3" w:rsidRPr="00DD2B07" w:rsidRDefault="00B838F3" w:rsidP="00B838F3">
      <w:pPr>
        <w:pStyle w:val="PargrafodaLista"/>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Com poucos grupos em programas de excelência (conceitos 6 e 7);</w:t>
      </w:r>
    </w:p>
    <w:p w14:paraId="04CC0F5D" w14:textId="77777777" w:rsidR="00B838F3" w:rsidRPr="00DD2B07" w:rsidRDefault="00B838F3" w:rsidP="00B838F3">
      <w:pPr>
        <w:pStyle w:val="PargrafodaLista"/>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E com um número ainda expressivo de grupos sem conceito especificado.</w:t>
      </w:r>
    </w:p>
    <w:p w14:paraId="23761DD5"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D2B07">
        <w:rPr>
          <w:rFonts w:ascii="Times New Roman" w:eastAsia="Times New Roman" w:hAnsi="Times New Roman" w:cs="Times New Roman"/>
          <w:sz w:val="24"/>
          <w:szCs w:val="24"/>
        </w:rPr>
        <w:t>Esses resultados indicam avanços importantes na consolidação da área, mas também revelam desigualdades regionais e qualitativas, além de fragilidades na gestão da informação acadêmica. Fortalecer os programas de regiões menos representadas e ampliar a transparência</w:t>
      </w:r>
      <w:r w:rsidRPr="00F75446">
        <w:rPr>
          <w:rFonts w:ascii="Times New Roman" w:eastAsia="Times New Roman" w:hAnsi="Times New Roman" w:cs="Times New Roman"/>
          <w:sz w:val="24"/>
          <w:szCs w:val="24"/>
        </w:rPr>
        <w:t xml:space="preserve"> </w:t>
      </w:r>
      <w:r w:rsidRPr="00DD2B07">
        <w:rPr>
          <w:rFonts w:ascii="Times New Roman" w:eastAsia="Times New Roman" w:hAnsi="Times New Roman" w:cs="Times New Roman"/>
          <w:sz w:val="24"/>
          <w:szCs w:val="24"/>
        </w:rPr>
        <w:t>e avaliação institucional são caminhos estratégicos para o avanço da Gestão do Conhecimento como campo interdisciplinar e estratégico no Brasil.</w:t>
      </w:r>
      <w:r>
        <w:rPr>
          <w:rFonts w:ascii="Times New Roman" w:eastAsia="Times New Roman" w:hAnsi="Times New Roman" w:cs="Times New Roman"/>
          <w:sz w:val="24"/>
          <w:szCs w:val="24"/>
        </w:rPr>
        <w:t xml:space="preserve"> </w:t>
      </w:r>
    </w:p>
    <w:p w14:paraId="4B5CD95A"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5632CF4" w14:textId="77777777" w:rsidR="00B838F3" w:rsidRPr="00645F6B" w:rsidRDefault="00B838F3" w:rsidP="00B838F3">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645F6B">
        <w:rPr>
          <w:rFonts w:ascii="Times New Roman" w:eastAsia="Times New Roman" w:hAnsi="Times New Roman" w:cs="Times New Roman"/>
          <w:b/>
          <w:bCs/>
          <w:sz w:val="24"/>
          <w:szCs w:val="24"/>
        </w:rPr>
        <w:t>4.1. CLASSIFICAÇÃO DOS GRUPOS DE PESQUISA POR TEMAS</w:t>
      </w:r>
    </w:p>
    <w:p w14:paraId="3501F57F"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12973">
        <w:rPr>
          <w:rFonts w:ascii="Times New Roman" w:eastAsia="Times New Roman" w:hAnsi="Times New Roman" w:cs="Times New Roman"/>
          <w:sz w:val="24"/>
          <w:szCs w:val="24"/>
        </w:rPr>
        <w:t xml:space="preserve">A lista de grupos de pesquisa </w:t>
      </w:r>
      <w:r>
        <w:rPr>
          <w:rFonts w:ascii="Times New Roman" w:eastAsia="Times New Roman" w:hAnsi="Times New Roman" w:cs="Times New Roman"/>
          <w:sz w:val="24"/>
          <w:szCs w:val="24"/>
        </w:rPr>
        <w:t>encon</w:t>
      </w:r>
      <w:r w:rsidRPr="00E12973">
        <w:rPr>
          <w:rFonts w:ascii="Times New Roman" w:eastAsia="Times New Roman" w:hAnsi="Times New Roman" w:cs="Times New Roman"/>
          <w:sz w:val="24"/>
          <w:szCs w:val="24"/>
        </w:rPr>
        <w:t>t</w:t>
      </w:r>
      <w:r>
        <w:rPr>
          <w:rFonts w:ascii="Times New Roman" w:eastAsia="Times New Roman" w:hAnsi="Times New Roman" w:cs="Times New Roman"/>
          <w:sz w:val="24"/>
          <w:szCs w:val="24"/>
        </w:rPr>
        <w:t>r</w:t>
      </w:r>
      <w:r w:rsidRPr="00E12973">
        <w:rPr>
          <w:rFonts w:ascii="Times New Roman" w:eastAsia="Times New Roman" w:hAnsi="Times New Roman" w:cs="Times New Roman"/>
          <w:sz w:val="24"/>
          <w:szCs w:val="24"/>
        </w:rPr>
        <w:t>ada é extensa e rica em diversidade temática. Com base na nomenclatura e palavras-chave contidas nos nomes dos grupos, prop</w:t>
      </w:r>
      <w:r>
        <w:rPr>
          <w:rFonts w:ascii="Times New Roman" w:eastAsia="Times New Roman" w:hAnsi="Times New Roman" w:cs="Times New Roman"/>
          <w:sz w:val="24"/>
          <w:szCs w:val="24"/>
        </w:rPr>
        <w:t>omos</w:t>
      </w:r>
      <w:r w:rsidRPr="00E12973">
        <w:rPr>
          <w:rFonts w:ascii="Times New Roman" w:eastAsia="Times New Roman" w:hAnsi="Times New Roman" w:cs="Times New Roman"/>
          <w:sz w:val="24"/>
          <w:szCs w:val="24"/>
        </w:rPr>
        <w:t xml:space="preserve"> uma</w:t>
      </w:r>
      <w:r>
        <w:rPr>
          <w:rFonts w:ascii="Times New Roman" w:eastAsia="Times New Roman" w:hAnsi="Times New Roman" w:cs="Times New Roman"/>
          <w:sz w:val="24"/>
          <w:szCs w:val="24"/>
        </w:rPr>
        <w:t xml:space="preserve"> </w:t>
      </w:r>
      <w:r w:rsidRPr="00E12973">
        <w:rPr>
          <w:rFonts w:ascii="Times New Roman" w:eastAsia="Times New Roman" w:hAnsi="Times New Roman" w:cs="Times New Roman"/>
          <w:sz w:val="24"/>
          <w:szCs w:val="24"/>
        </w:rPr>
        <w:t xml:space="preserve">classificação temática por eixos principais, que pode facilitar a análise, discussão e visualização dos dados. A seguir, </w:t>
      </w:r>
      <w:r>
        <w:rPr>
          <w:rFonts w:ascii="Times New Roman" w:eastAsia="Times New Roman" w:hAnsi="Times New Roman" w:cs="Times New Roman"/>
          <w:sz w:val="24"/>
          <w:szCs w:val="24"/>
        </w:rPr>
        <w:t>no Quadro 1 apresenta-se</w:t>
      </w:r>
      <w:r w:rsidRPr="00E12973">
        <w:rPr>
          <w:rFonts w:ascii="Times New Roman" w:eastAsia="Times New Roman" w:hAnsi="Times New Roman" w:cs="Times New Roman"/>
          <w:sz w:val="24"/>
          <w:szCs w:val="24"/>
        </w:rPr>
        <w:t xml:space="preserve"> os grupos em 8 categorias temáticas:</w:t>
      </w:r>
    </w:p>
    <w:p w14:paraId="5CAE9078"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2B1D26F" w14:textId="77777777" w:rsidR="00095A59" w:rsidRDefault="00095A59"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3052E0E" w14:textId="77777777" w:rsidR="00095A59" w:rsidRDefault="00095A5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733E740" w14:textId="1AE29F47" w:rsidR="00B838F3" w:rsidRPr="00645F6B"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645F6B">
        <w:rPr>
          <w:rFonts w:ascii="Times New Roman" w:eastAsia="Times New Roman" w:hAnsi="Times New Roman" w:cs="Times New Roman"/>
          <w:sz w:val="20"/>
          <w:szCs w:val="20"/>
        </w:rPr>
        <w:lastRenderedPageBreak/>
        <w:t>Quadro 1. Classificação dos Grupos de Pesquisa por Temas</w:t>
      </w:r>
    </w:p>
    <w:tbl>
      <w:tblPr>
        <w:tblStyle w:val="Tabelacomgrade"/>
        <w:tblW w:w="0" w:type="auto"/>
        <w:tblLook w:val="04A0" w:firstRow="1" w:lastRow="0" w:firstColumn="1" w:lastColumn="0" w:noHBand="0" w:noVBand="1"/>
      </w:tblPr>
      <w:tblGrid>
        <w:gridCol w:w="4509"/>
        <w:gridCol w:w="4510"/>
      </w:tblGrid>
      <w:tr w:rsidR="00B838F3" w:rsidRPr="00784E62" w14:paraId="743FAA3E" w14:textId="77777777" w:rsidTr="00175FEC">
        <w:tc>
          <w:tcPr>
            <w:tcW w:w="4509" w:type="dxa"/>
            <w:vAlign w:val="center"/>
          </w:tcPr>
          <w:p w14:paraId="748650EA" w14:textId="77777777" w:rsidR="00B838F3" w:rsidRPr="00784E62" w:rsidRDefault="00B838F3" w:rsidP="00175FEC">
            <w:pPr>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1. GC, Tecnologia e Computação</w:t>
            </w:r>
          </w:p>
        </w:tc>
        <w:tc>
          <w:tcPr>
            <w:tcW w:w="4510" w:type="dxa"/>
            <w:vAlign w:val="center"/>
          </w:tcPr>
          <w:p w14:paraId="5FDB1EF6" w14:textId="3128F6D0" w:rsidR="00B838F3" w:rsidRPr="00784E62" w:rsidRDefault="00B838F3" w:rsidP="00175FEC">
            <w:pPr>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2. GC e Inovação Organizacional</w:t>
            </w:r>
          </w:p>
        </w:tc>
      </w:tr>
      <w:tr w:rsidR="00B838F3" w:rsidRPr="00784E62" w14:paraId="1B8A9F66" w14:textId="77777777" w:rsidTr="00175FEC">
        <w:tc>
          <w:tcPr>
            <w:tcW w:w="4509" w:type="dxa"/>
          </w:tcPr>
          <w:p w14:paraId="4972F56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COLLABORARE - INTELIGÊNCIA EM GESTÃO PARA O TELETRABALHO - UFSC</w:t>
            </w:r>
          </w:p>
          <w:p w14:paraId="5A3E1576"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COMOVI – INOVAÇÃO EM CIÊNCIA E TECNOLOGIA - UFSC</w:t>
            </w:r>
          </w:p>
          <w:p w14:paraId="1ACA38EB"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ENGENHARIA DE SOFTWARE E GERÊNCIA DO CONHECIMENTO - UNIFACS </w:t>
            </w:r>
          </w:p>
          <w:p w14:paraId="5AF65C2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ENGENHARIA DE SOFTWARE E GESTÃO DO CONHECIMENTO - UENP</w:t>
            </w:r>
          </w:p>
          <w:p w14:paraId="383AE4CB"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GEPES - GRUPO DE ESTUDOS E PESQUISAS EM ENGENHARIA DE SERVIÇOS - UFF</w:t>
            </w:r>
          </w:p>
          <w:p w14:paraId="46680D4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E DA INOVAÇÃO TECNOLÓGICA - CEFET/RJ</w:t>
            </w:r>
          </w:p>
          <w:p w14:paraId="20D2F660"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E DA INOVAÇÃO TECNOLÓGICA - UNIVILLE</w:t>
            </w:r>
          </w:p>
          <w:p w14:paraId="58428B94"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E TECNOLOGIA DA INFORMAÇÃO - IFSC</w:t>
            </w:r>
          </w:p>
          <w:p w14:paraId="0BF18A48"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GESTÃO DO CONHECIMENTO EM CIÊNCIAS NUCLEARES - IEN </w:t>
            </w:r>
          </w:p>
          <w:p w14:paraId="4C5293A5"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NA ENGENHARIA DE SOFTWARE - UFMS</w:t>
            </w:r>
          </w:p>
          <w:p w14:paraId="16F6F038"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NAS CIÊNCIAS SOCIAIS APLICADAS - UNICENTRO</w:t>
            </w:r>
          </w:p>
          <w:p w14:paraId="1A6A4E91"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ORGANIZACIONAL E AMBIENTAL - UFSC</w:t>
            </w:r>
          </w:p>
          <w:p w14:paraId="7B54C951"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INOVAÇÃO, INTERDISCIPLINARIDADE - KMI2 - PUCRS</w:t>
            </w:r>
          </w:p>
          <w:p w14:paraId="7EBC34EA"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GIAA/LIAA - UFSC</w:t>
            </w:r>
          </w:p>
          <w:p w14:paraId="1546E507"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GPI4 - GRUPO DE PESQUISA EM INDÚSTRIA 4.0 - IFSP</w:t>
            </w:r>
          </w:p>
          <w:p w14:paraId="5BCD064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EM INOVAÇÃO, TECNOLOGIA E ECOINOVAÇÃO (GPITEC) - UFMT</w:t>
            </w:r>
          </w:p>
          <w:p w14:paraId="637779C2"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EM SISTEMAS E COMPUTAÇÃO (GPESC) - IF BAIANO</w:t>
            </w:r>
          </w:p>
          <w:p w14:paraId="7986F3BF"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PESQUISAS EM ANÁLISE COGNITIVA, MODELAGEM COMPUTACIONAL E DIFUSÃO - UESB</w:t>
            </w:r>
          </w:p>
          <w:p w14:paraId="4941D249"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PESQUISAS EM GESTÃO DO CONHECIMENTO - GPGECO - IFSUL</w:t>
            </w:r>
          </w:p>
          <w:p w14:paraId="7D2D0392"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IGTI – NÚCLEO DE ESTUDOS EM INTELIGÊNCIA, GESTÃO E TECNOLOGIAS PARA INOVAÇÃO - UFSC</w:t>
            </w:r>
          </w:p>
          <w:p w14:paraId="42EEFC10"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ÌMÒLAB - LABORATÓRIO DE INOVAÇÃO EM GESTÃO E COMPUTAÇÃO APLICADA - UFBA </w:t>
            </w:r>
          </w:p>
          <w:p w14:paraId="6548CDBF"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INTELIGÊNCIA COMPUTACIONAL E GEOINFORMÁTICA - UFSJ</w:t>
            </w:r>
          </w:p>
          <w:p w14:paraId="350A13B8"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LABORATÓRIO DE ANÁLISE DE DADOS - UERJ</w:t>
            </w:r>
          </w:p>
          <w:p w14:paraId="5EA352EF"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LAGTV - LABORATÓRIO DE PESQUISA E INOVAÇÃO EM GESTÃO DO CONHECIMENTO E TECNOLOGIA DA INFORMAÇÃO - USP</w:t>
            </w:r>
          </w:p>
          <w:p w14:paraId="3AB1738A"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MODELAGEM DA GERAÇÃO E DIFUSÃO DO CONHECIMENTO - UFBA </w:t>
            </w:r>
          </w:p>
          <w:p w14:paraId="44AA515F"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MOPSID - NÚCLEO DE MODELAGEM DE PROCESSOS E SIMULAÇÃO DINÂMICA - UNIMEP</w:t>
            </w:r>
          </w:p>
          <w:p w14:paraId="550073FD"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NEG - NÚCLEO DE ESTUDOS EM GESTÃO ORGANIZACIONAL E TECNOLOGIAS GERENCIAIS - UFMG </w:t>
            </w:r>
          </w:p>
          <w:p w14:paraId="0D6E9FE2"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NPRO NÚCLEO DE PROJETO E PROTOTIPAGEM EM SISTEMAS DE PRODUÇÃO - UFSCAR</w:t>
            </w:r>
          </w:p>
          <w:p w14:paraId="67F854F3"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NÚCLEO DE DESENVOLVIMENTO E OTIMIZAÇÃO DE PROCESSOS E SISTEMAS PRODUTIVOS - UNIMEP</w:t>
            </w:r>
          </w:p>
          <w:p w14:paraId="3CDFE2CB"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NÚCLEO DE ESTUDOS AVANÇADOS EM INFORMÁTICA E GESTÃO DO CONHECIMENTO (NEA-IGC) - UNINOVE</w:t>
            </w:r>
          </w:p>
          <w:p w14:paraId="740C4A87"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NUMDI: NÚCLEO MULTIDISCIPLINAR DE INOVAÇÃO TECNOLÓGICA - IFAL</w:t>
            </w:r>
          </w:p>
          <w:p w14:paraId="16941382"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REDE DE COOPERAÇÃO E GESTÃO DO CONHECIMENTO REDECOOP - USP</w:t>
            </w:r>
          </w:p>
          <w:p w14:paraId="49BD1C72"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REDE GPA-GPOS - UFRPE</w:t>
            </w:r>
          </w:p>
          <w:p w14:paraId="76F9206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SICON - SISTEMAS DE CONHECIMENTO E INOVAÇÃO - UFSC</w:t>
            </w:r>
          </w:p>
          <w:p w14:paraId="4E5DB55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SISTEMAS PRODUTIVOS SUSTENTÁVEIS - UTFPR</w:t>
            </w:r>
          </w:p>
          <w:p w14:paraId="7C037A70"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TECNOLOGIA E ORGANIZAÇÃO DA INFORMAÇÃO E DO CONHECIMENTO - UFES</w:t>
            </w:r>
          </w:p>
          <w:p w14:paraId="2C7D09B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TECNOLOGIAS E METODOLOGIAS PARA A GESTÃO DA INFORMAÇÃO E DO CONHECIMENTO - UFPR</w:t>
            </w:r>
          </w:p>
          <w:p w14:paraId="53EB2C44"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lastRenderedPageBreak/>
              <w:t>TRANSFERÊNCIA DE TECNOLOGIA E GESTÃO DO CONHECIMENTO - UTFPR</w:t>
            </w:r>
          </w:p>
          <w:p w14:paraId="000E04AC" w14:textId="77777777" w:rsidR="00B838F3" w:rsidRPr="00784E62" w:rsidRDefault="00B838F3" w:rsidP="00175FEC">
            <w:pPr>
              <w:pStyle w:val="PargrafodaLista"/>
              <w:numPr>
                <w:ilvl w:val="0"/>
                <w:numId w:val="11"/>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TURISMO, TECNOLOGIA, INFORMAÇÃO, COMUNICAÇÃO E CONHECIMENTO - TURITEC - UFPR</w:t>
            </w:r>
          </w:p>
        </w:tc>
        <w:tc>
          <w:tcPr>
            <w:tcW w:w="4510" w:type="dxa"/>
          </w:tcPr>
          <w:p w14:paraId="34D5F767"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lastRenderedPageBreak/>
              <w:t>CISPROGET - IESB</w:t>
            </w:r>
          </w:p>
          <w:p w14:paraId="0F80F7C0"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CONHECIMENTO E INOVAÇÃO - UNICESUMAR</w:t>
            </w:r>
          </w:p>
          <w:p w14:paraId="61AD2CE2"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GECIN - GRUPO DE ESTUDOS EM EMPREENDEDORISMO, COMPORTAMENTO, INOVAÇÃO E NEGÓCIOS - UFRRJ</w:t>
            </w:r>
          </w:p>
          <w:p w14:paraId="4B9FB36A"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DA INTELIGÊNCIA, EMPREENDEDORISMO E INFORMAÇÃO - UEPB</w:t>
            </w:r>
          </w:p>
          <w:p w14:paraId="48B2D721"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DE PESSOAS E GESTÃO DO CONHECIMENTO NAS ORGANIZAÇÕES - USP</w:t>
            </w:r>
          </w:p>
          <w:p w14:paraId="0FF3DCDD"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PARA AMBIENTES DE INOVAÇÃO EM SATÉLITES - FEI</w:t>
            </w:r>
          </w:p>
          <w:p w14:paraId="196CD5E4"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ESTRATÉGICA DE NEGÓCIOS: GESTÃO COM PESSOAS - UNP</w:t>
            </w:r>
          </w:p>
          <w:p w14:paraId="7F5649DD"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ESTUDOS E PESQUISAS EM GESTÃO DE OPERAÇÕES - UFMS</w:t>
            </w:r>
          </w:p>
          <w:p w14:paraId="2C5CB2C6"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GRUPO DE ESTUDOS GESTÃO DA INOVAÇÃO, INTELIGÊNCIA COMPETITIVA EMPREENDEDORISMO - FUMEC </w:t>
            </w:r>
          </w:p>
          <w:p w14:paraId="7B4329C5"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ESTUDOS, EXTENSÃO E PESQUISAS EM ADMINISTRAÇÃO E REDES DE COOPERAÇÃO - GEPARC - IFPE</w:t>
            </w:r>
          </w:p>
          <w:p w14:paraId="5AA67495"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EM GESTÃO DO CONHECIMENTO E DA INOVAÇÃO - UFAL</w:t>
            </w:r>
          </w:p>
          <w:p w14:paraId="3ED36872"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EM GESTÃO DO CONHECIMENTO E INOVAÇÃO - UFSM</w:t>
            </w:r>
          </w:p>
          <w:p w14:paraId="4F5AC1F8"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IEGA - GRUPO DE PESQUISA EM INOVAÇÃO, ENGENHARIA E GESTÃO DO CONHECIMENTO, E ACESSIBILIDADE - UFRA</w:t>
            </w:r>
          </w:p>
          <w:p w14:paraId="67D017CA"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INOS - ESTUDOS SOBRE SISTEMAS DE INOVAÇÃO E INOVAÇÃO SOCIAL - UFC</w:t>
            </w:r>
          </w:p>
          <w:p w14:paraId="352D9246"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INOVAÇÃO E COMPETITIVIDADE - UFAL</w:t>
            </w:r>
          </w:p>
          <w:p w14:paraId="305164DE"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KM-INOVA: GESTÃO DO CONHECIMENTO E INOVAÇÃO - UCB </w:t>
            </w:r>
          </w:p>
          <w:p w14:paraId="3D975F88"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KM-INOVA: GESTÃO DO CONHECIMENTO E INOVAÇÃO - UEMG</w:t>
            </w:r>
          </w:p>
          <w:p w14:paraId="7338B7CC"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NEECI - NÚCLEO DE ESTUDOS EM ESTRATÉGIA, CONHECIMENTO E INOVAÇÃO - UFPEL</w:t>
            </w:r>
          </w:p>
          <w:p w14:paraId="61F013AE"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NÚCLEO DE ESTUDOS CONJUNTURAIS EM ADMINISTRAÇÃO-NEC - UFBA </w:t>
            </w:r>
          </w:p>
          <w:p w14:paraId="522FDCBE"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NÚCLEO DE PESQUISA EM EFICIÊNCIA PRODUTIVA E INOVAÇÃO (NUPEPI) - UFPI</w:t>
            </w:r>
          </w:p>
          <w:p w14:paraId="11343965" w14:textId="77777777" w:rsidR="00B838F3" w:rsidRPr="00784E62" w:rsidRDefault="00B838F3" w:rsidP="00175FEC">
            <w:pPr>
              <w:pStyle w:val="PargrafodaLista"/>
              <w:numPr>
                <w:ilvl w:val="0"/>
                <w:numId w:val="8"/>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NÚCLEO INTERDISCIPLINAR DE PESQUISAS EM ADMINISTRAÇÃO E INOVAÇÃO - NIPAI - UFPI</w:t>
            </w:r>
          </w:p>
        </w:tc>
      </w:tr>
      <w:tr w:rsidR="00B838F3" w:rsidRPr="00784E62" w14:paraId="4F892230" w14:textId="77777777" w:rsidTr="00175FEC">
        <w:tc>
          <w:tcPr>
            <w:tcW w:w="4509" w:type="dxa"/>
          </w:tcPr>
          <w:p w14:paraId="3011DF60" w14:textId="77777777" w:rsidR="00B838F3" w:rsidRPr="00784E62" w:rsidRDefault="00B838F3" w:rsidP="00175FEC">
            <w:pPr>
              <w:jc w:val="both"/>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3. Informação, Memória e Representação do Conhecimento</w:t>
            </w:r>
          </w:p>
        </w:tc>
        <w:tc>
          <w:tcPr>
            <w:tcW w:w="4510" w:type="dxa"/>
          </w:tcPr>
          <w:p w14:paraId="38B33F1E" w14:textId="77777777" w:rsidR="00B838F3" w:rsidRPr="00784E62" w:rsidRDefault="00B838F3" w:rsidP="00175FEC">
            <w:pPr>
              <w:jc w:val="both"/>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4. GC e Sustentabilidade / Políticas Públicas</w:t>
            </w:r>
          </w:p>
        </w:tc>
      </w:tr>
      <w:tr w:rsidR="00B838F3" w:rsidRPr="00784E62" w14:paraId="7321BF62" w14:textId="77777777" w:rsidTr="00175FEC">
        <w:tc>
          <w:tcPr>
            <w:tcW w:w="4509" w:type="dxa"/>
          </w:tcPr>
          <w:p w14:paraId="5AF15F6E"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BRIET: BIBLIOTECONOMIA, REPRESENTAÇÃO, INTEROPERABILIDADE, E-SCIENCE E TECNOLOGIA - IBICT</w:t>
            </w:r>
          </w:p>
          <w:p w14:paraId="78E6F08D"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ESTUDOS COGNITIVOS EM CIÊNCIA DA INFORMAÇÃO - UFMG </w:t>
            </w:r>
          </w:p>
          <w:p w14:paraId="4EA73926"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ESTUDOS CRÍTICOS EM BIBLIOTECONOMIA E CIÊNCIA DA INFORMAÇÃO - UFRN</w:t>
            </w:r>
          </w:p>
          <w:p w14:paraId="00483E40"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E FLUXOS INFORMACIONAIS- GCINFO - UFPA</w:t>
            </w:r>
          </w:p>
          <w:p w14:paraId="6E88CFC0"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E MEMÓRIA ORGANIZACIONAL - UFF</w:t>
            </w:r>
          </w:p>
          <w:p w14:paraId="1196E2EE"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INFORMAÇÃO E MEMÓRIA - UEL</w:t>
            </w:r>
          </w:p>
          <w:p w14:paraId="648C6ECB"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GPERTIC - GRUPO DE PESQUISAS E ESTUDOS EM REPRESENTAÇÃO DO CONHECIMENTO E TECNOLOGIAS DA INFORMAÇÃO E COMUNICAÇÃO - UFSCAR</w:t>
            </w:r>
          </w:p>
          <w:p w14:paraId="7A8353A2"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ENGENHARIA DA INFORMAÇÃO E CONHECIMENTO - UNICAMP</w:t>
            </w:r>
          </w:p>
          <w:p w14:paraId="1B2C71A7"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INFORMAÇÃO E CONHECIMENTO ORGANIZACIONAL - UNIMAR</w:t>
            </w:r>
          </w:p>
          <w:p w14:paraId="1310DAA1"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ORGANIZAÇÃO E REPRESENTAÇÃO DO CONHECIMENTO ABORDAGENS LINGUÍSTICAS EM ARQUIVOS E BIBLIOTECAS - UFRGS</w:t>
            </w:r>
          </w:p>
          <w:p w14:paraId="08A0067E"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SISTEMAS DE INFORMAÇÃO E GESTÃO DO CONHECIMENTO. - FUMEC </w:t>
            </w:r>
          </w:p>
          <w:p w14:paraId="7E25C57E" w14:textId="77777777" w:rsidR="00B838F3" w:rsidRPr="00784E62" w:rsidRDefault="00B838F3" w:rsidP="00175FEC">
            <w:pPr>
              <w:pStyle w:val="PargrafodaLista"/>
              <w:numPr>
                <w:ilvl w:val="0"/>
                <w:numId w:val="9"/>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SISTEMAS DE INFORMAÇÃO E ORGANIZAÇÕES - UTFPR</w:t>
            </w:r>
          </w:p>
        </w:tc>
        <w:tc>
          <w:tcPr>
            <w:tcW w:w="4510" w:type="dxa"/>
          </w:tcPr>
          <w:p w14:paraId="0A167C0C"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CÁTEDRA PARA FORTALECIMENTO DA GESTÃO PÚBLICA: INICIATIVAS INTERDISCIPLINARES PARA A SUSTENTABILIDADE E DESENVOLVIMENTO GOVERNAMENTAL - UNICENTRO</w:t>
            </w:r>
          </w:p>
          <w:p w14:paraId="1BA182D9"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CONHECIMENTO E SUSTENTABILIDADE ORGANIZACIONAL - CSO - UTFPR</w:t>
            </w:r>
          </w:p>
          <w:p w14:paraId="1E2571EF"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CUBA E BRASIL NO SÉCULO XXI - CBS21 - UFRGS</w:t>
            </w:r>
          </w:p>
          <w:p w14:paraId="1D90B305"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E SUSTENTABILIDADE - UEPB</w:t>
            </w:r>
          </w:p>
          <w:p w14:paraId="53308E72"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GOVERNO ELETRÔNICO, INCLUSÃO DIGITAL E SOCIEDADE DO CONHECIMENTO - UFSC</w:t>
            </w:r>
          </w:p>
          <w:p w14:paraId="08D59E22"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DE GESTÃO DO CONHECIMENTO E SUSTENTABILIDADE - UNIMAR</w:t>
            </w:r>
          </w:p>
          <w:p w14:paraId="0620355A"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EM SUSTENTABILIDADE INSTITUCIONAL - UNAMA</w:t>
            </w:r>
          </w:p>
          <w:p w14:paraId="1CAB7D9D"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INFORMAÇÃO, GOVERNANÇA E CIDADANIA - UNIR</w:t>
            </w:r>
          </w:p>
          <w:p w14:paraId="79FEA12F"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INFORMAÇÃO, SOCIEDADE E CIDADANIA - UFPA</w:t>
            </w:r>
          </w:p>
          <w:p w14:paraId="387A8E46"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INOVAÇÃO E SUSTENTABILIDADE (GIS) - PUC/PR </w:t>
            </w:r>
          </w:p>
          <w:p w14:paraId="50B0D331"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OBSERVATÓRIO PARANAENSE DE TECNOLOGIAS DE INFORMAÇÃO E COMUNICAÇÃO E SOCIEDADE - OPTICS - UTFPR</w:t>
            </w:r>
          </w:p>
          <w:p w14:paraId="2AA2EEBF"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PROGRAMA DE GESTÃO E ADMINISTRAÇÃO DE POLÍTICAS PÚBLICAS - UNESP</w:t>
            </w:r>
          </w:p>
          <w:p w14:paraId="47ADD719" w14:textId="77777777" w:rsidR="00B838F3" w:rsidRPr="00784E62" w:rsidRDefault="00B838F3" w:rsidP="00175FEC">
            <w:pPr>
              <w:pStyle w:val="PargrafodaLista"/>
              <w:numPr>
                <w:ilvl w:val="0"/>
                <w:numId w:val="12"/>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RESTAURAÇÃO ECOLÓGICA DE ÁREAS DEGRADADAS - CIB</w:t>
            </w:r>
          </w:p>
        </w:tc>
      </w:tr>
      <w:tr w:rsidR="00B838F3" w:rsidRPr="00784E62" w14:paraId="3E88EE2E" w14:textId="77777777" w:rsidTr="00175FEC">
        <w:tc>
          <w:tcPr>
            <w:tcW w:w="4509" w:type="dxa"/>
          </w:tcPr>
          <w:p w14:paraId="70B8029E" w14:textId="77777777" w:rsidR="00B838F3" w:rsidRPr="00784E62" w:rsidRDefault="00B838F3" w:rsidP="00175FEC">
            <w:pPr>
              <w:jc w:val="both"/>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5. GC em Educação, Aprendizagem e Ambientes Educacionais</w:t>
            </w:r>
          </w:p>
        </w:tc>
        <w:tc>
          <w:tcPr>
            <w:tcW w:w="4510" w:type="dxa"/>
          </w:tcPr>
          <w:p w14:paraId="5E495684" w14:textId="77777777" w:rsidR="00B838F3" w:rsidRPr="00784E62" w:rsidRDefault="00B838F3" w:rsidP="00175FEC">
            <w:pPr>
              <w:jc w:val="both"/>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6. Teoria e Epistemologia da GC</w:t>
            </w:r>
          </w:p>
        </w:tc>
      </w:tr>
      <w:tr w:rsidR="00B838F3" w:rsidRPr="00784E62" w14:paraId="40F9B50C" w14:textId="77777777" w:rsidTr="00175FEC">
        <w:tc>
          <w:tcPr>
            <w:tcW w:w="4509" w:type="dxa"/>
          </w:tcPr>
          <w:p w14:paraId="26262797"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 xml:space="preserve">A GESTÃO DA INFORMAÇÃO E DO CONHECIMENTO EM AMBIENTES EDUCACIONAIS (GICAE) - UFMG </w:t>
            </w:r>
          </w:p>
          <w:p w14:paraId="20C98D45"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DA EDUCAÇÃO PROFISSIONAL E TECNOLÓGICA - IFC</w:t>
            </w:r>
          </w:p>
          <w:p w14:paraId="6F3D597E"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DA INFORMAÇÃO E DO CONHECIMENTO EM AMBIENTES EDUCACIONAIS (GICAE) - UFC</w:t>
            </w:r>
          </w:p>
          <w:p w14:paraId="1F9F3747"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EDUCACIONAL E CONHECIMENTO - UNICESUMAR</w:t>
            </w:r>
          </w:p>
          <w:p w14:paraId="3A18660D"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ESTUDOS E PESQUISA PRAXIS - UFOPA</w:t>
            </w:r>
          </w:p>
          <w:p w14:paraId="550FD098"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LEARNINGLAB - LABORATÓRIO DE ENSINO, PESQUISA, EXTENSÃO E DESENVOLVIMENTO DE TECNOLOGIAS ALINHADAS À GESTÃO DO CONHECIMENTO E INOVAÇÃO EM PROCESSOS DE SOFTWARE - UFC</w:t>
            </w:r>
          </w:p>
          <w:p w14:paraId="5AC2492F"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NÚCLEO DE ESTUDOS EM GESTÃO DO CONHECIMENTO, APRENDIZAGEM E INOVAÇÃO - NEGESCOPI - FPL</w:t>
            </w:r>
          </w:p>
          <w:p w14:paraId="6A7E747A"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POLÍTICAS PÚBLICAS, GESTÃO DO CONHECIMENTO E TECNOLOGIAS DIGITAIS DE COMUNICAÇÃO NA EDUCAÇÃO SUPERIOR. - UFPB</w:t>
            </w:r>
          </w:p>
          <w:p w14:paraId="10475573"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SISTEMAS COMPUTACIONAIS DE APOIO À EDUCAÇÃO - UNISC</w:t>
            </w:r>
          </w:p>
          <w:p w14:paraId="1BA5CA30" w14:textId="77777777" w:rsidR="00B838F3" w:rsidRPr="00784E62" w:rsidRDefault="00B838F3" w:rsidP="00175FEC">
            <w:pPr>
              <w:pStyle w:val="PargrafodaLista"/>
              <w:numPr>
                <w:ilvl w:val="0"/>
                <w:numId w:val="10"/>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UEA-STEAM - GRUPO DE PESQUISA EM SISTEMAS DE APRENDIZADO CIENTÍFICO BASEADO EM CIÊNCIA - UEA</w:t>
            </w:r>
          </w:p>
        </w:tc>
        <w:tc>
          <w:tcPr>
            <w:tcW w:w="4510" w:type="dxa"/>
          </w:tcPr>
          <w:p w14:paraId="424A49C3"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ARQUITETURA &amp; ORGANIZAÇÃO DO CONHECIMENTO - UFMG</w:t>
            </w:r>
          </w:p>
          <w:p w14:paraId="36FC8BC4"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CIÊNCIA, TECNOLOGIA E SOCIABILIDADE - UNICESUMAR</w:t>
            </w:r>
          </w:p>
          <w:p w14:paraId="118AB473"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COMUNICAÇÃO, ORGANIZAÇÃO E GESTÃO DA INFORMAÇÃO E DO CONHECIMENTO - IBICT</w:t>
            </w:r>
          </w:p>
          <w:p w14:paraId="113955E1"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DIREITOS HUMANOS SOB A PERSPECTIVA DISCURSIVA - UFF</w:t>
            </w:r>
          </w:p>
          <w:p w14:paraId="5FA051C2"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EPISTEMOLOGIA, CIÊNCIA DA INFORMAÇÃO E ORGANIZAÇÃO DO CONHECIMENTO - USP</w:t>
            </w:r>
          </w:p>
          <w:p w14:paraId="246D6216"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GPMC – GRUPO DE PESQUISA MÍDIA E CONHECIMENTO - UFSC</w:t>
            </w:r>
          </w:p>
          <w:p w14:paraId="13589AF8"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GPPSIC – PSICOLOGIA, SUBJETIVIDADE, INOVAÇÃO E CONHECIMENTO - UFSC</w:t>
            </w:r>
          </w:p>
          <w:p w14:paraId="493DDFAE"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KLOM – CONHECIMENTO, APRENDIZAGEM E MEMÓRIA ORGANIZACIONAL - UFSC</w:t>
            </w:r>
          </w:p>
          <w:p w14:paraId="65BAE9E7"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NEDEC² – NÚCLEO DE ESTUDOS E DESENVOLVIMENTO EM CONHECIMENTO E CONSCIÊNCIA - UFSC</w:t>
            </w:r>
          </w:p>
          <w:p w14:paraId="4EAC3F00" w14:textId="77777777" w:rsidR="00B838F3" w:rsidRPr="00784E62" w:rsidRDefault="00B838F3" w:rsidP="00175FEC">
            <w:pPr>
              <w:pStyle w:val="PargrafodaLista"/>
              <w:numPr>
                <w:ilvl w:val="0"/>
                <w:numId w:val="15"/>
              </w:numPr>
              <w:ind w:left="34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NÍVEL DE MATURIDADE EM GESTÃO DO CONHECIMENTO - FUMEC</w:t>
            </w:r>
          </w:p>
        </w:tc>
      </w:tr>
      <w:tr w:rsidR="00B838F3" w:rsidRPr="00784E62" w14:paraId="18CA4EB7" w14:textId="77777777" w:rsidTr="00175FEC">
        <w:tc>
          <w:tcPr>
            <w:tcW w:w="4509" w:type="dxa"/>
          </w:tcPr>
          <w:p w14:paraId="46A3633A" w14:textId="77777777" w:rsidR="00B838F3" w:rsidRPr="00784E62" w:rsidRDefault="00B838F3" w:rsidP="00175FEC">
            <w:pPr>
              <w:jc w:val="both"/>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7. GC em Saúde e Ciências da Vida</w:t>
            </w:r>
          </w:p>
        </w:tc>
        <w:tc>
          <w:tcPr>
            <w:tcW w:w="4510" w:type="dxa"/>
          </w:tcPr>
          <w:p w14:paraId="0522880F" w14:textId="77777777" w:rsidR="00B838F3" w:rsidRPr="00784E62" w:rsidRDefault="00B838F3" w:rsidP="00175FEC">
            <w:pPr>
              <w:jc w:val="both"/>
              <w:rPr>
                <w:rFonts w:ascii="Times New Roman" w:eastAsia="Times New Roman" w:hAnsi="Times New Roman" w:cs="Times New Roman"/>
                <w:sz w:val="20"/>
                <w:szCs w:val="20"/>
              </w:rPr>
            </w:pPr>
            <w:r w:rsidRPr="00784E62">
              <w:rPr>
                <w:rFonts w:ascii="Times New Roman" w:eastAsia="Times New Roman" w:hAnsi="Times New Roman" w:cs="Times New Roman"/>
                <w:b/>
                <w:bCs/>
                <w:sz w:val="20"/>
                <w:szCs w:val="20"/>
              </w:rPr>
              <w:t>8. GC em Segurança, Defesa e Justiça</w:t>
            </w:r>
          </w:p>
        </w:tc>
      </w:tr>
      <w:tr w:rsidR="00B838F3" w:rsidRPr="00784E62" w14:paraId="090F8112" w14:textId="77777777" w:rsidTr="00175FEC">
        <w:tc>
          <w:tcPr>
            <w:tcW w:w="4509" w:type="dxa"/>
          </w:tcPr>
          <w:p w14:paraId="243A7CDA" w14:textId="77777777" w:rsidR="00B838F3" w:rsidRPr="00784E62" w:rsidRDefault="00B838F3" w:rsidP="00175FEC">
            <w:pPr>
              <w:pStyle w:val="PargrafodaLista"/>
              <w:numPr>
                <w:ilvl w:val="0"/>
                <w:numId w:val="13"/>
              </w:numPr>
              <w:ind w:left="200" w:hanging="142"/>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GESTÃO DO CONHECIMENTO E PROSPECÇÃO EM SAÚDE - FIOCRUZ</w:t>
            </w:r>
          </w:p>
          <w:p w14:paraId="72D47DC6" w14:textId="77777777" w:rsidR="00B838F3" w:rsidRPr="00784E62" w:rsidRDefault="00B838F3" w:rsidP="00175FEC">
            <w:pPr>
              <w:pStyle w:val="PargrafodaLista"/>
              <w:numPr>
                <w:ilvl w:val="0"/>
                <w:numId w:val="13"/>
              </w:numPr>
              <w:ind w:left="200" w:hanging="142"/>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EM GESTÃO DO CONHECIMENTO EM SAÚDE - GPCONEXUS - UFRJ</w:t>
            </w:r>
          </w:p>
          <w:p w14:paraId="5CEA192D" w14:textId="77777777" w:rsidR="00B838F3" w:rsidRPr="00784E62" w:rsidRDefault="00B838F3" w:rsidP="00175FEC">
            <w:pPr>
              <w:pStyle w:val="PargrafodaLista"/>
              <w:numPr>
                <w:ilvl w:val="0"/>
                <w:numId w:val="13"/>
              </w:numPr>
              <w:ind w:left="200" w:hanging="142"/>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PESQUISAS EM CIÊNCIAS FARMACÊUTICAS E QUÍMICA ANALÍTICA (NUPFARQ) - UFMA</w:t>
            </w:r>
          </w:p>
          <w:p w14:paraId="1BD4C41E" w14:textId="77777777" w:rsidR="00B838F3" w:rsidRPr="00784E62" w:rsidRDefault="00B838F3" w:rsidP="00175FEC">
            <w:pPr>
              <w:pStyle w:val="PargrafodaLista"/>
              <w:numPr>
                <w:ilvl w:val="0"/>
                <w:numId w:val="13"/>
              </w:numPr>
              <w:ind w:left="200" w:hanging="142"/>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NÚCLEO DE ESTUDOS AVANÇADOS EM TECNOLOGIAS PARA A SAÚDE - UNISINOS</w:t>
            </w:r>
          </w:p>
          <w:p w14:paraId="4C747489" w14:textId="77777777" w:rsidR="00B838F3" w:rsidRPr="00784E62" w:rsidRDefault="00B838F3" w:rsidP="00175FEC">
            <w:pPr>
              <w:pStyle w:val="PargrafodaLista"/>
              <w:numPr>
                <w:ilvl w:val="0"/>
                <w:numId w:val="13"/>
              </w:numPr>
              <w:ind w:left="200" w:hanging="142"/>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NÚCLEO OBSERVATÓRIO DE CUSTOS E ECONOMIA DA SAÚDE - NOCES - UFMG</w:t>
            </w:r>
          </w:p>
        </w:tc>
        <w:tc>
          <w:tcPr>
            <w:tcW w:w="4510" w:type="dxa"/>
          </w:tcPr>
          <w:p w14:paraId="2AA78A1B" w14:textId="77777777" w:rsidR="00B838F3" w:rsidRPr="00784E62" w:rsidRDefault="00B838F3" w:rsidP="00175FEC">
            <w:pPr>
              <w:pStyle w:val="PargrafodaLista"/>
              <w:numPr>
                <w:ilvl w:val="0"/>
                <w:numId w:val="14"/>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COMUNIDADE INTERNACIONAL DE ESTUDOS EM DIREITO DIGITAL - UFU</w:t>
            </w:r>
          </w:p>
          <w:p w14:paraId="7869FB95" w14:textId="77777777" w:rsidR="00B838F3" w:rsidRPr="00784E62" w:rsidRDefault="00B838F3" w:rsidP="00175FEC">
            <w:pPr>
              <w:pStyle w:val="PargrafodaLista"/>
              <w:numPr>
                <w:ilvl w:val="0"/>
                <w:numId w:val="14"/>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GP2 GRUPO DE PESQUISA EM GESTÃO DE PROJETOS - UFPE</w:t>
            </w:r>
          </w:p>
          <w:p w14:paraId="14E571CD" w14:textId="77777777" w:rsidR="00B838F3" w:rsidRPr="00784E62" w:rsidRDefault="00B838F3" w:rsidP="00175FEC">
            <w:pPr>
              <w:pStyle w:val="PargrafodaLista"/>
              <w:numPr>
                <w:ilvl w:val="0"/>
                <w:numId w:val="14"/>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 EXTENSÃO INTERDISCIPLINAR E MULTIDISCIPLINAR EM PERÍCIA E AUDITORIA CONTÁBIL - UFMA</w:t>
            </w:r>
          </w:p>
          <w:p w14:paraId="414B83E3" w14:textId="77777777" w:rsidR="00B838F3" w:rsidRPr="00784E62" w:rsidRDefault="00B838F3" w:rsidP="00175FEC">
            <w:pPr>
              <w:pStyle w:val="PargrafodaLista"/>
              <w:numPr>
                <w:ilvl w:val="0"/>
                <w:numId w:val="14"/>
              </w:numPr>
              <w:ind w:left="312" w:hanging="284"/>
              <w:jc w:val="both"/>
              <w:rPr>
                <w:rFonts w:ascii="Times New Roman" w:eastAsia="Times New Roman" w:hAnsi="Times New Roman" w:cs="Times New Roman"/>
                <w:sz w:val="16"/>
                <w:szCs w:val="16"/>
              </w:rPr>
            </w:pPr>
            <w:r w:rsidRPr="00784E62">
              <w:rPr>
                <w:rFonts w:ascii="Times New Roman" w:eastAsia="Times New Roman" w:hAnsi="Times New Roman" w:cs="Times New Roman"/>
                <w:sz w:val="16"/>
                <w:szCs w:val="16"/>
              </w:rPr>
              <w:t>GRUPO DE PESQUISA EM GESTÃO DO CONHECIMENTO NA POLÍCIA FEDERAL - DPF</w:t>
            </w:r>
          </w:p>
        </w:tc>
      </w:tr>
    </w:tbl>
    <w:p w14:paraId="2B0318EB" w14:textId="77777777" w:rsidR="00784E62" w:rsidRDefault="00784E62"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51AB2A1" w14:textId="3C65DE04"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B42C3">
        <w:rPr>
          <w:rFonts w:ascii="Times New Roman" w:eastAsia="Times New Roman" w:hAnsi="Times New Roman" w:cs="Times New Roman"/>
          <w:sz w:val="24"/>
          <w:szCs w:val="24"/>
        </w:rPr>
        <w:lastRenderedPageBreak/>
        <w:t>A partir da análise do foco predominante das linhas de pesquisa dos grupos mapeados, foram identificados oito agrupamentos temáticos que possibilitam uma leitura sistematizada da diversidade de abordagens no campo da Gestão do Conhecimento (GC) no Brasil</w:t>
      </w:r>
      <w:r>
        <w:rPr>
          <w:rFonts w:ascii="Times New Roman" w:eastAsia="Times New Roman" w:hAnsi="Times New Roman" w:cs="Times New Roman"/>
          <w:sz w:val="24"/>
          <w:szCs w:val="24"/>
        </w:rPr>
        <w:t>, conforme mostra a Figura 2</w:t>
      </w:r>
      <w:r w:rsidRPr="00EB42C3">
        <w:rPr>
          <w:rFonts w:ascii="Times New Roman" w:eastAsia="Times New Roman" w:hAnsi="Times New Roman" w:cs="Times New Roman"/>
          <w:sz w:val="24"/>
          <w:szCs w:val="24"/>
        </w:rPr>
        <w:t xml:space="preserve">. O primeiro agrupamento, denominado GC, Tecnologia e Computação, </w:t>
      </w:r>
      <w:r>
        <w:rPr>
          <w:rFonts w:ascii="Times New Roman" w:eastAsia="Times New Roman" w:hAnsi="Times New Roman" w:cs="Times New Roman"/>
          <w:sz w:val="24"/>
          <w:szCs w:val="24"/>
        </w:rPr>
        <w:t xml:space="preserve">com 39 grupos, </w:t>
      </w:r>
      <w:r w:rsidRPr="00EB42C3">
        <w:rPr>
          <w:rFonts w:ascii="Times New Roman" w:eastAsia="Times New Roman" w:hAnsi="Times New Roman" w:cs="Times New Roman"/>
          <w:sz w:val="24"/>
          <w:szCs w:val="24"/>
        </w:rPr>
        <w:t>reúne iniciativas que investigam a aplicação de sistemas, automação, inteligência artificial e outras ferramentas tecnológicas no apoio aos processos de gestão do conhecimento, refletindo a crescente convergência entre GC e as inovações digitais</w:t>
      </w:r>
    </w:p>
    <w:p w14:paraId="2C43A29B"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B7E9C9" wp14:editId="0890C3ED">
            <wp:extent cx="5400000" cy="3368254"/>
            <wp:effectExtent l="0" t="0" r="0" b="3810"/>
            <wp:docPr id="16389470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368254"/>
                    </a:xfrm>
                    <a:prstGeom prst="rect">
                      <a:avLst/>
                    </a:prstGeom>
                    <a:noFill/>
                  </pic:spPr>
                </pic:pic>
              </a:graphicData>
            </a:graphic>
          </wp:inline>
        </w:drawing>
      </w:r>
    </w:p>
    <w:p w14:paraId="39C1DF2A" w14:textId="77777777" w:rsidR="00B838F3" w:rsidRPr="009577F5" w:rsidRDefault="00B838F3" w:rsidP="00B838F3">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9577F5">
        <w:rPr>
          <w:rFonts w:ascii="Times New Roman" w:eastAsia="Times New Roman" w:hAnsi="Times New Roman" w:cs="Times New Roman"/>
          <w:sz w:val="20"/>
          <w:szCs w:val="20"/>
        </w:rPr>
        <w:t xml:space="preserve">Figura </w:t>
      </w:r>
      <w:r>
        <w:rPr>
          <w:rFonts w:ascii="Times New Roman" w:eastAsia="Times New Roman" w:hAnsi="Times New Roman" w:cs="Times New Roman"/>
          <w:sz w:val="20"/>
          <w:szCs w:val="20"/>
        </w:rPr>
        <w:t>2</w:t>
      </w:r>
      <w:r w:rsidRPr="009577F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9577F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Número de</w:t>
      </w:r>
      <w:r w:rsidRPr="009577F5">
        <w:rPr>
          <w:rFonts w:ascii="Times New Roman" w:eastAsia="Times New Roman" w:hAnsi="Times New Roman" w:cs="Times New Roman"/>
          <w:sz w:val="20"/>
          <w:szCs w:val="20"/>
        </w:rPr>
        <w:t xml:space="preserve"> Grupos de Pesquisa por Temas</w:t>
      </w:r>
    </w:p>
    <w:p w14:paraId="5D9B1357" w14:textId="77777777" w:rsidR="00B838F3" w:rsidRPr="00EB42C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141DC94"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B42C3">
        <w:rPr>
          <w:rFonts w:ascii="Times New Roman" w:eastAsia="Times New Roman" w:hAnsi="Times New Roman" w:cs="Times New Roman"/>
          <w:sz w:val="24"/>
          <w:szCs w:val="24"/>
        </w:rPr>
        <w:t xml:space="preserve">O segundo agrupamento, Gestão do Conhecimento e Inovação Organizacional, contempla </w:t>
      </w:r>
      <w:r>
        <w:rPr>
          <w:rFonts w:ascii="Times New Roman" w:eastAsia="Times New Roman" w:hAnsi="Times New Roman" w:cs="Times New Roman"/>
          <w:sz w:val="24"/>
          <w:szCs w:val="24"/>
        </w:rPr>
        <w:t xml:space="preserve">21 </w:t>
      </w:r>
      <w:r w:rsidRPr="00EB42C3">
        <w:rPr>
          <w:rFonts w:ascii="Times New Roman" w:eastAsia="Times New Roman" w:hAnsi="Times New Roman" w:cs="Times New Roman"/>
          <w:sz w:val="24"/>
          <w:szCs w:val="24"/>
        </w:rPr>
        <w:t>grupos que tratam a GC como um recurso estratégico voltado à melhoria do desempenho organizacional e à promoção da inovação, particularmente em contextos</w:t>
      </w:r>
      <w:r w:rsidRPr="00F75446">
        <w:rPr>
          <w:rFonts w:ascii="Times New Roman" w:eastAsia="Times New Roman" w:hAnsi="Times New Roman" w:cs="Times New Roman"/>
          <w:sz w:val="24"/>
          <w:szCs w:val="24"/>
        </w:rPr>
        <w:t xml:space="preserve"> </w:t>
      </w:r>
      <w:r w:rsidRPr="00EB42C3">
        <w:rPr>
          <w:rFonts w:ascii="Times New Roman" w:eastAsia="Times New Roman" w:hAnsi="Times New Roman" w:cs="Times New Roman"/>
          <w:sz w:val="24"/>
          <w:szCs w:val="24"/>
        </w:rPr>
        <w:t>corporativos e institucionais. Já o terceiro agrupamento, Informação, Memória e Representação do Conhecimento, inclui grupos cujas pesquisas se concentram nas áreas de biblioteconomia, arquivologia e ciência da informação, com ênfase nos fluxos informacionais, nos processos de organização e representação do conhecimento, bem como na preservação da memória organizacional.</w:t>
      </w:r>
    </w:p>
    <w:p w14:paraId="46B3E98B" w14:textId="77777777" w:rsidR="00B838F3" w:rsidRPr="00EB42C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B42C3">
        <w:rPr>
          <w:rFonts w:ascii="Times New Roman" w:eastAsia="Times New Roman" w:hAnsi="Times New Roman" w:cs="Times New Roman"/>
          <w:sz w:val="24"/>
          <w:szCs w:val="24"/>
        </w:rPr>
        <w:t xml:space="preserve">O quarto agrupamento, intitulado GC e Sustentabilidade / Políticas Públicas, abrange grupos voltados à aplicação da GC em contextos sociais, ambientais e governamentais, com destaque para a formulação de políticas públicas, iniciativas de inovação social e estratégias </w:t>
      </w:r>
      <w:r w:rsidRPr="00EB42C3">
        <w:rPr>
          <w:rFonts w:ascii="Times New Roman" w:eastAsia="Times New Roman" w:hAnsi="Times New Roman" w:cs="Times New Roman"/>
          <w:sz w:val="24"/>
          <w:szCs w:val="24"/>
        </w:rPr>
        <w:lastRenderedPageBreak/>
        <w:t>para o desenvolvimento sustentável. O quinto agrupamento, GC em Educação, Aprendizagem e Ambientes Educacionais, agrega pesquisas que articulam a GC com processos pedagógicos, ambientes virtuais de aprendizagem e práticas educacionais inovadoras, evidenciando sua relevância no campo da formação e da produção de saberes.</w:t>
      </w:r>
    </w:p>
    <w:p w14:paraId="7F135A00" w14:textId="77777777" w:rsidR="00B838F3" w:rsidRPr="00EB42C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B42C3">
        <w:rPr>
          <w:rFonts w:ascii="Times New Roman" w:eastAsia="Times New Roman" w:hAnsi="Times New Roman" w:cs="Times New Roman"/>
          <w:sz w:val="24"/>
          <w:szCs w:val="24"/>
        </w:rPr>
        <w:t>O sexto agrupamento, Teoria e Epistemologia da GC, é composto por grupos que se dedicam à discussão dos fundamentos teóricos, das abordagens epistemológicas e do desenvolvimento conceitual da área, contribuindo para o avanço do conhecimento científico em GC. O sétimo agrupamento, GC em Saúde e Ciências da Vida, reúne pesquisas voltadas à aplicação da GC em instituições de saúde, na gestão de conhecimento clínico, na pesquisa biomédica e em práticas associadas ao bem-estar e à qualidade de vida. Por fim, o oitavo agrupamento, GC em Segurança, Defesa e Justiça, concentra grupos especializados na aplicação da GC em instituições e contextos críticos, como segurança pública, forças armadas e sistemas de justiça.</w:t>
      </w:r>
    </w:p>
    <w:p w14:paraId="2470B068" w14:textId="77777777" w:rsidR="00B838F3" w:rsidRPr="0013663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B42C3">
        <w:rPr>
          <w:rFonts w:ascii="Times New Roman" w:eastAsia="Times New Roman" w:hAnsi="Times New Roman" w:cs="Times New Roman"/>
          <w:sz w:val="24"/>
          <w:szCs w:val="24"/>
        </w:rPr>
        <w:t>Embora cada agrupamento tenha sido construído com base em critérios de predominância temática, é importante destacar que essa classificação não é excludente, dado o caráter transversal e interdisciplinar da GC. Muitos grupos apresentam interfaces com mais de uma categoria, o que reforça a complexidade e a abrangência do campo. Ainda assim, a adoção desses agrupamentos contribui para evidenciar a maturidade da área e seu potencial de aplicação em distintos setores sociais, organizacionais e institucionais, tanto em domínios consolidados quanto em áreas emergentes e estratégicas.</w:t>
      </w:r>
    </w:p>
    <w:p w14:paraId="122C49BF" w14:textId="77777777" w:rsidR="00B838F3" w:rsidRPr="00F75446" w:rsidRDefault="00B838F3" w:rsidP="00B838F3">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815CE32" w14:textId="77777777" w:rsidR="00B838F3" w:rsidRDefault="00B838F3" w:rsidP="00B838F3">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465198B6" w14:textId="51D764A9" w:rsidR="00B838F3" w:rsidRPr="003B139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B1393">
        <w:rPr>
          <w:rFonts w:ascii="Times New Roman" w:eastAsia="Times New Roman" w:hAnsi="Times New Roman" w:cs="Times New Roman"/>
          <w:sz w:val="24"/>
          <w:szCs w:val="24"/>
        </w:rPr>
        <w:t>O presente estudo mapeou e analisou os grupos de pesquisa em Gestão do Conhecimento (GC) no Brasil, evidenciando sua distribuição regional, vinculação institucional, áreas de atuação e enfoques temáticos predominantes. A análise revelou a</w:t>
      </w:r>
      <w:r w:rsidRPr="00F75446">
        <w:rPr>
          <w:rFonts w:ascii="Times New Roman" w:eastAsia="Times New Roman" w:hAnsi="Times New Roman" w:cs="Times New Roman"/>
          <w:sz w:val="24"/>
          <w:szCs w:val="24"/>
        </w:rPr>
        <w:t xml:space="preserve"> </w:t>
      </w:r>
      <w:r w:rsidRPr="003B1393">
        <w:rPr>
          <w:rFonts w:ascii="Times New Roman" w:eastAsia="Times New Roman" w:hAnsi="Times New Roman" w:cs="Times New Roman"/>
          <w:sz w:val="24"/>
          <w:szCs w:val="24"/>
        </w:rPr>
        <w:t>consolidação progressiva da GC como um campo científico em expansão, caracterizado por diversidade disciplinar, transversalidade temática e crescente institucionalização acadêmica. A predominância de grupos vinculados a instituições públicas, especialmente universidades federais, reflete o papel central do setor público na sustentação da pesquisa em GC. Ao mesmo</w:t>
      </w:r>
      <w:r>
        <w:rPr>
          <w:rFonts w:ascii="Times New Roman" w:eastAsia="Times New Roman" w:hAnsi="Times New Roman" w:cs="Times New Roman"/>
          <w:sz w:val="24"/>
          <w:szCs w:val="24"/>
        </w:rPr>
        <w:t xml:space="preserve"> </w:t>
      </w:r>
      <w:r w:rsidRPr="003B1393">
        <w:rPr>
          <w:rFonts w:ascii="Times New Roman" w:eastAsia="Times New Roman" w:hAnsi="Times New Roman" w:cs="Times New Roman"/>
          <w:sz w:val="24"/>
          <w:szCs w:val="24"/>
        </w:rPr>
        <w:t>tempo, a presença de iniciativas em instituições privadas e estaduais, embora menos expressiva, aponta para uma trajetória de ampliação da capilaridade da área.</w:t>
      </w:r>
    </w:p>
    <w:p w14:paraId="435C4DFE" w14:textId="77777777" w:rsidR="00B838F3" w:rsidRPr="003B139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B1393">
        <w:rPr>
          <w:rFonts w:ascii="Times New Roman" w:eastAsia="Times New Roman" w:hAnsi="Times New Roman" w:cs="Times New Roman"/>
          <w:sz w:val="24"/>
          <w:szCs w:val="24"/>
        </w:rPr>
        <w:t xml:space="preserve">A classificação temática proposta, composta por oito agrupamentos, permitiu visualizar com maior clareza as diferentes abordagens adotadas pelos grupos mapeados, abrangendo </w:t>
      </w:r>
      <w:r w:rsidRPr="003B1393">
        <w:rPr>
          <w:rFonts w:ascii="Times New Roman" w:eastAsia="Times New Roman" w:hAnsi="Times New Roman" w:cs="Times New Roman"/>
          <w:sz w:val="24"/>
          <w:szCs w:val="24"/>
        </w:rPr>
        <w:lastRenderedPageBreak/>
        <w:t>desde aplicações tecnológicas e organizacionais até fundamentos epistemológicos e políticas públicas. Essa diversidade revela não apenas a maturidade da GC como área de pesquisa, mas também sua capacidade de dialogar com múltiplos setores da sociedade, incluindo saúde, educação, defesa, justiça e sustentabilidade.</w:t>
      </w:r>
    </w:p>
    <w:p w14:paraId="4728D4E0" w14:textId="77777777" w:rsidR="00B838F3" w:rsidRPr="003B139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B1393">
        <w:rPr>
          <w:rFonts w:ascii="Times New Roman" w:eastAsia="Times New Roman" w:hAnsi="Times New Roman" w:cs="Times New Roman"/>
          <w:sz w:val="24"/>
          <w:szCs w:val="24"/>
        </w:rPr>
        <w:t>Do ponto de vista teórico, os achados reforçam o entendimento da GC como um campo interdisciplinar e dinâmico, que integra conhecimentos da administração, ciência da informação, engenharia, computação, educação e ciências sociais. Essa natureza multifacetada exige estratégias de pesquisa colaborativa e redes institucionais capazes de articular diferentes saberes, perspectivas metodológicas e contextos de aplicação.</w:t>
      </w:r>
    </w:p>
    <w:p w14:paraId="047B79C8" w14:textId="77777777" w:rsidR="00B838F3" w:rsidRPr="003B139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B1393">
        <w:rPr>
          <w:rFonts w:ascii="Times New Roman" w:eastAsia="Times New Roman" w:hAnsi="Times New Roman" w:cs="Times New Roman"/>
          <w:sz w:val="24"/>
          <w:szCs w:val="24"/>
        </w:rPr>
        <w:t xml:space="preserve">Em termos práticos, os resultados oferecem subsídios relevantes para a formulação de políticas públicas voltadas à promoção da equidade regional na pós-graduação, ao fortalecimento dos grupos emergentes e à ampliação da oferta de programas com foco em GC em regiões ainda </w:t>
      </w:r>
      <w:proofErr w:type="spellStart"/>
      <w:r w:rsidRPr="003B1393">
        <w:rPr>
          <w:rFonts w:ascii="Times New Roman" w:eastAsia="Times New Roman" w:hAnsi="Times New Roman" w:cs="Times New Roman"/>
          <w:sz w:val="24"/>
          <w:szCs w:val="24"/>
        </w:rPr>
        <w:t>sub-representadas</w:t>
      </w:r>
      <w:proofErr w:type="spellEnd"/>
      <w:r w:rsidRPr="003B1393">
        <w:rPr>
          <w:rFonts w:ascii="Times New Roman" w:eastAsia="Times New Roman" w:hAnsi="Times New Roman" w:cs="Times New Roman"/>
          <w:sz w:val="24"/>
          <w:szCs w:val="24"/>
        </w:rPr>
        <w:t>. Além disso, podem orientar decisões institucionais sobre investimentos em infraestrutura, formação docente, redes colaborativas e internacionalização da pesquisa.</w:t>
      </w:r>
    </w:p>
    <w:p w14:paraId="0FFBB06C" w14:textId="77777777" w:rsidR="00B838F3" w:rsidRPr="003B139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B1393">
        <w:rPr>
          <w:rFonts w:ascii="Times New Roman" w:eastAsia="Times New Roman" w:hAnsi="Times New Roman" w:cs="Times New Roman"/>
          <w:sz w:val="24"/>
          <w:szCs w:val="24"/>
        </w:rPr>
        <w:t>As principais limitações do estudo dizem respeito à dependência de dados autorrelatados nas plataformas oficiais e à ausência de indicadores qualitativos sobre a produção científica dos grupos. Tais lacunas podem ser parcialmente mitigadas em pesquisas futuras, que poderão incorporar análises bibliométricas, estudos de caso aprofundados e entrevistas com lideranças acadêmicas.</w:t>
      </w:r>
    </w:p>
    <w:p w14:paraId="45ABCCA4" w14:textId="77777777" w:rsid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B1393">
        <w:rPr>
          <w:rFonts w:ascii="Times New Roman" w:eastAsia="Times New Roman" w:hAnsi="Times New Roman" w:cs="Times New Roman"/>
          <w:sz w:val="24"/>
          <w:szCs w:val="24"/>
        </w:rPr>
        <w:t>Como agenda de continuidade, propõe-se: (i) o monitoramento longitudinal dos grupos e sua evolução institucional; (</w:t>
      </w:r>
      <w:proofErr w:type="spellStart"/>
      <w:r w:rsidRPr="003B1393">
        <w:rPr>
          <w:rFonts w:ascii="Times New Roman" w:eastAsia="Times New Roman" w:hAnsi="Times New Roman" w:cs="Times New Roman"/>
          <w:sz w:val="24"/>
          <w:szCs w:val="24"/>
        </w:rPr>
        <w:t>ii</w:t>
      </w:r>
      <w:proofErr w:type="spellEnd"/>
      <w:r w:rsidRPr="003B1393">
        <w:rPr>
          <w:rFonts w:ascii="Times New Roman" w:eastAsia="Times New Roman" w:hAnsi="Times New Roman" w:cs="Times New Roman"/>
          <w:sz w:val="24"/>
          <w:szCs w:val="24"/>
        </w:rPr>
        <w:t>) o mapeamento das colaborações interinstitucionais e internacionais; (</w:t>
      </w:r>
      <w:proofErr w:type="spellStart"/>
      <w:r w:rsidRPr="003B1393">
        <w:rPr>
          <w:rFonts w:ascii="Times New Roman" w:eastAsia="Times New Roman" w:hAnsi="Times New Roman" w:cs="Times New Roman"/>
          <w:sz w:val="24"/>
          <w:szCs w:val="24"/>
        </w:rPr>
        <w:t>iii</w:t>
      </w:r>
      <w:proofErr w:type="spellEnd"/>
      <w:r w:rsidRPr="003B1393">
        <w:rPr>
          <w:rFonts w:ascii="Times New Roman" w:eastAsia="Times New Roman" w:hAnsi="Times New Roman" w:cs="Times New Roman"/>
          <w:sz w:val="24"/>
          <w:szCs w:val="24"/>
        </w:rPr>
        <w:t>) a análise do impacto social das pesquisas desenvolvidas; e (</w:t>
      </w:r>
      <w:proofErr w:type="spellStart"/>
      <w:r w:rsidRPr="003B1393">
        <w:rPr>
          <w:rFonts w:ascii="Times New Roman" w:eastAsia="Times New Roman" w:hAnsi="Times New Roman" w:cs="Times New Roman"/>
          <w:sz w:val="24"/>
          <w:szCs w:val="24"/>
        </w:rPr>
        <w:t>iv</w:t>
      </w:r>
      <w:proofErr w:type="spellEnd"/>
      <w:r w:rsidRPr="003B1393">
        <w:rPr>
          <w:rFonts w:ascii="Times New Roman" w:eastAsia="Times New Roman" w:hAnsi="Times New Roman" w:cs="Times New Roman"/>
          <w:sz w:val="24"/>
          <w:szCs w:val="24"/>
        </w:rPr>
        <w:t>) a identificação de boas práticas em programas e grupos de excelência. Com isso, espera-se</w:t>
      </w:r>
      <w:r>
        <w:rPr>
          <w:rFonts w:ascii="Times New Roman" w:eastAsia="Times New Roman" w:hAnsi="Times New Roman" w:cs="Times New Roman"/>
          <w:sz w:val="24"/>
          <w:szCs w:val="24"/>
        </w:rPr>
        <w:t xml:space="preserve"> </w:t>
      </w:r>
      <w:r w:rsidRPr="003B1393">
        <w:rPr>
          <w:rFonts w:ascii="Times New Roman" w:eastAsia="Times New Roman" w:hAnsi="Times New Roman" w:cs="Times New Roman"/>
          <w:sz w:val="24"/>
          <w:szCs w:val="24"/>
        </w:rPr>
        <w:t>contribuir para o avanço estratégico da Gestão do Conhecimento enquanto campo científico</w:t>
      </w:r>
      <w:r>
        <w:rPr>
          <w:rFonts w:ascii="Times New Roman" w:eastAsia="Times New Roman" w:hAnsi="Times New Roman" w:cs="Times New Roman"/>
          <w:sz w:val="24"/>
          <w:szCs w:val="24"/>
        </w:rPr>
        <w:t xml:space="preserve"> </w:t>
      </w:r>
      <w:r w:rsidRPr="003B1393">
        <w:rPr>
          <w:rFonts w:ascii="Times New Roman" w:eastAsia="Times New Roman" w:hAnsi="Times New Roman" w:cs="Times New Roman"/>
          <w:sz w:val="24"/>
          <w:szCs w:val="24"/>
        </w:rPr>
        <w:t>relevante para a inovação, a formação de competências e o desenvolvimento sustentável no contexto brasileiro.</w:t>
      </w:r>
    </w:p>
    <w:p w14:paraId="5D8EA139" w14:textId="4C3E6A65" w:rsidR="00B009E4" w:rsidRPr="00B838F3" w:rsidRDefault="00B838F3" w:rsidP="00B838F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A60F9">
        <w:rPr>
          <w:rFonts w:ascii="Times New Roman" w:eastAsia="Times New Roman" w:hAnsi="Times New Roman" w:cs="Times New Roman"/>
          <w:b/>
          <w:bCs/>
          <w:sz w:val="24"/>
          <w:szCs w:val="24"/>
        </w:rPr>
        <w:t>Agradecimentos:</w:t>
      </w:r>
      <w:r w:rsidRPr="00BA60F9">
        <w:rPr>
          <w:rFonts w:ascii="Times New Roman" w:eastAsia="Times New Roman" w:hAnsi="Times New Roman" w:cs="Times New Roman"/>
          <w:sz w:val="24"/>
          <w:szCs w:val="24"/>
        </w:rPr>
        <w:t xml:space="preserve"> Este trabalho foi realizado com o apoio da Fundação de Amparo à Pesquisa do Estado de São Paulo (FAPESP), processo nº </w:t>
      </w:r>
      <w:r>
        <w:rPr>
          <w:rFonts w:ascii="Times New Roman" w:eastAsia="Times New Roman" w:hAnsi="Times New Roman" w:cs="Times New Roman"/>
          <w:sz w:val="24"/>
          <w:szCs w:val="24"/>
        </w:rPr>
        <w:t>2025/04681-0</w:t>
      </w:r>
      <w:r w:rsidRPr="00BA60F9">
        <w:rPr>
          <w:rFonts w:ascii="Times New Roman" w:eastAsia="Times New Roman" w:hAnsi="Times New Roman" w:cs="Times New Roman"/>
          <w:sz w:val="24"/>
          <w:szCs w:val="24"/>
        </w:rPr>
        <w:t>.</w:t>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60B6B995" w14:textId="77777777" w:rsidR="00784E62" w:rsidRDefault="00784E62">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115C8019" w14:textId="77777777" w:rsidR="00784E62" w:rsidRDefault="00784E62">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F80EE97" w14:textId="77777777" w:rsidR="00784E62" w:rsidRDefault="00784E62">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233D29">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REFERÊNCIAS</w:t>
      </w:r>
    </w:p>
    <w:p w14:paraId="1F0EAFEF" w14:textId="496C1286" w:rsidR="00B838F3" w:rsidRPr="002760B4"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 xml:space="preserve">ANJOS, E. C. D.; AIHARA, C. H.; DAVILA, G. A. Transformação digital e práticas de gestão do conhecimento: uma revisão sistemática da literatura. CIKI – Congresso Internacional de Conhecimento e Inovação, 2019. Disponível em: </w:t>
      </w:r>
      <w:r w:rsidRPr="008A3C39">
        <w:rPr>
          <w:rFonts w:ascii="Times New Roman" w:eastAsia="Times New Roman" w:hAnsi="Times New Roman" w:cs="Times New Roman"/>
          <w:sz w:val="24"/>
          <w:szCs w:val="24"/>
        </w:rPr>
        <w:t>https://proceeding.ciki.ufsc.br/index.php/ciki/article/view/676</w:t>
      </w:r>
      <w:r>
        <w:rPr>
          <w:rFonts w:ascii="Times New Roman" w:eastAsia="Times New Roman" w:hAnsi="Times New Roman" w:cs="Times New Roman"/>
          <w:sz w:val="24"/>
          <w:szCs w:val="24"/>
        </w:rPr>
        <w:t xml:space="preserve">. </w:t>
      </w:r>
      <w:r w:rsidRPr="008A3C39">
        <w:rPr>
          <w:rFonts w:ascii="Times New Roman" w:eastAsia="Times New Roman" w:hAnsi="Times New Roman" w:cs="Times New Roman"/>
          <w:sz w:val="24"/>
          <w:szCs w:val="24"/>
        </w:rPr>
        <w:t>Acesso em: 5 ago. 2025.</w:t>
      </w:r>
    </w:p>
    <w:p w14:paraId="1180247E" w14:textId="77777777" w:rsidR="00B838F3" w:rsidRPr="00A64A85" w:rsidRDefault="00B838F3" w:rsidP="00B838F3">
      <w:pPr>
        <w:spacing w:before="200" w:after="240" w:line="240" w:lineRule="auto"/>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BALBACHEVSKY, E. A pós-graduação no Brasil: novos desafios para uma política bem-sucedida. In: SCHWARTZMAN, S.; BROCK, C. (org.). Os desafios da educação no Brasil. Rio de Janeiro: Nova Fronteira, 2005.</w:t>
      </w:r>
      <w:r>
        <w:rPr>
          <w:rFonts w:ascii="Times New Roman" w:eastAsia="Times New Roman" w:hAnsi="Times New Roman" w:cs="Times New Roman"/>
          <w:sz w:val="24"/>
          <w:szCs w:val="24"/>
        </w:rPr>
        <w:t xml:space="preserve"> </w:t>
      </w:r>
      <w:r w:rsidRPr="008A3C39">
        <w:rPr>
          <w:rFonts w:ascii="Times New Roman" w:eastAsia="Times New Roman" w:hAnsi="Times New Roman" w:cs="Times New Roman"/>
          <w:sz w:val="24"/>
          <w:szCs w:val="24"/>
        </w:rPr>
        <w:t>p. 279–312.</w:t>
      </w:r>
    </w:p>
    <w:p w14:paraId="7C049FE1" w14:textId="77777777" w:rsidR="00B838F3" w:rsidRPr="00A64A85" w:rsidRDefault="00B838F3" w:rsidP="00B838F3">
      <w:pPr>
        <w:spacing w:before="200" w:after="240" w:line="240" w:lineRule="auto"/>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CAMPOS, M. L. M.; NOGUEIRA, M. M. B.; SANTOS, L. M. A. Gestão do conhecimento na pós-graduação stricto sensu no Brasil: principais tópicos abordados nas linhas de pesquisa. Avaliação: Revista da Avaliação da Educação Superior, v. 28, n. 1, p. 170–187, 2023. DOI: https://doi.org/10.1590/S1414-40772023000100010</w:t>
      </w:r>
    </w:p>
    <w:p w14:paraId="58767E16" w14:textId="77777777" w:rsidR="00B838F3" w:rsidRPr="008A3C39" w:rsidRDefault="00B838F3" w:rsidP="00B838F3">
      <w:pPr>
        <w:spacing w:before="200" w:after="240" w:line="240" w:lineRule="auto"/>
        <w:rPr>
          <w:rFonts w:ascii="Times New Roman" w:eastAsia="Times New Roman" w:hAnsi="Times New Roman" w:cs="Times New Roman"/>
          <w:sz w:val="24"/>
          <w:szCs w:val="24"/>
        </w:rPr>
      </w:pPr>
      <w:r w:rsidRPr="00634E77">
        <w:rPr>
          <w:rFonts w:ascii="Times New Roman" w:eastAsia="Times New Roman" w:hAnsi="Times New Roman" w:cs="Times New Roman"/>
          <w:sz w:val="24"/>
          <w:szCs w:val="24"/>
        </w:rPr>
        <w:t>CHIARINI, T</w:t>
      </w:r>
      <w:r>
        <w:rPr>
          <w:rFonts w:ascii="Times New Roman" w:eastAsia="Times New Roman" w:hAnsi="Times New Roman" w:cs="Times New Roman"/>
          <w:sz w:val="24"/>
          <w:szCs w:val="24"/>
        </w:rPr>
        <w:t>.</w:t>
      </w:r>
      <w:r w:rsidRPr="00634E77">
        <w:rPr>
          <w:rFonts w:ascii="Times New Roman" w:eastAsia="Times New Roman" w:hAnsi="Times New Roman" w:cs="Times New Roman"/>
          <w:sz w:val="24"/>
          <w:szCs w:val="24"/>
        </w:rPr>
        <w:t xml:space="preserve"> et al. Análise dos resultados do Censo dos grupos de pesquisa de 2023. CI&amp;T‑Indicadores, Brasília: Instituto de Pesquisa Econômica Aplicada (IPEA), Nota Técnica, ago. 2024. Disponível em: https://www.ipea.gov.br/cts/pt/central-de-conteudo/todas-as-publicacoes/publicacoes/443-analise-dos-resultados-do-censo-dos-grupos-de-pesquisa-de-2023. </w:t>
      </w:r>
      <w:r w:rsidRPr="008A3C39">
        <w:rPr>
          <w:rFonts w:ascii="Times New Roman" w:eastAsia="Times New Roman" w:hAnsi="Times New Roman" w:cs="Times New Roman"/>
          <w:sz w:val="24"/>
          <w:szCs w:val="24"/>
        </w:rPr>
        <w:t>Acesso em: 5 ago. 2025.</w:t>
      </w:r>
    </w:p>
    <w:p w14:paraId="54CFFBDD" w14:textId="77777777" w:rsidR="00B838F3" w:rsidRDefault="00B838F3" w:rsidP="00B838F3">
      <w:pPr>
        <w:spacing w:before="200" w:after="240" w:line="240" w:lineRule="auto"/>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DAVENPORT, T. H.; PRUSAK, L. Conhecimento empresarial: como as organizações gerenciam o seu capital intelectual. Rio de Janeiro: Campus, 1998.</w:t>
      </w:r>
    </w:p>
    <w:p w14:paraId="49FE4060" w14:textId="77777777" w:rsidR="00B838F3" w:rsidRPr="002760B4"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DIOGO, R. A.; KOLBE JUNIOR, A.; SANTOS, N. A transformação digital e a gestão do conhecimento: contribuições para a melhoria dos processos produtivos e organizacionais. P2P e Inovação, v. 5, n. 2, p. 1-15, 2019.</w:t>
      </w:r>
    </w:p>
    <w:p w14:paraId="39F87CB7" w14:textId="77777777" w:rsidR="00B838F3" w:rsidRPr="002760B4"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 xml:space="preserve">ESTRELA, T. D. C.; SANTOS, L. V. D.; SILVA, W. J. D. Inteligência Artificial Aplicada à Gestão do Conhecimento Empresarial: Revisão Sistemática da Literatura. Revista </w:t>
      </w:r>
      <w:proofErr w:type="spellStart"/>
      <w:r w:rsidRPr="002760B4">
        <w:rPr>
          <w:rFonts w:ascii="Times New Roman" w:eastAsia="Times New Roman" w:hAnsi="Times New Roman" w:cs="Times New Roman"/>
          <w:sz w:val="24"/>
          <w:szCs w:val="24"/>
        </w:rPr>
        <w:t>GeTeC</w:t>
      </w:r>
      <w:proofErr w:type="spellEnd"/>
      <w:r w:rsidRPr="002760B4">
        <w:rPr>
          <w:rFonts w:ascii="Times New Roman" w:eastAsia="Times New Roman" w:hAnsi="Times New Roman" w:cs="Times New Roman"/>
          <w:sz w:val="24"/>
          <w:szCs w:val="24"/>
        </w:rPr>
        <w:t>, v. 13, n. 1, p. 1-15, 2024.</w:t>
      </w:r>
    </w:p>
    <w:p w14:paraId="0CD54A28" w14:textId="77777777" w:rsidR="00B838F3" w:rsidRPr="00A64A85" w:rsidRDefault="00B838F3" w:rsidP="00B838F3">
      <w:pPr>
        <w:spacing w:before="200" w:after="240" w:line="240" w:lineRule="auto"/>
        <w:rPr>
          <w:rFonts w:ascii="Times New Roman" w:eastAsia="Times New Roman" w:hAnsi="Times New Roman" w:cs="Times New Roman"/>
          <w:sz w:val="24"/>
          <w:szCs w:val="24"/>
        </w:rPr>
      </w:pPr>
      <w:r w:rsidRPr="007E3C02">
        <w:rPr>
          <w:rFonts w:ascii="Times New Roman" w:eastAsia="Times New Roman" w:hAnsi="Times New Roman" w:cs="Times New Roman"/>
          <w:sz w:val="24"/>
          <w:szCs w:val="24"/>
        </w:rPr>
        <w:t>GIL, A. C. Métodos e técnicas de pesquisa social. 7. ed. São Paulo: Atlas, 2019.</w:t>
      </w:r>
    </w:p>
    <w:p w14:paraId="6D8A938E" w14:textId="77777777" w:rsidR="00B838F3" w:rsidRPr="002760B4"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IGARASHI, W.; RAUTENBERG, S.; MEDEIROS, L. F. Aplicações de Inteligência Artificial para gestão do conhecimento nas organizações: um estudo exploratório. Revista do Capital Intelectual, v. 1, n. 1, p. 1-15, 2008.</w:t>
      </w:r>
    </w:p>
    <w:p w14:paraId="784BA32C" w14:textId="77777777" w:rsidR="00B838F3" w:rsidRPr="002760B4" w:rsidRDefault="00B838F3" w:rsidP="00B838F3">
      <w:pPr>
        <w:spacing w:before="200" w:after="240" w:line="240" w:lineRule="auto"/>
        <w:rPr>
          <w:rFonts w:ascii="Times New Roman" w:eastAsia="Times New Roman" w:hAnsi="Times New Roman" w:cs="Times New Roman"/>
          <w:sz w:val="24"/>
          <w:szCs w:val="24"/>
        </w:rPr>
      </w:pPr>
      <w:r w:rsidRPr="00D92BA3">
        <w:rPr>
          <w:rFonts w:ascii="Times New Roman" w:eastAsia="Times New Roman" w:hAnsi="Times New Roman" w:cs="Times New Roman"/>
          <w:sz w:val="24"/>
          <w:szCs w:val="24"/>
        </w:rPr>
        <w:t>LEITE, F. C. L.; COSTA, S. M. S. Repositórios institucionais como ferramentas de gestão do conhecimento científico no ambiente acadêmico. Perspectivas em Ciência da Informação, [S. l.], v. 11, n. 2, 2007. Disponível em: https://periodicos.ufmg.br/index.php/pci/article/view/23746. Acesso em: 4 ago. 2025.</w:t>
      </w:r>
    </w:p>
    <w:p w14:paraId="08BFC11B" w14:textId="77777777" w:rsidR="00B838F3" w:rsidRPr="002760B4"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MAGALHÃES, J.; HARTZ, Z.; QUONIAM, L. Big data em saúde e a ciência aberta: um contributo para a gestão do conhecimento em COVID-19. Revista Prevenção de Infecção e Saúde, v. 1, n. 1, p. 1-10, 2020.</w:t>
      </w:r>
    </w:p>
    <w:p w14:paraId="3F5FCE7F" w14:textId="77777777" w:rsidR="00B838F3" w:rsidRPr="008A3C39" w:rsidRDefault="00B838F3" w:rsidP="00B838F3">
      <w:pPr>
        <w:spacing w:before="200" w:after="240" w:line="240" w:lineRule="auto"/>
        <w:rPr>
          <w:rFonts w:ascii="Times New Roman" w:eastAsia="Times New Roman" w:hAnsi="Times New Roman" w:cs="Times New Roman"/>
          <w:sz w:val="24"/>
          <w:szCs w:val="24"/>
        </w:rPr>
      </w:pPr>
      <w:r w:rsidRPr="001269F4">
        <w:rPr>
          <w:rFonts w:ascii="Times New Roman" w:eastAsia="Times New Roman" w:hAnsi="Times New Roman" w:cs="Times New Roman"/>
          <w:sz w:val="24"/>
          <w:szCs w:val="24"/>
        </w:rPr>
        <w:t>NASCIMENTO, H. do; GASPAR, M. A.; CARNEIRO, M. S.; CARVALHO, F. P. N. de; EVANGELISTA, J. R. G. Gestão do Conhecimento na pós-graduação stricto sensu no Brasil: principais tópicos abordados nas linhas de pesquisa. Perspectivas em Gestão &amp;</w:t>
      </w:r>
      <w:r>
        <w:rPr>
          <w:rFonts w:ascii="Times New Roman" w:eastAsia="Times New Roman" w:hAnsi="Times New Roman" w:cs="Times New Roman"/>
          <w:sz w:val="24"/>
          <w:szCs w:val="24"/>
        </w:rPr>
        <w:t xml:space="preserve"> </w:t>
      </w:r>
      <w:r w:rsidRPr="001269F4">
        <w:rPr>
          <w:rFonts w:ascii="Times New Roman" w:eastAsia="Times New Roman" w:hAnsi="Times New Roman" w:cs="Times New Roman"/>
          <w:sz w:val="24"/>
          <w:szCs w:val="24"/>
        </w:rPr>
        <w:lastRenderedPageBreak/>
        <w:t xml:space="preserve">Conhecimento, v. 13, n. </w:t>
      </w:r>
      <w:proofErr w:type="spellStart"/>
      <w:r w:rsidRPr="001269F4">
        <w:rPr>
          <w:rFonts w:ascii="Times New Roman" w:eastAsia="Times New Roman" w:hAnsi="Times New Roman" w:cs="Times New Roman"/>
          <w:sz w:val="24"/>
          <w:szCs w:val="24"/>
        </w:rPr>
        <w:t>esp</w:t>
      </w:r>
      <w:proofErr w:type="spellEnd"/>
      <w:r w:rsidRPr="001269F4">
        <w:rPr>
          <w:rFonts w:ascii="Times New Roman" w:eastAsia="Times New Roman" w:hAnsi="Times New Roman" w:cs="Times New Roman"/>
          <w:sz w:val="24"/>
          <w:szCs w:val="24"/>
        </w:rPr>
        <w:t xml:space="preserve">, p. 84–99, 2023. DOI: 10.22478/ufpb.2236-417X.2023v13nesp.65568. Disponível em: https://periodicos.ufpb.br/index.php/pgc/article/view/65568. </w:t>
      </w:r>
      <w:r w:rsidRPr="008A3C39">
        <w:rPr>
          <w:rFonts w:ascii="Times New Roman" w:eastAsia="Times New Roman" w:hAnsi="Times New Roman" w:cs="Times New Roman"/>
          <w:sz w:val="24"/>
          <w:szCs w:val="24"/>
        </w:rPr>
        <w:t>Acesso em: 5 ago. 2025.</w:t>
      </w:r>
    </w:p>
    <w:p w14:paraId="5981C5FC" w14:textId="77777777" w:rsidR="00B838F3"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NONAKA, I.; TAKEUCHI, H. Criação de conhecimento na empresa: como as empresas japonesas geram a dinâmica da inovação. Rio de Janeiro: Campus, 1997.</w:t>
      </w:r>
    </w:p>
    <w:p w14:paraId="62954B4E" w14:textId="77777777" w:rsidR="00B838F3"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 xml:space="preserve">PACHECO, R. C. S.; KERN, V. M. </w:t>
      </w:r>
      <w:r w:rsidRPr="0051411D">
        <w:rPr>
          <w:rFonts w:ascii="Times New Roman" w:eastAsia="Times New Roman" w:hAnsi="Times New Roman" w:cs="Times New Roman"/>
          <w:sz w:val="24"/>
          <w:szCs w:val="24"/>
        </w:rPr>
        <w:t>Transparência e gestão do conhecimento por meio de um banco de teses e dissertações: a experiência do PPGEP/UFSC. Ciência da Informação, Brasília, v. 30, n. 3, p. 64–72, set./dez. 2001. Disponível em: https://revista.ibict.br/ciinf/article/view/293. Acesso em: 5 ago. 2025.</w:t>
      </w:r>
    </w:p>
    <w:p w14:paraId="1476EBB8" w14:textId="77777777" w:rsidR="00B838F3" w:rsidRDefault="00B838F3" w:rsidP="00B838F3">
      <w:pPr>
        <w:spacing w:before="200" w:after="240" w:line="240" w:lineRule="auto"/>
        <w:rPr>
          <w:rFonts w:ascii="Times New Roman" w:eastAsia="Times New Roman" w:hAnsi="Times New Roman" w:cs="Times New Roman"/>
          <w:sz w:val="24"/>
          <w:szCs w:val="24"/>
        </w:rPr>
      </w:pPr>
      <w:r w:rsidRPr="00590130">
        <w:rPr>
          <w:rFonts w:ascii="Times New Roman" w:eastAsia="Times New Roman" w:hAnsi="Times New Roman" w:cs="Times New Roman"/>
          <w:sz w:val="24"/>
          <w:szCs w:val="24"/>
        </w:rPr>
        <w:t>SANTOS, M</w:t>
      </w:r>
      <w:r>
        <w:rPr>
          <w:rFonts w:ascii="Times New Roman" w:eastAsia="Times New Roman" w:hAnsi="Times New Roman" w:cs="Times New Roman"/>
          <w:sz w:val="24"/>
          <w:szCs w:val="24"/>
        </w:rPr>
        <w:t xml:space="preserve">. </w:t>
      </w:r>
      <w:r w:rsidRPr="00590130">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590130">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w:t>
      </w:r>
      <w:r w:rsidRPr="00590130">
        <w:rPr>
          <w:rFonts w:ascii="Times New Roman" w:eastAsia="Times New Roman" w:hAnsi="Times New Roman" w:cs="Times New Roman"/>
          <w:sz w:val="24"/>
          <w:szCs w:val="24"/>
        </w:rPr>
        <w:t>; CAMPOS, A</w:t>
      </w:r>
      <w:r>
        <w:rPr>
          <w:rFonts w:ascii="Times New Roman" w:eastAsia="Times New Roman" w:hAnsi="Times New Roman" w:cs="Times New Roman"/>
          <w:sz w:val="24"/>
          <w:szCs w:val="24"/>
        </w:rPr>
        <w:t>.</w:t>
      </w:r>
      <w:r w:rsidRPr="00590130">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590130">
        <w:rPr>
          <w:rFonts w:ascii="Times New Roman" w:eastAsia="Times New Roman" w:hAnsi="Times New Roman" w:cs="Times New Roman"/>
          <w:sz w:val="24"/>
          <w:szCs w:val="24"/>
        </w:rPr>
        <w:t>; SOUZA, S</w:t>
      </w:r>
      <w:r>
        <w:rPr>
          <w:rFonts w:ascii="Times New Roman" w:eastAsia="Times New Roman" w:hAnsi="Times New Roman" w:cs="Times New Roman"/>
          <w:sz w:val="24"/>
          <w:szCs w:val="24"/>
        </w:rPr>
        <w:t>.</w:t>
      </w:r>
      <w:r w:rsidRPr="00590130">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w:t>
      </w:r>
      <w:r w:rsidRPr="00590130">
        <w:rPr>
          <w:rFonts w:ascii="Times New Roman" w:eastAsia="Times New Roman" w:hAnsi="Times New Roman" w:cs="Times New Roman"/>
          <w:sz w:val="24"/>
          <w:szCs w:val="24"/>
        </w:rPr>
        <w:t xml:space="preserve"> B. Contribuição do grupo de pesquisa para a formação profissional em educação. Revista Eletrônica Científica Ensino Interdisciplinar, [S. l.], v. 7, n. 22, 2021. Disponível em: https://periodicos.apps.uern.br/index.php/RECEI/article/view/3332. Acesso em: 5 ago. 2025</w:t>
      </w:r>
    </w:p>
    <w:p w14:paraId="313DB967" w14:textId="77777777" w:rsidR="00B838F3" w:rsidRPr="002760B4" w:rsidRDefault="00B838F3" w:rsidP="00B838F3">
      <w:pPr>
        <w:spacing w:before="200" w:after="240" w:line="240" w:lineRule="auto"/>
        <w:rPr>
          <w:rFonts w:ascii="Times New Roman" w:eastAsia="Times New Roman" w:hAnsi="Times New Roman" w:cs="Times New Roman"/>
          <w:sz w:val="24"/>
          <w:szCs w:val="24"/>
        </w:rPr>
      </w:pPr>
      <w:r w:rsidRPr="00B7028B">
        <w:rPr>
          <w:rFonts w:ascii="Times New Roman" w:eastAsia="Times New Roman" w:hAnsi="Times New Roman" w:cs="Times New Roman"/>
          <w:sz w:val="24"/>
          <w:szCs w:val="24"/>
        </w:rPr>
        <w:t>SILVA, L. C. et al. Perfil dos programas de pós-graduação Stricto Sensu em Gestão do Conhecimento no Brasil e seu panorama da produção científica. Avaliação: Revista da Avaliação da Educação Superior (Campinas), v. 24, n. 1, p. 328–351, mar. 2019.</w:t>
      </w:r>
    </w:p>
    <w:p w14:paraId="27FE69CE" w14:textId="77777777" w:rsidR="00B838F3" w:rsidRPr="00A64A85" w:rsidRDefault="00B838F3" w:rsidP="00B838F3">
      <w:pPr>
        <w:spacing w:before="200" w:after="240" w:line="240" w:lineRule="auto"/>
        <w:rPr>
          <w:rFonts w:ascii="Times New Roman" w:eastAsia="Times New Roman" w:hAnsi="Times New Roman" w:cs="Times New Roman"/>
          <w:sz w:val="24"/>
          <w:szCs w:val="24"/>
        </w:rPr>
      </w:pPr>
      <w:r w:rsidRPr="00A64A85">
        <w:rPr>
          <w:rFonts w:ascii="Times New Roman" w:eastAsia="Times New Roman" w:hAnsi="Times New Roman" w:cs="Times New Roman"/>
          <w:sz w:val="24"/>
          <w:szCs w:val="24"/>
        </w:rPr>
        <w:t>SILVA, L. P.; FERREIRA, C. M. A presença da Gestão do Conhecimento nos cursos de pós-graduação: análise curricular e desafios formativos. Revista Ibero-Americana de Educação, v. 73, n. 2, p. 77–96, 2017.</w:t>
      </w:r>
    </w:p>
    <w:p w14:paraId="662DBEF4" w14:textId="77777777" w:rsidR="00B838F3" w:rsidRDefault="00B838F3" w:rsidP="00B838F3">
      <w:pPr>
        <w:spacing w:before="200" w:after="240" w:line="240" w:lineRule="auto"/>
        <w:rPr>
          <w:rFonts w:ascii="Times New Roman" w:eastAsia="Times New Roman" w:hAnsi="Times New Roman" w:cs="Times New Roman"/>
          <w:sz w:val="24"/>
          <w:szCs w:val="24"/>
        </w:rPr>
      </w:pPr>
      <w:r w:rsidRPr="002760B4">
        <w:rPr>
          <w:rFonts w:ascii="Times New Roman" w:eastAsia="Times New Roman" w:hAnsi="Times New Roman" w:cs="Times New Roman"/>
          <w:sz w:val="24"/>
          <w:szCs w:val="24"/>
        </w:rPr>
        <w:t>SORDI, V. F.; CUNHA, C. J. C. A.; NAKAYAMA, M. K. Criação de conhecimento nas organizações: epistemologia, tipologia, facilitadores e barreiras. Perspectivas em Gestão &amp; Conhecimento, v. 7, n. 2, 2017.</w:t>
      </w:r>
    </w:p>
    <w:p w14:paraId="04037C8C" w14:textId="77777777" w:rsidR="00B838F3" w:rsidRPr="00A64A85" w:rsidRDefault="00B838F3" w:rsidP="00B838F3">
      <w:pPr>
        <w:spacing w:before="200" w:after="240" w:line="240" w:lineRule="auto"/>
        <w:rPr>
          <w:rFonts w:ascii="Times New Roman" w:eastAsia="Times New Roman" w:hAnsi="Times New Roman" w:cs="Times New Roman"/>
          <w:sz w:val="24"/>
          <w:szCs w:val="24"/>
          <w:lang w:val="en-US"/>
        </w:rPr>
      </w:pPr>
      <w:r w:rsidRPr="00A64A85">
        <w:rPr>
          <w:rFonts w:ascii="Times New Roman" w:eastAsia="Times New Roman" w:hAnsi="Times New Roman" w:cs="Times New Roman"/>
          <w:sz w:val="24"/>
          <w:szCs w:val="24"/>
        </w:rPr>
        <w:t xml:space="preserve">TERRA, J. C. C. Gestão do conhecimento: o grande desafio empresarial. </w:t>
      </w:r>
      <w:r w:rsidRPr="00A64A85">
        <w:rPr>
          <w:rFonts w:ascii="Times New Roman" w:eastAsia="Times New Roman" w:hAnsi="Times New Roman" w:cs="Times New Roman"/>
          <w:sz w:val="24"/>
          <w:szCs w:val="24"/>
          <w:lang w:val="en-US"/>
        </w:rPr>
        <w:t xml:space="preserve">1. ed. São Paulo: </w:t>
      </w:r>
      <w:proofErr w:type="spellStart"/>
      <w:r w:rsidRPr="00A64A85">
        <w:rPr>
          <w:rFonts w:ascii="Times New Roman" w:eastAsia="Times New Roman" w:hAnsi="Times New Roman" w:cs="Times New Roman"/>
          <w:sz w:val="24"/>
          <w:szCs w:val="24"/>
          <w:lang w:val="en-US"/>
        </w:rPr>
        <w:t>Negócio</w:t>
      </w:r>
      <w:proofErr w:type="spellEnd"/>
      <w:r w:rsidRPr="00A64A85">
        <w:rPr>
          <w:rFonts w:ascii="Times New Roman" w:eastAsia="Times New Roman" w:hAnsi="Times New Roman" w:cs="Times New Roman"/>
          <w:sz w:val="24"/>
          <w:szCs w:val="24"/>
          <w:lang w:val="en-US"/>
        </w:rPr>
        <w:t xml:space="preserve"> Editora, 2000.</w:t>
      </w:r>
    </w:p>
    <w:p w14:paraId="14CDBB89" w14:textId="77777777" w:rsidR="00B838F3" w:rsidRPr="00F75446" w:rsidRDefault="00B838F3" w:rsidP="00B838F3">
      <w:pPr>
        <w:spacing w:before="200" w:after="240" w:line="240" w:lineRule="auto"/>
        <w:rPr>
          <w:rFonts w:ascii="Times New Roman" w:eastAsia="Times New Roman" w:hAnsi="Times New Roman" w:cs="Times New Roman"/>
          <w:sz w:val="24"/>
          <w:szCs w:val="24"/>
          <w:lang w:val="en-US"/>
        </w:rPr>
      </w:pPr>
      <w:r w:rsidRPr="00A64A85">
        <w:rPr>
          <w:rFonts w:ascii="Times New Roman" w:eastAsia="Times New Roman" w:hAnsi="Times New Roman" w:cs="Times New Roman"/>
          <w:sz w:val="24"/>
          <w:szCs w:val="24"/>
          <w:lang w:val="en-US"/>
        </w:rPr>
        <w:t xml:space="preserve">WIIG, K. M. Knowledge management foundations: thinking about thinking – how people and organizations create, represent, and use knowledge. </w:t>
      </w:r>
      <w:r w:rsidRPr="00D92BA3">
        <w:rPr>
          <w:rFonts w:ascii="Times New Roman" w:eastAsia="Times New Roman" w:hAnsi="Times New Roman" w:cs="Times New Roman"/>
          <w:sz w:val="24"/>
          <w:szCs w:val="24"/>
          <w:lang w:val="en-US"/>
        </w:rPr>
        <w:t>Arlington: Schema Press, 1993.</w:t>
      </w:r>
    </w:p>
    <w:p w14:paraId="6CA8071B" w14:textId="307BF910"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52597EA"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sectPr w:rsidR="00D8471E" w:rsidSect="00B009E4">
      <w:headerReference w:type="default" r:id="rId11"/>
      <w:footerReference w:type="default" r:id="rId12"/>
      <w:headerReference w:type="first" r:id="rId13"/>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A017B" w14:textId="77777777" w:rsidR="00F364ED" w:rsidRDefault="00F364ED">
      <w:pPr>
        <w:spacing w:line="240" w:lineRule="auto"/>
      </w:pPr>
      <w:r>
        <w:separator/>
      </w:r>
    </w:p>
  </w:endnote>
  <w:endnote w:type="continuationSeparator" w:id="0">
    <w:p w14:paraId="03644D6A" w14:textId="77777777" w:rsidR="00F364ED" w:rsidRDefault="00F364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3C5A98-6723-4133-A8C9-9DC04F4E2A3C}"/>
  </w:font>
  <w:font w:name="Noto Sans">
    <w:charset w:val="00"/>
    <w:family w:val="swiss"/>
    <w:pitch w:val="variable"/>
    <w:sig w:usb0="E00082FF" w:usb1="400078FF" w:usb2="00000021" w:usb3="00000000" w:csb0="0000019F" w:csb1="00000000"/>
    <w:embedRegular r:id="rId2" w:fontKey="{7737E204-59E9-4E26-BA1E-7B0A27DE2E04}"/>
  </w:font>
  <w:font w:name="Noto Sans Symbols">
    <w:charset w:val="00"/>
    <w:family w:val="auto"/>
    <w:pitch w:val="default"/>
    <w:embedRegular r:id="rId3" w:fontKey="{601DE8A5-33D0-42B5-A141-286679D1E4A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DD1C8CB4-E9B4-40FE-88A8-2EC3D7F2E5E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B853B7D1-059F-430C-A845-0734FB72CF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0A6E0A8F" w:rsidR="00D8471E" w:rsidRDefault="006F452E" w:rsidP="00095A59">
    <w:pPr>
      <w:pBdr>
        <w:top w:val="nil"/>
        <w:left w:val="nil"/>
        <w:bottom w:val="nil"/>
        <w:right w:val="nil"/>
        <w:between w:val="nil"/>
      </w:pBdr>
      <w:tabs>
        <w:tab w:val="center" w:pos="4252"/>
        <w:tab w:val="right" w:pos="9029"/>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KM Brasil 2025 - 20º Congresso Brasileiro de Gestão do Conhecimento – kmbrasil.org</w:t>
    </w:r>
    <w:r w:rsidR="00095A59">
      <w:rPr>
        <w:rFonts w:ascii="Times New Roman" w:eastAsia="Times New Roman" w:hAnsi="Times New Roman" w:cs="Times New Roman"/>
        <w:color w:val="1F497D" w:themeColor="text2"/>
      </w:rPr>
      <w:tab/>
    </w:r>
    <w:r w:rsidRPr="00B009E4">
      <w:rPr>
        <w:rFonts w:ascii="Times New Roman" w:eastAsia="Times New Roman" w:hAnsi="Times New Roman" w:cs="Times New Roman"/>
        <w:color w:val="1F497D" w:themeColor="text2"/>
      </w:rPr>
      <w:t xml:space="preserve">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997615">
      <w:rPr>
        <w:rFonts w:ascii="Times New Roman" w:eastAsia="Times New Roman" w:hAnsi="Times New Roman" w:cs="Times New Roman"/>
        <w:noProof/>
        <w:color w:val="1F497D" w:themeColor="text2"/>
      </w:rPr>
      <w:t>19</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A7DD6" w14:textId="77777777" w:rsidR="00F364ED" w:rsidRDefault="00F364ED">
      <w:pPr>
        <w:spacing w:line="240" w:lineRule="auto"/>
      </w:pPr>
      <w:r>
        <w:separator/>
      </w:r>
    </w:p>
  </w:footnote>
  <w:footnote w:type="continuationSeparator" w:id="0">
    <w:p w14:paraId="648AACCA" w14:textId="77777777" w:rsidR="00F364ED" w:rsidRDefault="00F364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F4192"/>
    <w:multiLevelType w:val="hybridMultilevel"/>
    <w:tmpl w:val="A43CF9D0"/>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22F70D87"/>
    <w:multiLevelType w:val="hybridMultilevel"/>
    <w:tmpl w:val="2B98D01C"/>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44A2DA6"/>
    <w:multiLevelType w:val="hybridMultilevel"/>
    <w:tmpl w:val="FC480FD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3FDF0400"/>
    <w:multiLevelType w:val="hybridMultilevel"/>
    <w:tmpl w:val="6660F5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4716534A"/>
    <w:multiLevelType w:val="hybridMultilevel"/>
    <w:tmpl w:val="E46E04F8"/>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7784DDD"/>
    <w:multiLevelType w:val="hybridMultilevel"/>
    <w:tmpl w:val="B330D882"/>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823057C"/>
    <w:multiLevelType w:val="hybridMultilevel"/>
    <w:tmpl w:val="1F86A2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8255BC"/>
    <w:multiLevelType w:val="hybridMultilevel"/>
    <w:tmpl w:val="023AD5F0"/>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80A2196"/>
    <w:multiLevelType w:val="hybridMultilevel"/>
    <w:tmpl w:val="5C76B3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BDF69F3"/>
    <w:multiLevelType w:val="hybridMultilevel"/>
    <w:tmpl w:val="9710E984"/>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D0622C4"/>
    <w:multiLevelType w:val="hybridMultilevel"/>
    <w:tmpl w:val="D74CFFEA"/>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E91564B"/>
    <w:multiLevelType w:val="hybridMultilevel"/>
    <w:tmpl w:val="820CA37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822573779">
    <w:abstractNumId w:val="9"/>
  </w:num>
  <w:num w:numId="2" w16cid:durableId="1314607461">
    <w:abstractNumId w:val="6"/>
  </w:num>
  <w:num w:numId="3" w16cid:durableId="2005472778">
    <w:abstractNumId w:val="1"/>
  </w:num>
  <w:num w:numId="4" w16cid:durableId="962345756">
    <w:abstractNumId w:val="14"/>
  </w:num>
  <w:num w:numId="5" w16cid:durableId="267739761">
    <w:abstractNumId w:val="11"/>
  </w:num>
  <w:num w:numId="6" w16cid:durableId="1498493744">
    <w:abstractNumId w:val="3"/>
  </w:num>
  <w:num w:numId="7" w16cid:durableId="926771858">
    <w:abstractNumId w:val="4"/>
  </w:num>
  <w:num w:numId="8" w16cid:durableId="374433784">
    <w:abstractNumId w:val="8"/>
  </w:num>
  <w:num w:numId="9" w16cid:durableId="1630894190">
    <w:abstractNumId w:val="12"/>
  </w:num>
  <w:num w:numId="10" w16cid:durableId="1656452531">
    <w:abstractNumId w:val="0"/>
  </w:num>
  <w:num w:numId="11" w16cid:durableId="1872842438">
    <w:abstractNumId w:val="2"/>
  </w:num>
  <w:num w:numId="12" w16cid:durableId="173883062">
    <w:abstractNumId w:val="7"/>
  </w:num>
  <w:num w:numId="13" w16cid:durableId="446968633">
    <w:abstractNumId w:val="5"/>
  </w:num>
  <w:num w:numId="14" w16cid:durableId="2079790439">
    <w:abstractNumId w:val="13"/>
  </w:num>
  <w:num w:numId="15" w16cid:durableId="449201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95A59"/>
    <w:rsid w:val="00136729"/>
    <w:rsid w:val="00233D29"/>
    <w:rsid w:val="00421B29"/>
    <w:rsid w:val="00444B9C"/>
    <w:rsid w:val="00512D7C"/>
    <w:rsid w:val="006A4F8D"/>
    <w:rsid w:val="006F452E"/>
    <w:rsid w:val="00784E62"/>
    <w:rsid w:val="0092081D"/>
    <w:rsid w:val="00997615"/>
    <w:rsid w:val="00AC77F1"/>
    <w:rsid w:val="00B009E4"/>
    <w:rsid w:val="00B72C81"/>
    <w:rsid w:val="00B838F3"/>
    <w:rsid w:val="00C11C6D"/>
    <w:rsid w:val="00D8471E"/>
    <w:rsid w:val="00DD1E49"/>
    <w:rsid w:val="00F364ED"/>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B838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4F38E4A9-574A-4411-AACF-B619AC54C7F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8095</Words>
  <Characters>43714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Euro Marques</cp:lastModifiedBy>
  <cp:revision>4</cp:revision>
  <dcterms:created xsi:type="dcterms:W3CDTF">2025-08-31T23:56:00Z</dcterms:created>
  <dcterms:modified xsi:type="dcterms:W3CDTF">2025-09-05T01:04:00Z</dcterms:modified>
</cp:coreProperties>
</file>