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AE31D" w14:textId="77777777" w:rsidR="005A2FFD" w:rsidRDefault="005A2F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2977" w:type="dxa"/>
        <w:tblInd w:w="7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</w:tblGrid>
      <w:tr w:rsidR="005A2FFD" w14:paraId="24E01C23" w14:textId="77777777">
        <w:tc>
          <w:tcPr>
            <w:tcW w:w="2977" w:type="dxa"/>
          </w:tcPr>
          <w:p w14:paraId="72A7A7DF" w14:textId="77777777" w:rsidR="005A2FFD" w:rsidRDefault="008F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dobe Devanagari" w:eastAsia="Adobe Devanagari" w:hAnsi="Adobe Devanagari" w:cs="Adobe Devanagari"/>
                <w:b/>
                <w:i/>
                <w:color w:val="385623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dobe Devanagari" w:eastAsia="Adobe Devanagari" w:hAnsi="Adobe Devanagari" w:cs="Adobe Devanagari"/>
                <w:b/>
                <w:i/>
                <w:color w:val="385623"/>
                <w:sz w:val="24"/>
                <w:szCs w:val="24"/>
              </w:rPr>
              <w:t>Resumo simples</w:t>
            </w:r>
          </w:p>
        </w:tc>
      </w:tr>
    </w:tbl>
    <w:p w14:paraId="44A42396" w14:textId="77777777" w:rsidR="005A2FFD" w:rsidRDefault="005A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</w:p>
    <w:p w14:paraId="67F60629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</w:pPr>
      <w:bookmarkStart w:id="1" w:name="_heading=h.30j0zll" w:colFirst="0" w:colLast="0"/>
      <w:bookmarkEnd w:id="1"/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CONSTITUINTES QUÍMICOS E ATIVIDADE ANTIMICROBIANA DO ÓLEO ESSENCIAL DE </w:t>
      </w:r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>Cymbopogon winterianus</w:t>
      </w:r>
    </w:p>
    <w:p w14:paraId="64573679" w14:textId="77777777" w:rsidR="005A2FFD" w:rsidRDefault="005A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</w:p>
    <w:p w14:paraId="00D1A929" w14:textId="6F9CBB42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</w:pP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João Pedro Mesquita OLIVEIRA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1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*; Iure Bernardino SOUSA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2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; Nilton  Silva Costa  MAFRA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3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; Thayane Lopes de  SOUSA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4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; Ana Patrícia Matos  PEREIRA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5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; Thércia  Gabrielle Teixeira  MARTINS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6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; P</w:t>
      </w:r>
      <w:r w:rsidR="000F6EE5"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ulo Sérgio Santos JUNIOR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7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 xml:space="preserve">; Gustavo Oliveira EVERTON 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8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;</w:t>
      </w:r>
    </w:p>
    <w:p w14:paraId="06533E46" w14:textId="77777777" w:rsidR="005A2FFD" w:rsidRDefault="005A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b/>
          <w:color w:val="000000"/>
          <w:sz w:val="24"/>
          <w:szCs w:val="24"/>
        </w:rPr>
      </w:pPr>
    </w:p>
    <w:p w14:paraId="4288B5A2" w14:textId="77777777" w:rsidR="005A2FFD" w:rsidRDefault="005A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b/>
          <w:color w:val="000000"/>
          <w:sz w:val="24"/>
          <w:szCs w:val="24"/>
        </w:rPr>
      </w:pPr>
    </w:p>
    <w:p w14:paraId="11ACE1A7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>INTRODUÇÃO: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T</w:t>
      </w:r>
      <w:r>
        <w:rPr>
          <w:rFonts w:ascii="Adobe Devanagari" w:eastAsia="Adobe Devanagari" w:hAnsi="Adobe Devanagari" w:cs="Adobe Devanagari"/>
          <w:sz w:val="28"/>
          <w:szCs w:val="28"/>
        </w:rPr>
        <w:t>ê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m-se verificado o uso popular de plantas com a finalidade de obtenção dos mais variados efeitos medicamentosos, incluindo sua aplicação como antimicrobianos. A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Cymbopogon winterianus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, conhecida popularmente como citronela, é uma planta perene, pertencente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à família Poaceae sendo muito utilizada nas regiões tropicais do planeta, principalmente em função de suas propriedades aromáticas. O cultivo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C. winterianus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no Brasil toma importante espaço no </w:t>
      </w:r>
      <w:r>
        <w:rPr>
          <w:rFonts w:ascii="Adobe Devanagari" w:eastAsia="Adobe Devanagari" w:hAnsi="Adobe Devanagari" w:cs="Adobe Devanagari"/>
          <w:sz w:val="28"/>
          <w:szCs w:val="28"/>
        </w:rPr>
        <w:t>mercado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de produtos naturais, levando em consideração a gran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de procura pelo seu óleo essencial (OE) tanto no mercado interno quanto na exportação. Esta espécie é de grande uso popular como repelente de insetos, sendo largamente utilizado nas regiões litorâneas no Brasil e também por populações ribeirinhas no interi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or do país, seu óleo é importante matéria prima para a produção de geraniol, citronela e hidróxi-citronelal e é largamente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nas indústrias de perfumes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. OBJETIVO: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Determinar os constituintes químicos e investigar a ação antimicrobiana do OE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C. winterianus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.;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 MATERIAL E MÉTODOS: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As folhas foram coletadas no município de São Luís (MA), secas e trituradas. Foram utilizadas 100g das folhas secas, adicionando-se água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lastRenderedPageBreak/>
        <w:t>destilada (1:10) para extração do OE por hidrodestilação. Os constituintes químicos foram obtido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s por cromatografia gasosa acoplada a espectrometria de massas (CG/EM). A atividade antimicrobiana foi executada segundo as técnicas do CLSI, utilizando-se suspensões padronizadas de cepas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Escherichia coli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(ATCC 25922) 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Staphylococcus aureus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(ATCC 2592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3). Utilizou-se as técnicas de Difusão de Disco, Diluição em Caldo para Concentração Inibitória Mínima (CIM) e Bactericida Mínima (CBM).;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 RESULTADOS: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Foram identificados como compostos majoritários neral (31,12%), citronelal (25,14%) e citronelol (19,15%).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O OE possui atividade bactericida, sendo mais eficiente frente a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S. aureus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(HI = 23 mm) quando comparado a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E. coli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(HI = 21 mm). O valor da CIM do OE frente às cepas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E. coli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e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 S. aureus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foram de 210 e 170 µg mL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perscript"/>
        </w:rPr>
        <w:t>-1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. O ensaio para CBM demonstrou melhores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resultados frente a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E. coli,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observando-se ação bactericida a partir de 350 µg mL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perscript"/>
        </w:rPr>
        <w:t>-1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e a partir de 320 µg mL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perscript"/>
        </w:rPr>
        <w:t>-1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para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S. aureus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.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>; CONSIDERAÇÕES FINAIS: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Os resultados descritos corroboram com a literatura, pois comprovam que esse efeito tem um valor satisfatório para o OE em estudo, sendo a ação atribuída aos principais componentes químicos presentes no OE.</w:t>
      </w:r>
    </w:p>
    <w:p w14:paraId="30597712" w14:textId="77777777" w:rsidR="005A2FFD" w:rsidRDefault="005A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</w:p>
    <w:p w14:paraId="7339B83D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PALAVRAS-CHAVE: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Antimicrobiana; Cromatografia; Ó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leo essencial</w:t>
      </w:r>
      <w:r>
        <w:rPr>
          <w:rFonts w:ascii="Adobe Devanagari" w:eastAsia="Adobe Devanagari" w:hAnsi="Adobe Devanagari" w:cs="Adobe Devanagari"/>
          <w:sz w:val="28"/>
          <w:szCs w:val="28"/>
        </w:rPr>
        <w:t>.</w:t>
      </w:r>
    </w:p>
    <w:p w14:paraId="085E000A" w14:textId="77777777" w:rsidR="005A2FFD" w:rsidRDefault="005A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b/>
          <w:color w:val="000000"/>
          <w:sz w:val="24"/>
          <w:szCs w:val="24"/>
        </w:rPr>
      </w:pPr>
    </w:p>
    <w:sectPr w:rsidR="005A2FFD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94C4" w14:textId="77777777" w:rsidR="008F573C" w:rsidRDefault="008F573C">
      <w:pPr>
        <w:spacing w:after="0" w:line="240" w:lineRule="auto"/>
      </w:pPr>
      <w:r>
        <w:separator/>
      </w:r>
    </w:p>
  </w:endnote>
  <w:endnote w:type="continuationSeparator" w:id="0">
    <w:p w14:paraId="421B4599" w14:textId="77777777" w:rsidR="008F573C" w:rsidRDefault="008F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A0F07" w14:textId="77777777" w:rsidR="005A2FFD" w:rsidRDefault="008F57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40F51B8" wp14:editId="4ABEE23A">
          <wp:simplePos x="0" y="0"/>
          <wp:positionH relativeFrom="column">
            <wp:posOffset>-720089</wp:posOffset>
          </wp:positionH>
          <wp:positionV relativeFrom="paragraph">
            <wp:posOffset>-272565</wp:posOffset>
          </wp:positionV>
          <wp:extent cx="7825740" cy="872490"/>
          <wp:effectExtent l="0" t="0" r="0" b="0"/>
          <wp:wrapSquare wrapText="bothSides" distT="0" distB="0" distL="0" distR="0"/>
          <wp:docPr id="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2150" b="2416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FE9C9" w14:textId="77777777" w:rsidR="008F573C" w:rsidRDefault="008F573C">
      <w:pPr>
        <w:spacing w:after="0" w:line="240" w:lineRule="auto"/>
      </w:pPr>
      <w:r>
        <w:separator/>
      </w:r>
    </w:p>
  </w:footnote>
  <w:footnote w:type="continuationSeparator" w:id="0">
    <w:p w14:paraId="7659193F" w14:textId="77777777" w:rsidR="008F573C" w:rsidRDefault="008F573C">
      <w:pPr>
        <w:spacing w:after="0" w:line="240" w:lineRule="auto"/>
      </w:pPr>
      <w:r>
        <w:continuationSeparator/>
      </w:r>
    </w:p>
  </w:footnote>
  <w:footnote w:id="1">
    <w:p w14:paraId="17F9A882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>* autor correspondente; Universidade Federal do Maranhão; joao-p01@live.com;</w:t>
      </w:r>
    </w:p>
  </w:footnote>
  <w:footnote w:id="2">
    <w:p w14:paraId="5FC24A1B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iurebdes@gmail.com;</w:t>
      </w:r>
    </w:p>
  </w:footnote>
  <w:footnote w:id="3">
    <w:p w14:paraId="3BA1E791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nilton.mafra@hotmail.com;</w:t>
      </w:r>
    </w:p>
  </w:footnote>
  <w:footnote w:id="4">
    <w:p w14:paraId="4D3D85E2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thay33@gmail.com;</w:t>
      </w:r>
    </w:p>
  </w:footnote>
  <w:footnote w:id="5">
    <w:p w14:paraId="4C4611A2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ap.matos11@hotmail.com;</w:t>
      </w:r>
    </w:p>
  </w:footnote>
  <w:footnote w:id="6">
    <w:p w14:paraId="371F4839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thercia.martins@hotmail.com;</w:t>
      </w:r>
    </w:p>
  </w:footnote>
  <w:footnote w:id="7">
    <w:p w14:paraId="46227A6A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</w:t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>ederal Do Maranhão; psrj08@gmail.com;</w:t>
      </w:r>
    </w:p>
  </w:footnote>
  <w:footnote w:id="8">
    <w:p w14:paraId="33BF07D4" w14:textId="77777777" w:rsidR="005A2FFD" w:rsidRDefault="008F5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gustavooliveiraeverton@gmail.com;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8C869" w14:textId="77777777" w:rsidR="005A2FFD" w:rsidRDefault="008F57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C9CF55" wp14:editId="0223D782">
          <wp:simplePos x="0" y="0"/>
          <wp:positionH relativeFrom="column">
            <wp:posOffset>-720088</wp:posOffset>
          </wp:positionH>
          <wp:positionV relativeFrom="paragraph">
            <wp:posOffset>-90169</wp:posOffset>
          </wp:positionV>
          <wp:extent cx="7562850" cy="2053590"/>
          <wp:effectExtent l="0" t="0" r="0" b="0"/>
          <wp:wrapSquare wrapText="bothSides" distT="0" distB="0" distL="114300" distR="114300"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2102" b="25982"/>
                  <a:stretch>
                    <a:fillRect/>
                  </a:stretch>
                </pic:blipFill>
                <pic:spPr>
                  <a:xfrm>
                    <a:off x="0" y="0"/>
                    <a:ext cx="7562850" cy="2053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FD"/>
    <w:rsid w:val="000F6EE5"/>
    <w:rsid w:val="005A2FFD"/>
    <w:rsid w:val="008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C9B2"/>
  <w15:docId w15:val="{1EA246C9-D288-4A9C-BE94-E4C489EA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0E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E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E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E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E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E01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cjdw0n3c3IA+ywsrhKwIl32Jg==">AMUW2mV/hSwiwWUvKjlAGfaG34hNofq3iQNTgAgomeoRYTLITkVxPFaztZR42zqvqlQnh3E90ipMJnwKfKcCrbXCpWbXRDy+Sq+AoSqDzfypdrplZegzOHjEQNAuu45gRoP4z3fygCWs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Everton Holanda</cp:lastModifiedBy>
  <cp:revision>2</cp:revision>
  <dcterms:created xsi:type="dcterms:W3CDTF">2020-11-24T15:00:00Z</dcterms:created>
  <dcterms:modified xsi:type="dcterms:W3CDTF">2020-11-28T01:03:00Z</dcterms:modified>
</cp:coreProperties>
</file>