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5DD4" w14:textId="77777777" w:rsidR="008306FE" w:rsidRDefault="008306FE">
      <w:pPr>
        <w:spacing w:line="240" w:lineRule="auto"/>
        <w:jc w:val="both"/>
        <w:rPr>
          <w:rFonts w:eastAsia="Times New Roman"/>
          <w:b/>
          <w:sz w:val="20"/>
          <w:szCs w:val="20"/>
          <w:lang w:val="pt-BR"/>
        </w:rPr>
      </w:pPr>
    </w:p>
    <w:p w14:paraId="47FBF3EF" w14:textId="4578DD9D" w:rsidR="003E0D7E" w:rsidRDefault="00BB0F58">
      <w:pPr>
        <w:spacing w:line="240" w:lineRule="auto"/>
        <w:jc w:val="both"/>
        <w:rPr>
          <w:rFonts w:eastAsia="Times New Roman"/>
          <w:b/>
          <w:sz w:val="20"/>
          <w:szCs w:val="20"/>
          <w:lang w:val="pt-BR"/>
        </w:rPr>
      </w:pPr>
      <w:r>
        <w:rPr>
          <w:rFonts w:eastAsia="Times New Roman"/>
          <w:b/>
          <w:sz w:val="20"/>
          <w:szCs w:val="20"/>
          <w:lang w:val="pt-BR"/>
        </w:rPr>
        <w:t>ARÉA TEMÁTICA:</w:t>
      </w:r>
      <w:r w:rsidR="0099535E">
        <w:rPr>
          <w:rFonts w:eastAsia="Times New Roman"/>
          <w:b/>
          <w:sz w:val="20"/>
          <w:szCs w:val="20"/>
          <w:lang w:val="pt-BR"/>
        </w:rPr>
        <w:t xml:space="preserve"> Ecologia</w:t>
      </w:r>
    </w:p>
    <w:p w14:paraId="27C9ED52" w14:textId="129AB5F7" w:rsidR="003E0D7E" w:rsidRDefault="00BB0F58">
      <w:pPr>
        <w:spacing w:line="240" w:lineRule="auto"/>
        <w:jc w:val="both"/>
        <w:rPr>
          <w:rFonts w:eastAsia="Times New Roman"/>
          <w:b/>
          <w:sz w:val="20"/>
          <w:szCs w:val="20"/>
          <w:lang w:val="pt-BR"/>
        </w:rPr>
      </w:pPr>
      <w:r>
        <w:rPr>
          <w:rFonts w:eastAsia="Times New Roman"/>
          <w:b/>
          <w:sz w:val="20"/>
          <w:szCs w:val="20"/>
          <w:lang w:val="pt-BR"/>
        </w:rPr>
        <w:t>SUBÁREA TEMÁTICA:</w:t>
      </w:r>
      <w:r w:rsidR="0099535E">
        <w:rPr>
          <w:rFonts w:eastAsia="Times New Roman"/>
          <w:b/>
          <w:sz w:val="20"/>
          <w:szCs w:val="20"/>
          <w:lang w:val="pt-BR"/>
        </w:rPr>
        <w:t xml:space="preserve"> </w:t>
      </w:r>
      <w:r w:rsidR="0027637D">
        <w:rPr>
          <w:rFonts w:eastAsia="Times New Roman"/>
          <w:b/>
          <w:sz w:val="20"/>
          <w:szCs w:val="20"/>
          <w:lang w:val="pt-BR"/>
        </w:rPr>
        <w:t>Invertebrados</w:t>
      </w:r>
    </w:p>
    <w:p w14:paraId="08A21FEF" w14:textId="77777777" w:rsidR="003E0D7E" w:rsidRDefault="003E0D7E">
      <w:pPr>
        <w:spacing w:line="240" w:lineRule="auto"/>
        <w:jc w:val="both"/>
        <w:rPr>
          <w:rFonts w:eastAsia="Times New Roman"/>
          <w:b/>
          <w:sz w:val="20"/>
          <w:szCs w:val="20"/>
        </w:rPr>
      </w:pPr>
    </w:p>
    <w:p w14:paraId="4EAFCFB1" w14:textId="77777777" w:rsidR="003E0D7E" w:rsidRDefault="003E0D7E">
      <w:pPr>
        <w:spacing w:line="240" w:lineRule="auto"/>
        <w:jc w:val="center"/>
        <w:rPr>
          <w:rFonts w:eastAsia="Times New Roman"/>
          <w:b/>
          <w:sz w:val="20"/>
          <w:szCs w:val="20"/>
        </w:rPr>
      </w:pPr>
    </w:p>
    <w:p w14:paraId="49BF9829" w14:textId="6EFCF63F" w:rsidR="003E0D7E" w:rsidRDefault="00571A60" w:rsidP="00571A60">
      <w:pPr>
        <w:spacing w:line="240" w:lineRule="auto"/>
        <w:jc w:val="center"/>
        <w:rPr>
          <w:rFonts w:eastAsia="Times New Roman"/>
          <w:b/>
          <w:sz w:val="20"/>
          <w:szCs w:val="20"/>
          <w:lang w:val="pt-BR"/>
        </w:rPr>
      </w:pPr>
      <w:r>
        <w:rPr>
          <w:rFonts w:eastAsia="Times New Roman"/>
          <w:b/>
          <w:sz w:val="20"/>
          <w:szCs w:val="20"/>
          <w:lang w:val="pt-BR"/>
        </w:rPr>
        <w:t xml:space="preserve">COMUNIDADE ZOOPLANCTÔNICA EM ÁREAS SOB INFLUÊNCIA </w:t>
      </w:r>
      <w:r w:rsidRPr="00571A60">
        <w:rPr>
          <w:rFonts w:eastAsia="Times New Roman"/>
          <w:b/>
          <w:sz w:val="20"/>
          <w:szCs w:val="20"/>
          <w:lang w:val="pt-BR"/>
        </w:rPr>
        <w:t>D</w:t>
      </w:r>
      <w:r>
        <w:rPr>
          <w:rFonts w:eastAsia="Times New Roman"/>
          <w:b/>
          <w:sz w:val="20"/>
          <w:szCs w:val="20"/>
          <w:lang w:val="pt-BR"/>
        </w:rPr>
        <w:t>E</w:t>
      </w:r>
      <w:r w:rsidRPr="00571A60">
        <w:rPr>
          <w:rFonts w:eastAsia="Times New Roman"/>
          <w:b/>
          <w:sz w:val="20"/>
          <w:szCs w:val="20"/>
          <w:lang w:val="pt-BR"/>
        </w:rPr>
        <w:t xml:space="preserve"> </w:t>
      </w:r>
      <w:r w:rsidR="00C467A9">
        <w:rPr>
          <w:rFonts w:eastAsia="Times New Roman"/>
          <w:b/>
          <w:sz w:val="20"/>
          <w:szCs w:val="20"/>
          <w:lang w:val="pt-BR"/>
        </w:rPr>
        <w:t xml:space="preserve">UMA </w:t>
      </w:r>
      <w:r>
        <w:rPr>
          <w:rFonts w:eastAsia="Times New Roman"/>
          <w:b/>
          <w:sz w:val="20"/>
          <w:szCs w:val="20"/>
          <w:lang w:val="pt-BR"/>
        </w:rPr>
        <w:t xml:space="preserve">USINA TERMOELÉTRICA EM SUAPE </w:t>
      </w:r>
      <w:r w:rsidR="004B4B92">
        <w:rPr>
          <w:rFonts w:eastAsia="Times New Roman"/>
          <w:b/>
          <w:sz w:val="20"/>
          <w:szCs w:val="20"/>
          <w:lang w:val="pt-BR"/>
        </w:rPr>
        <w:t>–</w:t>
      </w:r>
      <w:r>
        <w:rPr>
          <w:rFonts w:eastAsia="Times New Roman"/>
          <w:b/>
          <w:sz w:val="20"/>
          <w:szCs w:val="20"/>
          <w:lang w:val="pt-BR"/>
        </w:rPr>
        <w:t xml:space="preserve"> PE</w:t>
      </w:r>
    </w:p>
    <w:p w14:paraId="6D5733A4" w14:textId="77777777" w:rsidR="004B4B92" w:rsidRDefault="004B4B92" w:rsidP="00571A60">
      <w:pPr>
        <w:spacing w:line="240" w:lineRule="auto"/>
        <w:jc w:val="center"/>
        <w:rPr>
          <w:rFonts w:eastAsia="Times New Roman"/>
          <w:b/>
          <w:sz w:val="20"/>
          <w:szCs w:val="20"/>
          <w:lang w:val="pt-BR"/>
        </w:rPr>
      </w:pPr>
    </w:p>
    <w:p w14:paraId="797FB04A" w14:textId="2E6BA05B" w:rsidR="004B4B92" w:rsidRPr="00656030" w:rsidRDefault="004B4B92" w:rsidP="004B4B92">
      <w:pPr>
        <w:spacing w:line="240" w:lineRule="auto"/>
        <w:jc w:val="center"/>
        <w:rPr>
          <w:rFonts w:eastAsiaTheme="minorEastAsia"/>
          <w:sz w:val="20"/>
          <w:szCs w:val="20"/>
          <w:lang w:val="pt-BR" w:eastAsia="zh-CN"/>
        </w:rPr>
      </w:pPr>
      <w:r w:rsidRPr="00656030">
        <w:rPr>
          <w:rFonts w:eastAsia="Times New Roman"/>
          <w:sz w:val="20"/>
          <w:szCs w:val="20"/>
          <w:lang w:val="pt-BR"/>
        </w:rPr>
        <w:t xml:space="preserve">Virgínia </w:t>
      </w:r>
      <w:proofErr w:type="spellStart"/>
      <w:r w:rsidRPr="00656030">
        <w:rPr>
          <w:rFonts w:eastAsia="Times New Roman"/>
          <w:sz w:val="20"/>
          <w:szCs w:val="20"/>
          <w:lang w:val="pt-BR"/>
        </w:rPr>
        <w:t>Rayanne</w:t>
      </w:r>
      <w:proofErr w:type="spellEnd"/>
      <w:r w:rsidRPr="00656030">
        <w:rPr>
          <w:rFonts w:eastAsia="Times New Roman"/>
          <w:sz w:val="20"/>
          <w:szCs w:val="20"/>
          <w:lang w:val="pt-BR"/>
        </w:rPr>
        <w:t xml:space="preserve"> Soares de Souza</w:t>
      </w:r>
      <w:r w:rsidRPr="00656030">
        <w:rPr>
          <w:rFonts w:eastAsia="Times New Roman"/>
          <w:sz w:val="20"/>
          <w:szCs w:val="20"/>
          <w:vertAlign w:val="superscript"/>
          <w:lang w:val="pt-BR"/>
        </w:rPr>
        <w:t>1</w:t>
      </w:r>
      <w:r>
        <w:rPr>
          <w:rFonts w:eastAsia="Times New Roman"/>
          <w:sz w:val="20"/>
          <w:szCs w:val="20"/>
        </w:rPr>
        <w:t xml:space="preserve">, </w:t>
      </w:r>
      <w:r w:rsidRPr="00656030">
        <w:rPr>
          <w:rFonts w:eastAsia="Times New Roman"/>
          <w:sz w:val="20"/>
          <w:szCs w:val="20"/>
        </w:rPr>
        <w:t>Jéssica Cristina Mendes de Oliveira</w:t>
      </w:r>
      <w:r>
        <w:rPr>
          <w:rFonts w:eastAsia="Times New Roman"/>
          <w:sz w:val="20"/>
          <w:szCs w:val="20"/>
          <w:vertAlign w:val="superscript"/>
          <w:lang w:val="pt-BR"/>
        </w:rPr>
        <w:t>2</w:t>
      </w:r>
      <w:r>
        <w:rPr>
          <w:rFonts w:eastAsia="Times New Roman"/>
          <w:sz w:val="20"/>
          <w:szCs w:val="20"/>
          <w:lang w:val="pt-BR"/>
        </w:rPr>
        <w:t>, Larissa Felix de Lucena</w:t>
      </w:r>
      <w:r w:rsidRPr="00656030">
        <w:rPr>
          <w:rFonts w:eastAsia="Times New Roman"/>
          <w:sz w:val="20"/>
          <w:szCs w:val="20"/>
          <w:vertAlign w:val="superscript"/>
          <w:lang w:val="pt-BR"/>
        </w:rPr>
        <w:t>3</w:t>
      </w:r>
      <w:r>
        <w:rPr>
          <w:rFonts w:eastAsia="Times New Roman"/>
          <w:sz w:val="20"/>
          <w:szCs w:val="20"/>
          <w:lang w:val="pt-BR"/>
        </w:rPr>
        <w:t>, Renata</w:t>
      </w:r>
      <w:r w:rsidRPr="00656030">
        <w:rPr>
          <w:rFonts w:eastAsia="Times New Roman"/>
          <w:sz w:val="20"/>
          <w:szCs w:val="20"/>
          <w:lang w:val="pt-BR"/>
        </w:rPr>
        <w:t xml:space="preserve"> Laranjeiras Gouveia</w:t>
      </w:r>
      <w:r>
        <w:rPr>
          <w:rFonts w:eastAsia="Times New Roman"/>
          <w:sz w:val="20"/>
          <w:szCs w:val="20"/>
          <w:vertAlign w:val="superscript"/>
          <w:lang w:val="pt-BR"/>
        </w:rPr>
        <w:t>4</w:t>
      </w:r>
      <w:r>
        <w:rPr>
          <w:rFonts w:eastAsia="Times New Roman"/>
          <w:sz w:val="20"/>
          <w:szCs w:val="20"/>
          <w:lang w:val="pt-BR"/>
        </w:rPr>
        <w:t>,</w:t>
      </w:r>
      <w:r>
        <w:rPr>
          <w:rFonts w:eastAsia="Times New Roman"/>
          <w:sz w:val="20"/>
          <w:szCs w:val="20"/>
          <w:lang w:val="pt-BR"/>
        </w:rPr>
        <w:t xml:space="preserve"> </w:t>
      </w:r>
      <w:r w:rsidRPr="004B4B92">
        <w:rPr>
          <w:rFonts w:eastAsia="Times New Roman"/>
          <w:sz w:val="20"/>
          <w:szCs w:val="20"/>
          <w:lang w:val="pt-BR"/>
        </w:rPr>
        <w:t>Camila Ferreira Alves</w:t>
      </w:r>
      <w:r>
        <w:rPr>
          <w:rFonts w:eastAsia="Times New Roman"/>
          <w:sz w:val="20"/>
          <w:szCs w:val="20"/>
          <w:vertAlign w:val="superscript"/>
          <w:lang w:val="pt-BR"/>
        </w:rPr>
        <w:t>5</w:t>
      </w:r>
      <w:r>
        <w:rPr>
          <w:rFonts w:eastAsia="Times New Roman"/>
          <w:sz w:val="20"/>
          <w:szCs w:val="20"/>
          <w:lang w:val="pt-BR"/>
        </w:rPr>
        <w:t>,</w:t>
      </w:r>
      <w:r w:rsidRPr="004B4B92">
        <w:rPr>
          <w:rFonts w:eastAsia="Times New Roman"/>
          <w:color w:val="000000"/>
          <w:lang w:val="pt-BR"/>
        </w:rPr>
        <w:t xml:space="preserve"> </w:t>
      </w:r>
      <w:r w:rsidRPr="004B4B92">
        <w:rPr>
          <w:rFonts w:eastAsia="Times New Roman"/>
          <w:sz w:val="20"/>
          <w:szCs w:val="20"/>
          <w:lang w:val="pt-BR"/>
        </w:rPr>
        <w:t>Ícaro César Ferreira Chaves</w:t>
      </w:r>
      <w:r>
        <w:rPr>
          <w:rFonts w:eastAsia="Times New Roman"/>
          <w:sz w:val="20"/>
          <w:szCs w:val="20"/>
          <w:vertAlign w:val="superscript"/>
          <w:lang w:val="pt-BR"/>
        </w:rPr>
        <w:t>6</w:t>
      </w:r>
      <w:r>
        <w:rPr>
          <w:rFonts w:eastAsia="Times New Roman"/>
          <w:sz w:val="20"/>
          <w:szCs w:val="20"/>
          <w:lang w:val="pt-BR"/>
        </w:rPr>
        <w:t>,</w:t>
      </w:r>
      <w:r>
        <w:rPr>
          <w:rFonts w:eastAsia="Times New Roman"/>
          <w:sz w:val="20"/>
          <w:szCs w:val="20"/>
          <w:lang w:val="pt-BR"/>
        </w:rPr>
        <w:t xml:space="preserve"> </w:t>
      </w:r>
      <w:r w:rsidRPr="00656030">
        <w:rPr>
          <w:rFonts w:eastAsia="Times New Roman"/>
          <w:sz w:val="20"/>
          <w:szCs w:val="20"/>
          <w:lang w:val="pt-BR"/>
        </w:rPr>
        <w:t>Múcio Luiz Banja Fernandes</w:t>
      </w:r>
      <w:r>
        <w:rPr>
          <w:rFonts w:eastAsia="Times New Roman"/>
          <w:sz w:val="20"/>
          <w:szCs w:val="20"/>
          <w:vertAlign w:val="superscript"/>
          <w:lang w:val="pt-BR"/>
        </w:rPr>
        <w:t>7</w:t>
      </w:r>
    </w:p>
    <w:p w14:paraId="329B0C2E" w14:textId="77777777" w:rsidR="004B4B92" w:rsidRDefault="004B4B92" w:rsidP="004B4B92">
      <w:pPr>
        <w:spacing w:line="240" w:lineRule="auto"/>
        <w:jc w:val="center"/>
        <w:rPr>
          <w:rFonts w:eastAsia="Times New Roman"/>
          <w:sz w:val="20"/>
          <w:szCs w:val="20"/>
        </w:rPr>
      </w:pPr>
      <w:r>
        <w:rPr>
          <w:rFonts w:eastAsia="Times New Roman"/>
          <w:sz w:val="20"/>
          <w:szCs w:val="20"/>
        </w:rPr>
        <w:t xml:space="preserve">¹ Universidade </w:t>
      </w:r>
      <w:r>
        <w:rPr>
          <w:rFonts w:eastAsia="Times New Roman"/>
          <w:sz w:val="20"/>
          <w:szCs w:val="20"/>
          <w:lang w:val="pt-BR"/>
        </w:rPr>
        <w:t xml:space="preserve">de Pernambuco </w:t>
      </w:r>
      <w:r>
        <w:rPr>
          <w:rFonts w:eastAsia="Times New Roman"/>
          <w:sz w:val="20"/>
          <w:szCs w:val="20"/>
        </w:rPr>
        <w:t>(</w:t>
      </w:r>
      <w:r>
        <w:rPr>
          <w:rFonts w:eastAsia="Times New Roman"/>
          <w:sz w:val="20"/>
          <w:szCs w:val="20"/>
          <w:lang w:val="pt-BR"/>
        </w:rPr>
        <w:t>UPE</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Recife</w:t>
      </w:r>
      <w:r>
        <w:rPr>
          <w:rFonts w:eastAsia="Times New Roman"/>
          <w:iCs/>
          <w:sz w:val="20"/>
          <w:szCs w:val="20"/>
        </w:rPr>
        <w:t>.</w:t>
      </w:r>
      <w:r>
        <w:rPr>
          <w:rFonts w:eastAsia="Times New Roman"/>
          <w:sz w:val="20"/>
          <w:szCs w:val="20"/>
        </w:rPr>
        <w:t xml:space="preserve"> E-mail: </w:t>
      </w:r>
      <w:r w:rsidRPr="0099535E">
        <w:rPr>
          <w:rFonts w:eastAsia="Times New Roman"/>
          <w:sz w:val="20"/>
          <w:szCs w:val="20"/>
        </w:rPr>
        <w:t>virginia.souza@iati.org.br</w:t>
      </w:r>
    </w:p>
    <w:p w14:paraId="012F1FF3" w14:textId="77777777" w:rsidR="004B4B92" w:rsidRDefault="004B4B92" w:rsidP="004B4B92">
      <w:pPr>
        <w:spacing w:line="240" w:lineRule="auto"/>
        <w:jc w:val="center"/>
        <w:rPr>
          <w:rFonts w:eastAsiaTheme="minorEastAsia"/>
          <w:sz w:val="20"/>
          <w:szCs w:val="20"/>
          <w:lang w:eastAsia="zh-CN"/>
        </w:rPr>
      </w:pPr>
      <w:r>
        <w:rPr>
          <w:rFonts w:eastAsia="Times New Roman"/>
          <w:sz w:val="20"/>
          <w:szCs w:val="20"/>
        </w:rPr>
        <w:t xml:space="preserve">² Universidade </w:t>
      </w:r>
      <w:r>
        <w:rPr>
          <w:rFonts w:eastAsia="Times New Roman"/>
          <w:sz w:val="20"/>
          <w:szCs w:val="20"/>
          <w:lang w:val="pt-BR"/>
        </w:rPr>
        <w:t xml:space="preserve">de Pernambuco </w:t>
      </w:r>
      <w:r>
        <w:rPr>
          <w:rFonts w:eastAsia="Times New Roman"/>
          <w:sz w:val="20"/>
          <w:szCs w:val="20"/>
        </w:rPr>
        <w:t>(</w:t>
      </w:r>
      <w:r>
        <w:rPr>
          <w:rFonts w:eastAsia="Times New Roman"/>
          <w:sz w:val="20"/>
          <w:szCs w:val="20"/>
          <w:lang w:val="pt-BR"/>
        </w:rPr>
        <w:t>UPE</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Recife</w:t>
      </w:r>
      <w:r>
        <w:rPr>
          <w:rFonts w:eastAsia="Times New Roman"/>
          <w:i/>
          <w:sz w:val="20"/>
          <w:szCs w:val="20"/>
          <w:lang w:val="pt-BR"/>
        </w:rPr>
        <w:t xml:space="preserve">. </w:t>
      </w:r>
      <w:r>
        <w:rPr>
          <w:rFonts w:eastAsia="Times New Roman"/>
          <w:sz w:val="20"/>
          <w:szCs w:val="20"/>
        </w:rPr>
        <w:t xml:space="preserve">E-mail: </w:t>
      </w:r>
      <w:proofErr w:type="spellStart"/>
      <w:r w:rsidRPr="0099535E">
        <w:rPr>
          <w:rFonts w:eastAsia="Times New Roman"/>
          <w:sz w:val="20"/>
          <w:szCs w:val="20"/>
          <w:lang w:val="pt-BR"/>
        </w:rPr>
        <w:t>jessica.mendes</w:t>
      </w:r>
      <w:proofErr w:type="spellEnd"/>
      <w:r w:rsidRPr="0099535E">
        <w:rPr>
          <w:rFonts w:eastAsia="Times New Roman"/>
          <w:sz w:val="20"/>
          <w:szCs w:val="20"/>
        </w:rPr>
        <w:t>@iati.org.br</w:t>
      </w:r>
    </w:p>
    <w:p w14:paraId="07E95B96" w14:textId="77777777" w:rsidR="004B4B92" w:rsidRDefault="004B4B92" w:rsidP="004B4B92">
      <w:pPr>
        <w:spacing w:line="240" w:lineRule="auto"/>
        <w:jc w:val="center"/>
        <w:rPr>
          <w:rFonts w:eastAsiaTheme="minorEastAsia"/>
          <w:sz w:val="20"/>
          <w:szCs w:val="20"/>
          <w:lang w:val="pt-BR" w:eastAsia="zh-CN"/>
        </w:rPr>
      </w:pPr>
      <w:r>
        <w:rPr>
          <w:rFonts w:eastAsiaTheme="minorEastAsia"/>
          <w:sz w:val="20"/>
          <w:szCs w:val="20"/>
          <w:vertAlign w:val="superscript"/>
          <w:lang w:val="pt-BR" w:eastAsia="zh-CN"/>
        </w:rPr>
        <w:t xml:space="preserve">3 </w:t>
      </w:r>
      <w:r>
        <w:rPr>
          <w:rFonts w:eastAsiaTheme="minorEastAsia"/>
          <w:sz w:val="20"/>
          <w:szCs w:val="20"/>
          <w:lang w:val="pt-BR" w:eastAsia="zh-CN"/>
        </w:rPr>
        <w:t xml:space="preserve">Instituto Avançado de Tecnologia e Inovação (IATI), Recife. Email: </w:t>
      </w:r>
      <w:r w:rsidRPr="0099535E">
        <w:rPr>
          <w:rFonts w:eastAsiaTheme="minorEastAsia"/>
          <w:sz w:val="20"/>
          <w:szCs w:val="20"/>
          <w:lang w:val="pt-BR" w:eastAsia="zh-CN"/>
        </w:rPr>
        <w:t>larissa.lucena@iati.org.br</w:t>
      </w:r>
    </w:p>
    <w:p w14:paraId="1E6B46B6" w14:textId="384CD0F4" w:rsidR="004B4B92" w:rsidRDefault="004B4B92" w:rsidP="004B4B92">
      <w:pPr>
        <w:spacing w:line="240" w:lineRule="auto"/>
        <w:jc w:val="center"/>
        <w:rPr>
          <w:rFonts w:eastAsiaTheme="minorEastAsia"/>
          <w:sz w:val="20"/>
          <w:szCs w:val="20"/>
          <w:lang w:val="pt-BR" w:eastAsia="zh-CN"/>
        </w:rPr>
      </w:pPr>
      <w:r w:rsidRPr="0099535E">
        <w:rPr>
          <w:rFonts w:eastAsiaTheme="minorEastAsia"/>
          <w:sz w:val="20"/>
          <w:szCs w:val="20"/>
          <w:vertAlign w:val="superscript"/>
          <w:lang w:val="pt-BR" w:eastAsia="zh-CN"/>
        </w:rPr>
        <w:t>4</w:t>
      </w:r>
      <w:r>
        <w:rPr>
          <w:rFonts w:eastAsiaTheme="minorEastAsia"/>
          <w:sz w:val="20"/>
          <w:szCs w:val="20"/>
          <w:vertAlign w:val="superscript"/>
          <w:lang w:val="pt-BR" w:eastAsia="zh-CN"/>
        </w:rPr>
        <w:t xml:space="preserve"> </w:t>
      </w:r>
      <w:r>
        <w:rPr>
          <w:rFonts w:eastAsiaTheme="minorEastAsia"/>
          <w:sz w:val="20"/>
          <w:szCs w:val="20"/>
          <w:lang w:val="pt-BR" w:eastAsia="zh-CN"/>
        </w:rPr>
        <w:t xml:space="preserve">Instituto Avançado de Tecnologia e Inovação (IATI), Recife. Email: </w:t>
      </w:r>
      <w:r w:rsidRPr="004B4B92">
        <w:rPr>
          <w:rFonts w:eastAsiaTheme="minorEastAsia"/>
          <w:sz w:val="20"/>
          <w:szCs w:val="20"/>
          <w:lang w:val="pt-BR" w:eastAsia="zh-CN"/>
        </w:rPr>
        <w:t>renata.laranjeiras@iati.org.br</w:t>
      </w:r>
    </w:p>
    <w:p w14:paraId="347FA0BD" w14:textId="1DBE5CEB" w:rsidR="004B4B92" w:rsidRDefault="004B4B92" w:rsidP="004B4B92">
      <w:pPr>
        <w:spacing w:line="240" w:lineRule="auto"/>
        <w:jc w:val="center"/>
        <w:rPr>
          <w:rFonts w:eastAsia="Times New Roman"/>
          <w:sz w:val="20"/>
          <w:szCs w:val="20"/>
          <w:lang w:val="pt-BR"/>
        </w:rPr>
      </w:pPr>
      <w:r>
        <w:rPr>
          <w:rFonts w:eastAsiaTheme="minorEastAsia"/>
          <w:sz w:val="20"/>
          <w:szCs w:val="20"/>
          <w:vertAlign w:val="superscript"/>
          <w:lang w:val="pt-BR" w:eastAsia="zh-CN"/>
        </w:rPr>
        <w:t xml:space="preserve">5 </w:t>
      </w:r>
      <w:r>
        <w:rPr>
          <w:rFonts w:eastAsia="Times New Roman"/>
          <w:sz w:val="20"/>
          <w:szCs w:val="20"/>
        </w:rPr>
        <w:t xml:space="preserve">Universidade </w:t>
      </w:r>
      <w:r>
        <w:rPr>
          <w:rFonts w:eastAsia="Times New Roman"/>
          <w:sz w:val="20"/>
          <w:szCs w:val="20"/>
          <w:lang w:val="pt-BR"/>
        </w:rPr>
        <w:t xml:space="preserve">de Pernambuco </w:t>
      </w:r>
      <w:r>
        <w:rPr>
          <w:rFonts w:eastAsia="Times New Roman"/>
          <w:sz w:val="20"/>
          <w:szCs w:val="20"/>
        </w:rPr>
        <w:t>(</w:t>
      </w:r>
      <w:r>
        <w:rPr>
          <w:rFonts w:eastAsia="Times New Roman"/>
          <w:sz w:val="20"/>
          <w:szCs w:val="20"/>
          <w:lang w:val="pt-BR"/>
        </w:rPr>
        <w:t>UPE</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Recife</w:t>
      </w:r>
      <w:r>
        <w:rPr>
          <w:rFonts w:eastAsia="Times New Roman"/>
          <w:iCs/>
          <w:sz w:val="20"/>
          <w:szCs w:val="20"/>
        </w:rPr>
        <w:t>.</w:t>
      </w:r>
      <w:r>
        <w:rPr>
          <w:rFonts w:eastAsia="Times New Roman"/>
          <w:sz w:val="20"/>
          <w:szCs w:val="20"/>
        </w:rPr>
        <w:t xml:space="preserve"> E-mail:</w:t>
      </w:r>
      <w:r>
        <w:rPr>
          <w:rFonts w:eastAsia="Times New Roman"/>
          <w:sz w:val="20"/>
          <w:szCs w:val="20"/>
          <w:lang w:val="pt-BR"/>
        </w:rPr>
        <w:t xml:space="preserve"> </w:t>
      </w:r>
      <w:r w:rsidRPr="004B4B92">
        <w:rPr>
          <w:rFonts w:eastAsia="Times New Roman"/>
          <w:sz w:val="20"/>
          <w:szCs w:val="20"/>
          <w:lang w:val="pt-BR"/>
        </w:rPr>
        <w:t>camila.alves@iati.org.br</w:t>
      </w:r>
    </w:p>
    <w:p w14:paraId="0D10888A" w14:textId="2B23660E" w:rsidR="004B4B92" w:rsidRPr="004B4B92" w:rsidRDefault="004B4B92" w:rsidP="004B4B92">
      <w:pPr>
        <w:spacing w:line="240" w:lineRule="auto"/>
        <w:jc w:val="center"/>
        <w:rPr>
          <w:rFonts w:eastAsiaTheme="minorEastAsia"/>
          <w:sz w:val="20"/>
          <w:szCs w:val="20"/>
          <w:lang w:val="pt-BR" w:eastAsia="zh-CN"/>
        </w:rPr>
      </w:pPr>
      <w:r>
        <w:rPr>
          <w:rFonts w:eastAsia="Times New Roman"/>
          <w:sz w:val="20"/>
          <w:szCs w:val="20"/>
          <w:vertAlign w:val="superscript"/>
          <w:lang w:val="pt-BR"/>
        </w:rPr>
        <w:t>6</w:t>
      </w:r>
      <w:r>
        <w:rPr>
          <w:rFonts w:eastAsia="Times New Roman"/>
          <w:sz w:val="20"/>
          <w:szCs w:val="20"/>
          <w:lang w:val="pt-BR"/>
        </w:rPr>
        <w:t xml:space="preserve"> </w:t>
      </w:r>
      <w:r>
        <w:rPr>
          <w:rFonts w:eastAsiaTheme="minorEastAsia"/>
          <w:sz w:val="20"/>
          <w:szCs w:val="20"/>
          <w:lang w:val="pt-BR" w:eastAsia="zh-CN"/>
        </w:rPr>
        <w:t>Instituto Avançado de Tecnologia e Inovação (IATI), Recife. Email:</w:t>
      </w:r>
      <w:r>
        <w:rPr>
          <w:rFonts w:eastAsiaTheme="minorEastAsia"/>
          <w:sz w:val="20"/>
          <w:szCs w:val="20"/>
          <w:lang w:val="pt-BR" w:eastAsia="zh-CN"/>
        </w:rPr>
        <w:t xml:space="preserve"> </w:t>
      </w:r>
      <w:r w:rsidRPr="004B4B92">
        <w:rPr>
          <w:rFonts w:eastAsiaTheme="minorEastAsia"/>
          <w:sz w:val="20"/>
          <w:szCs w:val="20"/>
          <w:lang w:val="pt-BR" w:eastAsia="zh-CN"/>
        </w:rPr>
        <w:t>icarocesarferreira@grad.fafire.br</w:t>
      </w:r>
    </w:p>
    <w:p w14:paraId="14848275" w14:textId="25AC8535" w:rsidR="004B4B92" w:rsidRDefault="004B4B92" w:rsidP="004B4B92">
      <w:pPr>
        <w:spacing w:line="240" w:lineRule="auto"/>
        <w:jc w:val="center"/>
        <w:rPr>
          <w:rFonts w:eastAsia="Times New Roman"/>
          <w:sz w:val="20"/>
          <w:szCs w:val="20"/>
          <w:lang w:val="pt-BR"/>
        </w:rPr>
      </w:pPr>
      <w:r>
        <w:rPr>
          <w:rFonts w:eastAsiaTheme="minorEastAsia"/>
          <w:sz w:val="20"/>
          <w:szCs w:val="20"/>
          <w:vertAlign w:val="superscript"/>
          <w:lang w:val="pt-BR" w:eastAsia="zh-CN"/>
        </w:rPr>
        <w:t>7</w:t>
      </w:r>
      <w:r>
        <w:rPr>
          <w:rFonts w:eastAsiaTheme="minorEastAsia"/>
          <w:sz w:val="20"/>
          <w:szCs w:val="20"/>
          <w:lang w:val="pt-BR" w:eastAsia="zh-CN"/>
        </w:rPr>
        <w:t xml:space="preserve"> </w:t>
      </w:r>
      <w:r>
        <w:rPr>
          <w:rFonts w:eastAsia="Times New Roman"/>
          <w:sz w:val="20"/>
          <w:szCs w:val="20"/>
        </w:rPr>
        <w:t xml:space="preserve">Universidade </w:t>
      </w:r>
      <w:r>
        <w:rPr>
          <w:rFonts w:eastAsia="Times New Roman"/>
          <w:sz w:val="20"/>
          <w:szCs w:val="20"/>
          <w:lang w:val="pt-BR"/>
        </w:rPr>
        <w:t xml:space="preserve">de Pernambuco </w:t>
      </w:r>
      <w:r>
        <w:rPr>
          <w:rFonts w:eastAsia="Times New Roman"/>
          <w:sz w:val="20"/>
          <w:szCs w:val="20"/>
        </w:rPr>
        <w:t>(</w:t>
      </w:r>
      <w:r>
        <w:rPr>
          <w:rFonts w:eastAsia="Times New Roman"/>
          <w:sz w:val="20"/>
          <w:szCs w:val="20"/>
          <w:lang w:val="pt-BR"/>
        </w:rPr>
        <w:t>UPE</w:t>
      </w:r>
      <w:r>
        <w:rPr>
          <w:rFonts w:eastAsia="Times New Roman"/>
          <w:sz w:val="20"/>
          <w:szCs w:val="20"/>
        </w:rPr>
        <w:t xml:space="preserve">), </w:t>
      </w:r>
      <w:r>
        <w:rPr>
          <w:rFonts w:eastAsia="Times New Roman"/>
          <w:iCs/>
          <w:sz w:val="20"/>
          <w:szCs w:val="20"/>
        </w:rPr>
        <w:t xml:space="preserve">Campus </w:t>
      </w:r>
      <w:r>
        <w:rPr>
          <w:rFonts w:eastAsia="Times New Roman"/>
          <w:iCs/>
          <w:sz w:val="20"/>
          <w:szCs w:val="20"/>
          <w:lang w:val="pt-BR"/>
        </w:rPr>
        <w:t>Nazaré da Mata</w:t>
      </w:r>
      <w:r>
        <w:rPr>
          <w:rFonts w:eastAsia="Times New Roman"/>
          <w:iCs/>
          <w:sz w:val="20"/>
          <w:szCs w:val="20"/>
        </w:rPr>
        <w:t>.</w:t>
      </w:r>
      <w:r>
        <w:rPr>
          <w:rFonts w:eastAsia="Times New Roman"/>
          <w:sz w:val="20"/>
          <w:szCs w:val="20"/>
        </w:rPr>
        <w:t xml:space="preserve"> E-mail</w:t>
      </w:r>
      <w:r>
        <w:rPr>
          <w:rFonts w:eastAsia="Times New Roman"/>
          <w:sz w:val="20"/>
          <w:szCs w:val="20"/>
          <w:lang w:val="pt-BR"/>
        </w:rPr>
        <w:t xml:space="preserve">: </w:t>
      </w:r>
      <w:r w:rsidRPr="0099535E">
        <w:rPr>
          <w:rFonts w:eastAsia="Times New Roman"/>
          <w:sz w:val="20"/>
          <w:szCs w:val="20"/>
          <w:lang w:val="pt-BR"/>
        </w:rPr>
        <w:t>mucio.banja@upe.br</w:t>
      </w:r>
    </w:p>
    <w:p w14:paraId="7246E734" w14:textId="77777777" w:rsidR="004B4B92" w:rsidRPr="00656030" w:rsidRDefault="004B4B92" w:rsidP="00571A60">
      <w:pPr>
        <w:spacing w:line="240" w:lineRule="auto"/>
        <w:jc w:val="center"/>
        <w:rPr>
          <w:rFonts w:eastAsia="Times New Roman"/>
          <w:b/>
          <w:sz w:val="20"/>
          <w:szCs w:val="20"/>
          <w:lang w:val="pt-BR"/>
        </w:rPr>
      </w:pPr>
    </w:p>
    <w:p w14:paraId="682A939F" w14:textId="77777777" w:rsidR="00601563" w:rsidRDefault="00601563">
      <w:pPr>
        <w:spacing w:line="240" w:lineRule="auto"/>
        <w:rPr>
          <w:rFonts w:eastAsiaTheme="minorEastAsia"/>
          <w:b/>
          <w:sz w:val="20"/>
          <w:szCs w:val="20"/>
          <w:lang w:eastAsia="zh-CN"/>
        </w:rPr>
      </w:pPr>
    </w:p>
    <w:p w14:paraId="5F37F12F" w14:textId="2C2024A5" w:rsidR="003E0D7E" w:rsidRDefault="00BB0F58">
      <w:pPr>
        <w:spacing w:line="240" w:lineRule="auto"/>
        <w:rPr>
          <w:rFonts w:eastAsia="Times New Roman"/>
          <w:b/>
          <w:sz w:val="20"/>
          <w:szCs w:val="20"/>
        </w:rPr>
      </w:pPr>
      <w:r>
        <w:rPr>
          <w:rFonts w:eastAsia="Times New Roman"/>
          <w:b/>
          <w:sz w:val="20"/>
          <w:szCs w:val="20"/>
        </w:rPr>
        <w:t>INTRODUÇÃO</w:t>
      </w:r>
    </w:p>
    <w:p w14:paraId="6E40028A" w14:textId="77777777" w:rsidR="002A7C08" w:rsidRPr="00656030" w:rsidRDefault="002A7C08" w:rsidP="002A7C08">
      <w:pPr>
        <w:spacing w:line="240" w:lineRule="auto"/>
        <w:ind w:firstLine="720"/>
        <w:jc w:val="both"/>
        <w:rPr>
          <w:sz w:val="20"/>
          <w:szCs w:val="20"/>
        </w:rPr>
      </w:pPr>
      <w:r w:rsidRPr="00656030">
        <w:rPr>
          <w:sz w:val="20"/>
          <w:szCs w:val="20"/>
        </w:rPr>
        <w:t>O zooplâncton é conhecido como o grupo mais diverso e abundante no ambiente marinho, constituído por diversos Filos de invertebrados. Destaca-se alguns táxons como Arthropoda, Cnidaria, Foraminífera, Chaetognatha e Chordata, que possuem pelo menos uma fase do seu ciclo de vida como componente do plâncton (López et al., 2020). Embora estejam sob influência das correntes marinhas, muitos são capazes de nadar e podem ser considerados um dos elos mais importantes para a manutenção de energia no ecossistema marinho, pela reciclagem de nutrientes e distribuição da matéria orgânica (Vega-Pérez, 1993; Pereira e Gutjahr, 2020).</w:t>
      </w:r>
    </w:p>
    <w:p w14:paraId="28AE6B8F" w14:textId="77777777" w:rsidR="002A7C08" w:rsidRPr="00656030" w:rsidRDefault="002A7C08" w:rsidP="002A7C08">
      <w:pPr>
        <w:spacing w:line="240" w:lineRule="auto"/>
        <w:ind w:firstLine="720"/>
        <w:jc w:val="both"/>
        <w:rPr>
          <w:sz w:val="20"/>
          <w:szCs w:val="20"/>
        </w:rPr>
      </w:pPr>
      <w:r w:rsidRPr="00656030">
        <w:rPr>
          <w:sz w:val="20"/>
          <w:szCs w:val="20"/>
        </w:rPr>
        <w:t xml:space="preserve">Estes organismos são considerados excelentes bioindicadores, podendo determinar a qualidade ambiental dos corpos d’água, devido ao seu curto ciclo de vida e elevado índice de sensibilidade às mudanças do seu habitat (Duarte, 2021). Apontados como o primeiro elo da cadeia trófica marinha, são sensíveis às propriedades físicas e químicas dos oceanos, sendo estas responsáveis por sua distribuição e abundância (Corsini e Nascimento, 2020; Roblero, 2007).  Por esse motivo, são muito utilizados em programas de monitoramento ambiental (Morais et al., 2020). </w:t>
      </w:r>
    </w:p>
    <w:p w14:paraId="46611781" w14:textId="3134670C" w:rsidR="002A7C08" w:rsidRPr="00656030" w:rsidRDefault="00C467A9" w:rsidP="002A7C08">
      <w:pPr>
        <w:spacing w:line="240" w:lineRule="auto"/>
        <w:ind w:firstLine="720"/>
        <w:jc w:val="both"/>
        <w:rPr>
          <w:sz w:val="20"/>
          <w:szCs w:val="20"/>
        </w:rPr>
      </w:pPr>
      <w:r>
        <w:rPr>
          <w:sz w:val="20"/>
          <w:szCs w:val="20"/>
          <w:lang w:val="pt-BR"/>
        </w:rPr>
        <w:t>A presente pesquisa</w:t>
      </w:r>
      <w:r w:rsidR="002A7C08" w:rsidRPr="00656030">
        <w:rPr>
          <w:sz w:val="20"/>
          <w:szCs w:val="20"/>
        </w:rPr>
        <w:t xml:space="preserve"> te</w:t>
      </w:r>
      <w:r>
        <w:rPr>
          <w:sz w:val="20"/>
          <w:szCs w:val="20"/>
          <w:lang w:val="pt-BR"/>
        </w:rPr>
        <w:t>m</w:t>
      </w:r>
      <w:r w:rsidR="002A7C08" w:rsidRPr="00656030">
        <w:rPr>
          <w:sz w:val="20"/>
          <w:szCs w:val="20"/>
        </w:rPr>
        <w:t xml:space="preserve"> como objetivo avaliar a composição da comunidade zooplanctônica de duas áreas sob influência do sistema de resfriamento da U</w:t>
      </w:r>
      <w:r w:rsidR="00571A60">
        <w:rPr>
          <w:sz w:val="20"/>
          <w:szCs w:val="20"/>
          <w:lang w:val="pt-BR"/>
        </w:rPr>
        <w:t>sina Termoelétrica</w:t>
      </w:r>
      <w:r w:rsidR="002A7C08" w:rsidRPr="00656030">
        <w:rPr>
          <w:sz w:val="20"/>
          <w:szCs w:val="20"/>
        </w:rPr>
        <w:t xml:space="preserve"> Termopernambuco</w:t>
      </w:r>
      <w:r>
        <w:rPr>
          <w:sz w:val="20"/>
          <w:szCs w:val="20"/>
          <w:lang w:val="pt-BR"/>
        </w:rPr>
        <w:t>, localizada no Complexo Portuário de Suape</w:t>
      </w:r>
      <w:r w:rsidR="002A7C08" w:rsidRPr="00656030">
        <w:rPr>
          <w:sz w:val="20"/>
          <w:szCs w:val="20"/>
        </w:rPr>
        <w:t>.</w:t>
      </w:r>
    </w:p>
    <w:p w14:paraId="1254A057" w14:textId="77777777" w:rsidR="002A7C08" w:rsidRPr="00656030" w:rsidRDefault="002A7C08">
      <w:pPr>
        <w:spacing w:line="240" w:lineRule="auto"/>
        <w:jc w:val="both"/>
        <w:rPr>
          <w:rFonts w:eastAsia="Times New Roman"/>
          <w:b/>
          <w:sz w:val="20"/>
          <w:szCs w:val="20"/>
        </w:rPr>
      </w:pPr>
    </w:p>
    <w:p w14:paraId="5A9F51F8" w14:textId="6C0EE42E" w:rsidR="003E0D7E" w:rsidRPr="00656030" w:rsidRDefault="00BB0F58">
      <w:pPr>
        <w:spacing w:line="240" w:lineRule="auto"/>
        <w:jc w:val="both"/>
        <w:rPr>
          <w:rFonts w:eastAsia="Times New Roman"/>
          <w:b/>
          <w:sz w:val="20"/>
          <w:szCs w:val="20"/>
        </w:rPr>
      </w:pPr>
      <w:r w:rsidRPr="00656030">
        <w:rPr>
          <w:rFonts w:eastAsia="Times New Roman"/>
          <w:b/>
          <w:sz w:val="20"/>
          <w:szCs w:val="20"/>
        </w:rPr>
        <w:t>MATERIAL E MÉTODOS</w:t>
      </w:r>
    </w:p>
    <w:p w14:paraId="6BB94757" w14:textId="77777777" w:rsidR="002A7C08" w:rsidRPr="00656030" w:rsidRDefault="002A7C08" w:rsidP="002A7C08">
      <w:pPr>
        <w:spacing w:line="240" w:lineRule="auto"/>
        <w:ind w:firstLine="567"/>
        <w:jc w:val="both"/>
        <w:rPr>
          <w:rFonts w:eastAsia="Times New Roman"/>
          <w:sz w:val="20"/>
          <w:szCs w:val="20"/>
          <w:lang w:val="pt-BR"/>
        </w:rPr>
      </w:pPr>
      <w:r w:rsidRPr="00656030">
        <w:rPr>
          <w:rFonts w:eastAsia="Times New Roman"/>
          <w:sz w:val="20"/>
          <w:szCs w:val="20"/>
          <w:lang w:val="pt-BR"/>
        </w:rPr>
        <w:t xml:space="preserve">As amostras de componentes </w:t>
      </w:r>
      <w:proofErr w:type="spellStart"/>
      <w:r w:rsidRPr="00656030">
        <w:rPr>
          <w:rFonts w:eastAsia="Times New Roman"/>
          <w:sz w:val="20"/>
          <w:szCs w:val="20"/>
          <w:lang w:val="pt-BR"/>
        </w:rPr>
        <w:t>zooplanctônicos</w:t>
      </w:r>
      <w:proofErr w:type="spellEnd"/>
      <w:r w:rsidRPr="00656030">
        <w:rPr>
          <w:rFonts w:eastAsia="Times New Roman"/>
          <w:sz w:val="20"/>
          <w:szCs w:val="20"/>
          <w:lang w:val="pt-BR"/>
        </w:rPr>
        <w:t xml:space="preserve"> foram coletadas nos meses de fevereiro e junho de 2022 e em janeiro e abril de 2023, em duas áreas de mar aberto da região de Suape – PE ao longo do emissário submarino da Usina Termoelétrica de Pernambuco – </w:t>
      </w:r>
      <w:proofErr w:type="spellStart"/>
      <w:r w:rsidRPr="00656030">
        <w:rPr>
          <w:rFonts w:eastAsia="Times New Roman"/>
          <w:sz w:val="20"/>
          <w:szCs w:val="20"/>
          <w:lang w:val="pt-BR"/>
        </w:rPr>
        <w:t>Termope</w:t>
      </w:r>
      <w:proofErr w:type="spellEnd"/>
      <w:r w:rsidRPr="00656030">
        <w:rPr>
          <w:rFonts w:eastAsia="Times New Roman"/>
          <w:sz w:val="20"/>
          <w:szCs w:val="20"/>
          <w:lang w:val="pt-BR"/>
        </w:rPr>
        <w:t xml:space="preserve">. A Área 1 esteve localizada na porção final do emissário submarino da </w:t>
      </w:r>
      <w:proofErr w:type="spellStart"/>
      <w:r w:rsidRPr="00656030">
        <w:rPr>
          <w:rFonts w:eastAsia="Times New Roman"/>
          <w:sz w:val="20"/>
          <w:szCs w:val="20"/>
          <w:lang w:val="pt-BR"/>
        </w:rPr>
        <w:t>Termope</w:t>
      </w:r>
      <w:proofErr w:type="spellEnd"/>
      <w:r w:rsidRPr="00656030">
        <w:rPr>
          <w:rFonts w:eastAsia="Times New Roman"/>
          <w:sz w:val="20"/>
          <w:szCs w:val="20"/>
          <w:lang w:val="pt-BR"/>
        </w:rPr>
        <w:t xml:space="preserve"> e a Área 2 na porção mediana dele, sendo esta considerada como área controle. A coleta foi realizada com as redes de captura do plâncton, sendo arrastadas por um período de 5 minutos a uma velocidade de 1,8 nós. </w:t>
      </w:r>
    </w:p>
    <w:p w14:paraId="3DF2BFFA" w14:textId="77777777" w:rsidR="002A7C08" w:rsidRPr="00656030" w:rsidRDefault="002A7C08" w:rsidP="002A7C08">
      <w:pPr>
        <w:spacing w:line="240" w:lineRule="auto"/>
        <w:ind w:firstLine="567"/>
        <w:jc w:val="both"/>
        <w:rPr>
          <w:rFonts w:eastAsia="Times New Roman"/>
          <w:sz w:val="20"/>
          <w:szCs w:val="20"/>
          <w:lang w:val="pt-BR"/>
        </w:rPr>
      </w:pPr>
      <w:r w:rsidRPr="00656030">
        <w:rPr>
          <w:rFonts w:eastAsia="Times New Roman"/>
          <w:sz w:val="20"/>
          <w:szCs w:val="20"/>
          <w:lang w:val="pt-BR"/>
        </w:rPr>
        <w:t>As amostras foram preservadas em solução salina de formaldeído 4%, tamponado previamente com Tetraborato de Sódio. Todo material foi etiquetado para controle de campo, acondicionados em caixa de transporte e seguiram ao Laboratório de Estudos Ambientais do Instituto Avançado de Tecnologia e Inovação – IATI.</w:t>
      </w:r>
    </w:p>
    <w:p w14:paraId="24BBBEE7" w14:textId="5B4B71B2" w:rsidR="002A7C08" w:rsidRDefault="002A7C08" w:rsidP="002A7C08">
      <w:pPr>
        <w:spacing w:line="240" w:lineRule="auto"/>
        <w:ind w:firstLine="567"/>
        <w:jc w:val="both"/>
        <w:rPr>
          <w:rFonts w:eastAsia="Times New Roman"/>
          <w:sz w:val="20"/>
          <w:szCs w:val="20"/>
          <w:lang w:val="pt-BR"/>
        </w:rPr>
      </w:pPr>
      <w:r w:rsidRPr="00656030">
        <w:rPr>
          <w:rFonts w:eastAsia="Times New Roman"/>
          <w:sz w:val="20"/>
          <w:szCs w:val="20"/>
          <w:lang w:val="pt-BR"/>
        </w:rPr>
        <w:t xml:space="preserve">Em laboratório, as amostras foram homogeneizadas e divididas em triplicatas para observação </w:t>
      </w:r>
      <w:r w:rsidR="00C467A9">
        <w:rPr>
          <w:rFonts w:eastAsia="Times New Roman"/>
          <w:sz w:val="20"/>
          <w:szCs w:val="20"/>
          <w:lang w:val="pt-BR"/>
        </w:rPr>
        <w:t>em</w:t>
      </w:r>
      <w:r w:rsidRPr="00656030">
        <w:rPr>
          <w:rFonts w:eastAsia="Times New Roman"/>
          <w:sz w:val="20"/>
          <w:szCs w:val="20"/>
          <w:lang w:val="pt-BR"/>
        </w:rPr>
        <w:t xml:space="preserve"> microscópio</w:t>
      </w:r>
      <w:r w:rsidR="00C467A9">
        <w:rPr>
          <w:rFonts w:eastAsia="Times New Roman"/>
          <w:sz w:val="20"/>
          <w:szCs w:val="20"/>
          <w:lang w:val="pt-BR"/>
        </w:rPr>
        <w:t xml:space="preserve"> óptico eletrônico</w:t>
      </w:r>
      <w:r w:rsidRPr="00656030">
        <w:rPr>
          <w:rFonts w:eastAsia="Times New Roman"/>
          <w:sz w:val="20"/>
          <w:szCs w:val="20"/>
          <w:lang w:val="pt-BR"/>
        </w:rPr>
        <w:t>. As amostras foram identificadas ao nível de grandes grupos</w:t>
      </w:r>
      <w:r w:rsidR="00C467A9">
        <w:rPr>
          <w:rFonts w:eastAsia="Times New Roman"/>
          <w:sz w:val="20"/>
          <w:szCs w:val="20"/>
          <w:lang w:val="pt-BR"/>
        </w:rPr>
        <w:t xml:space="preserve"> e os</w:t>
      </w:r>
      <w:r w:rsidRPr="00656030">
        <w:rPr>
          <w:rFonts w:eastAsia="Times New Roman"/>
          <w:sz w:val="20"/>
          <w:szCs w:val="20"/>
          <w:lang w:val="pt-BR"/>
        </w:rPr>
        <w:t xml:space="preserve"> resultados foram agrupados para uma análise geral de variações dos grupos populacionais. </w:t>
      </w:r>
    </w:p>
    <w:p w14:paraId="6EFED519" w14:textId="77777777" w:rsidR="00DF43BC" w:rsidRDefault="00DF43BC" w:rsidP="002A7C08">
      <w:pPr>
        <w:spacing w:line="240" w:lineRule="auto"/>
        <w:ind w:firstLine="567"/>
        <w:jc w:val="both"/>
        <w:rPr>
          <w:rFonts w:eastAsia="Times New Roman"/>
          <w:sz w:val="20"/>
          <w:szCs w:val="20"/>
          <w:lang w:val="pt-BR"/>
        </w:rPr>
      </w:pPr>
    </w:p>
    <w:p w14:paraId="1CD290D3" w14:textId="77777777" w:rsidR="00DF43BC" w:rsidRPr="00656030" w:rsidRDefault="00DF43BC" w:rsidP="002A7C08">
      <w:pPr>
        <w:spacing w:line="240" w:lineRule="auto"/>
        <w:ind w:firstLine="567"/>
        <w:jc w:val="both"/>
        <w:rPr>
          <w:rFonts w:eastAsia="Times New Roman"/>
          <w:sz w:val="20"/>
          <w:szCs w:val="20"/>
          <w:lang w:val="pt-BR"/>
        </w:rPr>
      </w:pPr>
    </w:p>
    <w:p w14:paraId="21F5A15B" w14:textId="77777777" w:rsidR="003E0D7E" w:rsidRPr="00656030" w:rsidRDefault="003E0D7E">
      <w:pPr>
        <w:spacing w:line="240" w:lineRule="auto"/>
        <w:jc w:val="both"/>
        <w:rPr>
          <w:rFonts w:eastAsia="Times New Roman"/>
          <w:b/>
          <w:sz w:val="20"/>
          <w:szCs w:val="20"/>
        </w:rPr>
      </w:pPr>
    </w:p>
    <w:p w14:paraId="673BD9FA" w14:textId="77777777" w:rsidR="003E0D7E" w:rsidRPr="00656030" w:rsidRDefault="00BB0F58">
      <w:pPr>
        <w:spacing w:line="240" w:lineRule="auto"/>
        <w:jc w:val="both"/>
        <w:rPr>
          <w:rFonts w:eastAsia="Times New Roman"/>
          <w:b/>
          <w:sz w:val="20"/>
          <w:szCs w:val="20"/>
        </w:rPr>
      </w:pPr>
      <w:r w:rsidRPr="00656030">
        <w:rPr>
          <w:rFonts w:eastAsia="Times New Roman"/>
          <w:b/>
          <w:sz w:val="20"/>
          <w:szCs w:val="20"/>
        </w:rPr>
        <w:lastRenderedPageBreak/>
        <w:t>RESULTADOS E DISCUSSÃO</w:t>
      </w:r>
    </w:p>
    <w:p w14:paraId="208EEC73" w14:textId="77777777" w:rsidR="002A7C08" w:rsidRPr="00656030" w:rsidRDefault="002A7C08" w:rsidP="004F5D0D">
      <w:pPr>
        <w:spacing w:line="240" w:lineRule="auto"/>
        <w:ind w:firstLine="708"/>
        <w:jc w:val="both"/>
        <w:rPr>
          <w:rFonts w:eastAsia="DengXian"/>
          <w:sz w:val="20"/>
          <w:lang w:val="pt-BR" w:eastAsia="zh-CN"/>
        </w:rPr>
      </w:pPr>
      <w:r w:rsidRPr="00656030">
        <w:rPr>
          <w:rFonts w:eastAsia="DengXian"/>
          <w:sz w:val="20"/>
          <w:lang w:val="pt-BR" w:eastAsia="zh-CN"/>
        </w:rPr>
        <w:t xml:space="preserve">Foram encontrados nas áreas amostradas representantes de dez Filos, sendo eles: </w:t>
      </w:r>
      <w:proofErr w:type="spellStart"/>
      <w:r w:rsidRPr="00656030">
        <w:rPr>
          <w:rFonts w:eastAsia="DengXian"/>
          <w:sz w:val="20"/>
          <w:lang w:val="pt-BR" w:eastAsia="zh-CN"/>
        </w:rPr>
        <w:t>Cnidaria</w:t>
      </w:r>
      <w:proofErr w:type="spellEnd"/>
      <w:r w:rsidRPr="00656030">
        <w:rPr>
          <w:rFonts w:eastAsia="DengXian"/>
          <w:sz w:val="20"/>
          <w:lang w:val="pt-BR" w:eastAsia="zh-CN"/>
        </w:rPr>
        <w:t xml:space="preserve">, </w:t>
      </w:r>
      <w:proofErr w:type="spellStart"/>
      <w:r w:rsidRPr="00656030">
        <w:rPr>
          <w:rFonts w:eastAsia="DengXian"/>
          <w:sz w:val="20"/>
          <w:lang w:val="pt-BR" w:eastAsia="zh-CN"/>
        </w:rPr>
        <w:t>Echinodermata</w:t>
      </w:r>
      <w:proofErr w:type="spellEnd"/>
      <w:r w:rsidRPr="00656030">
        <w:rPr>
          <w:rFonts w:eastAsia="DengXian"/>
          <w:sz w:val="20"/>
          <w:lang w:val="pt-BR" w:eastAsia="zh-CN"/>
        </w:rPr>
        <w:t xml:space="preserve">, </w:t>
      </w:r>
      <w:proofErr w:type="spellStart"/>
      <w:r w:rsidRPr="00656030">
        <w:rPr>
          <w:rFonts w:eastAsia="DengXian"/>
          <w:sz w:val="20"/>
          <w:lang w:val="pt-BR" w:eastAsia="zh-CN"/>
        </w:rPr>
        <w:t>Annelida</w:t>
      </w:r>
      <w:proofErr w:type="spellEnd"/>
      <w:r w:rsidRPr="00656030">
        <w:rPr>
          <w:rFonts w:eastAsia="DengXian"/>
          <w:sz w:val="20"/>
          <w:lang w:val="pt-BR" w:eastAsia="zh-CN"/>
        </w:rPr>
        <w:t xml:space="preserve">, </w:t>
      </w:r>
      <w:proofErr w:type="spellStart"/>
      <w:r w:rsidRPr="00656030">
        <w:rPr>
          <w:rFonts w:eastAsia="DengXian"/>
          <w:sz w:val="20"/>
          <w:lang w:val="pt-BR" w:eastAsia="zh-CN"/>
        </w:rPr>
        <w:t>Bryozoa</w:t>
      </w:r>
      <w:proofErr w:type="spellEnd"/>
      <w:r w:rsidRPr="00656030">
        <w:rPr>
          <w:rFonts w:eastAsia="DengXian"/>
          <w:sz w:val="20"/>
          <w:lang w:val="pt-BR" w:eastAsia="zh-CN"/>
        </w:rPr>
        <w:t xml:space="preserve">, </w:t>
      </w:r>
      <w:proofErr w:type="spellStart"/>
      <w:r w:rsidRPr="00656030">
        <w:rPr>
          <w:rFonts w:eastAsia="DengXian"/>
          <w:sz w:val="20"/>
          <w:lang w:val="pt-BR" w:eastAsia="zh-CN"/>
        </w:rPr>
        <w:t>Chaetognata</w:t>
      </w:r>
      <w:proofErr w:type="spellEnd"/>
      <w:r w:rsidRPr="00656030">
        <w:rPr>
          <w:rFonts w:eastAsia="DengXian"/>
          <w:sz w:val="20"/>
          <w:lang w:val="pt-BR" w:eastAsia="zh-CN"/>
        </w:rPr>
        <w:t xml:space="preserve">, </w:t>
      </w:r>
      <w:proofErr w:type="spellStart"/>
      <w:r w:rsidRPr="00656030">
        <w:rPr>
          <w:rFonts w:eastAsia="DengXian"/>
          <w:sz w:val="20"/>
          <w:lang w:val="pt-BR" w:eastAsia="zh-CN"/>
        </w:rPr>
        <w:t>Chordata</w:t>
      </w:r>
      <w:proofErr w:type="spellEnd"/>
      <w:r w:rsidRPr="00656030">
        <w:rPr>
          <w:rFonts w:eastAsia="DengXian"/>
          <w:sz w:val="20"/>
          <w:lang w:val="pt-BR" w:eastAsia="zh-CN"/>
        </w:rPr>
        <w:t xml:space="preserve">, </w:t>
      </w:r>
      <w:proofErr w:type="spellStart"/>
      <w:r w:rsidRPr="00656030">
        <w:rPr>
          <w:rFonts w:eastAsia="DengXian"/>
          <w:sz w:val="20"/>
          <w:lang w:val="pt-BR" w:eastAsia="zh-CN"/>
        </w:rPr>
        <w:t>Foraminifera</w:t>
      </w:r>
      <w:proofErr w:type="spellEnd"/>
      <w:r w:rsidRPr="00656030">
        <w:rPr>
          <w:rFonts w:eastAsia="DengXian"/>
          <w:sz w:val="20"/>
          <w:lang w:val="pt-BR" w:eastAsia="zh-CN"/>
        </w:rPr>
        <w:t xml:space="preserve">, </w:t>
      </w:r>
      <w:proofErr w:type="spellStart"/>
      <w:r w:rsidRPr="00656030">
        <w:rPr>
          <w:rFonts w:eastAsia="DengXian"/>
          <w:sz w:val="20"/>
          <w:lang w:val="pt-BR" w:eastAsia="zh-CN"/>
        </w:rPr>
        <w:t>Mollusca</w:t>
      </w:r>
      <w:proofErr w:type="spellEnd"/>
      <w:r w:rsidRPr="00656030">
        <w:rPr>
          <w:rFonts w:eastAsia="DengXian"/>
          <w:sz w:val="20"/>
          <w:lang w:val="pt-BR" w:eastAsia="zh-CN"/>
        </w:rPr>
        <w:t xml:space="preserve">, Arthropoda e </w:t>
      </w:r>
      <w:proofErr w:type="spellStart"/>
      <w:r w:rsidRPr="00656030">
        <w:rPr>
          <w:rFonts w:eastAsia="DengXian"/>
          <w:sz w:val="20"/>
          <w:lang w:val="pt-BR" w:eastAsia="zh-CN"/>
        </w:rPr>
        <w:t>Ciliophora</w:t>
      </w:r>
      <w:proofErr w:type="spellEnd"/>
      <w:r w:rsidRPr="00656030">
        <w:rPr>
          <w:rFonts w:eastAsia="DengXian"/>
          <w:sz w:val="20"/>
          <w:lang w:val="pt-BR" w:eastAsia="zh-CN"/>
        </w:rPr>
        <w:t>. Composições semelhantes foram observadas em estuários ao longo do litoral do Brasil (Dantas, 2019). Detectou-se os grupos descritos na Tab.1, considerando a menor unidade taxonômica possível de identificar.</w:t>
      </w:r>
    </w:p>
    <w:p w14:paraId="2611BAD7" w14:textId="4F5E7758" w:rsidR="002A7C08" w:rsidRPr="00656030" w:rsidRDefault="002A7C08" w:rsidP="004F5D0D">
      <w:pPr>
        <w:spacing w:line="240" w:lineRule="auto"/>
        <w:jc w:val="both"/>
        <w:rPr>
          <w:rFonts w:eastAsia="DengXian"/>
          <w:sz w:val="20"/>
          <w:lang w:val="pt-BR" w:eastAsia="zh-CN"/>
        </w:rPr>
      </w:pPr>
      <w:r w:rsidRPr="00656030">
        <w:rPr>
          <w:rFonts w:eastAsia="DengXian"/>
          <w:sz w:val="20"/>
          <w:lang w:val="pt-BR" w:eastAsia="zh-CN"/>
        </w:rPr>
        <w:t>Tabela 1. Zooplâncton observado durante as campanhas de fevereiro/22, junho/22, janeiro/23 e abril/23, nos dois pontos de coleta.</w:t>
      </w:r>
    </w:p>
    <w:tbl>
      <w:tblPr>
        <w:tblStyle w:val="TabeladeGradeClara"/>
        <w:tblW w:w="0" w:type="auto"/>
        <w:jc w:val="center"/>
        <w:tblLook w:val="04A0" w:firstRow="1" w:lastRow="0" w:firstColumn="1" w:lastColumn="0" w:noHBand="0" w:noVBand="1"/>
      </w:tblPr>
      <w:tblGrid>
        <w:gridCol w:w="2926"/>
        <w:gridCol w:w="2926"/>
      </w:tblGrid>
      <w:tr w:rsidR="002A7C08" w:rsidRPr="00656030" w14:paraId="2B9D67F9" w14:textId="77777777" w:rsidTr="00E770D5">
        <w:trPr>
          <w:trHeight w:val="3449"/>
          <w:jc w:val="center"/>
        </w:trPr>
        <w:tc>
          <w:tcPr>
            <w:tcW w:w="2926" w:type="dxa"/>
            <w:tcBorders>
              <w:top w:val="single" w:sz="12" w:space="0" w:color="auto"/>
              <w:left w:val="nil"/>
              <w:bottom w:val="single" w:sz="12" w:space="0" w:color="auto"/>
            </w:tcBorders>
          </w:tcPr>
          <w:p w14:paraId="11399363" w14:textId="77777777" w:rsidR="002A7C08" w:rsidRPr="003A13F9" w:rsidRDefault="002A7C08" w:rsidP="004F5D0D">
            <w:pPr>
              <w:spacing w:line="240" w:lineRule="auto"/>
              <w:jc w:val="both"/>
              <w:rPr>
                <w:rFonts w:ascii="Arial" w:eastAsia="DengXian" w:hAnsi="Arial" w:cs="Arial"/>
                <w:bCs/>
                <w:sz w:val="20"/>
                <w:lang w:eastAsia="zh-CN"/>
              </w:rPr>
            </w:pPr>
            <w:r w:rsidRPr="003A13F9">
              <w:rPr>
                <w:rFonts w:ascii="Arial" w:eastAsia="DengXian" w:hAnsi="Arial" w:cs="Arial"/>
                <w:sz w:val="20"/>
                <w:lang w:val="pt-BR" w:eastAsia="zh-CN"/>
              </w:rPr>
              <w:t>CILIOPHORA</w:t>
            </w:r>
          </w:p>
          <w:p w14:paraId="68D8092A" w14:textId="77777777" w:rsidR="002A7C08" w:rsidRPr="003A13F9" w:rsidRDefault="002A7C08" w:rsidP="004F5D0D">
            <w:pPr>
              <w:spacing w:line="240" w:lineRule="auto"/>
              <w:ind w:left="447"/>
              <w:jc w:val="both"/>
              <w:rPr>
                <w:rFonts w:ascii="Arial" w:eastAsia="DengXian" w:hAnsi="Arial" w:cs="Arial"/>
                <w:bCs/>
                <w:sz w:val="20"/>
                <w:lang w:eastAsia="zh-CN"/>
              </w:rPr>
            </w:pPr>
            <w:proofErr w:type="spellStart"/>
            <w:r w:rsidRPr="003A13F9">
              <w:rPr>
                <w:rFonts w:ascii="Arial" w:eastAsia="DengXian" w:hAnsi="Arial" w:cs="Arial"/>
                <w:i/>
                <w:sz w:val="20"/>
                <w:lang w:val="pt-BR" w:eastAsia="zh-CN"/>
              </w:rPr>
              <w:t>Rhabdonella</w:t>
            </w:r>
            <w:proofErr w:type="spellEnd"/>
            <w:r w:rsidRPr="003A13F9">
              <w:rPr>
                <w:rFonts w:ascii="Arial" w:eastAsia="DengXian" w:hAnsi="Arial" w:cs="Arial"/>
                <w:sz w:val="20"/>
                <w:lang w:val="pt-BR" w:eastAsia="zh-CN"/>
              </w:rPr>
              <w:t xml:space="preserve"> sp.</w:t>
            </w:r>
          </w:p>
          <w:p w14:paraId="42E4860C" w14:textId="77777777" w:rsidR="002A7C08" w:rsidRPr="003A13F9" w:rsidRDefault="002A7C08" w:rsidP="004F5D0D">
            <w:pPr>
              <w:spacing w:line="240" w:lineRule="auto"/>
              <w:ind w:left="447"/>
              <w:jc w:val="both"/>
              <w:rPr>
                <w:rFonts w:ascii="Arial" w:eastAsia="DengXian" w:hAnsi="Arial" w:cs="Arial"/>
                <w:bCs/>
                <w:i/>
                <w:sz w:val="20"/>
                <w:lang w:eastAsia="zh-CN"/>
              </w:rPr>
            </w:pPr>
            <w:proofErr w:type="spellStart"/>
            <w:r w:rsidRPr="003A13F9">
              <w:rPr>
                <w:rFonts w:ascii="Arial" w:eastAsia="DengXian" w:hAnsi="Arial" w:cs="Arial"/>
                <w:i/>
                <w:sz w:val="20"/>
                <w:lang w:val="pt-BR" w:eastAsia="zh-CN"/>
              </w:rPr>
              <w:t>Leprotintinnus</w:t>
            </w:r>
            <w:proofErr w:type="spellEnd"/>
            <w:r w:rsidRPr="003A13F9">
              <w:rPr>
                <w:rFonts w:ascii="Arial" w:eastAsia="DengXian" w:hAnsi="Arial" w:cs="Arial"/>
                <w:i/>
                <w:sz w:val="20"/>
                <w:lang w:val="pt-BR" w:eastAsia="zh-CN"/>
              </w:rPr>
              <w:t xml:space="preserve"> </w:t>
            </w:r>
            <w:proofErr w:type="spellStart"/>
            <w:r w:rsidRPr="003A13F9">
              <w:rPr>
                <w:rFonts w:ascii="Arial" w:eastAsia="DengXian" w:hAnsi="Arial" w:cs="Arial"/>
                <w:i/>
                <w:sz w:val="20"/>
                <w:lang w:val="pt-BR" w:eastAsia="zh-CN"/>
              </w:rPr>
              <w:t>nordqvisti</w:t>
            </w:r>
            <w:proofErr w:type="spellEnd"/>
            <w:r w:rsidRPr="003A13F9">
              <w:rPr>
                <w:rFonts w:ascii="Arial" w:eastAsia="DengXian" w:hAnsi="Arial" w:cs="Arial"/>
                <w:i/>
                <w:sz w:val="20"/>
                <w:lang w:val="pt-BR" w:eastAsia="zh-CN"/>
              </w:rPr>
              <w:t xml:space="preserve"> </w:t>
            </w:r>
          </w:p>
          <w:p w14:paraId="53F74284" w14:textId="77777777" w:rsidR="002A7C08" w:rsidRPr="003A13F9" w:rsidRDefault="002A7C08" w:rsidP="004F5D0D">
            <w:pPr>
              <w:spacing w:line="240" w:lineRule="auto"/>
              <w:jc w:val="both"/>
              <w:rPr>
                <w:rFonts w:ascii="Arial" w:eastAsia="DengXian" w:hAnsi="Arial" w:cs="Arial"/>
                <w:bCs/>
                <w:sz w:val="20"/>
                <w:lang w:eastAsia="zh-CN"/>
              </w:rPr>
            </w:pPr>
            <w:r w:rsidRPr="003A13F9">
              <w:rPr>
                <w:rFonts w:ascii="Arial" w:eastAsia="DengXian" w:hAnsi="Arial" w:cs="Arial"/>
                <w:sz w:val="20"/>
                <w:lang w:val="pt-BR" w:eastAsia="zh-CN"/>
              </w:rPr>
              <w:t>FORAMINIFERA</w:t>
            </w:r>
          </w:p>
          <w:p w14:paraId="4FBF98B8" w14:textId="77777777" w:rsidR="002A7C08" w:rsidRPr="003A13F9" w:rsidRDefault="002A7C08" w:rsidP="004F5D0D">
            <w:pPr>
              <w:spacing w:line="240" w:lineRule="auto"/>
              <w:ind w:left="447"/>
              <w:jc w:val="both"/>
              <w:rPr>
                <w:rFonts w:ascii="Arial" w:eastAsia="DengXian" w:hAnsi="Arial" w:cs="Arial"/>
                <w:bCs/>
                <w:sz w:val="20"/>
                <w:lang w:eastAsia="zh-CN"/>
              </w:rPr>
            </w:pPr>
            <w:proofErr w:type="spellStart"/>
            <w:r w:rsidRPr="003A13F9">
              <w:rPr>
                <w:rFonts w:ascii="Arial" w:eastAsia="DengXian" w:hAnsi="Arial" w:cs="Arial"/>
                <w:i/>
                <w:sz w:val="20"/>
                <w:lang w:val="pt-BR" w:eastAsia="zh-CN"/>
              </w:rPr>
              <w:t>Globigerina</w:t>
            </w:r>
            <w:proofErr w:type="spellEnd"/>
            <w:r w:rsidRPr="003A13F9">
              <w:rPr>
                <w:rFonts w:ascii="Arial" w:eastAsia="DengXian" w:hAnsi="Arial" w:cs="Arial"/>
                <w:i/>
                <w:sz w:val="20"/>
                <w:lang w:val="pt-BR" w:eastAsia="zh-CN"/>
              </w:rPr>
              <w:t xml:space="preserve"> </w:t>
            </w:r>
            <w:r w:rsidRPr="003A13F9">
              <w:rPr>
                <w:rFonts w:ascii="Arial" w:eastAsia="DengXian" w:hAnsi="Arial" w:cs="Arial"/>
                <w:sz w:val="20"/>
                <w:lang w:val="pt-BR" w:eastAsia="zh-CN"/>
              </w:rPr>
              <w:t>sp.</w:t>
            </w:r>
          </w:p>
          <w:p w14:paraId="0452B1B9" w14:textId="77777777" w:rsidR="002A7C08" w:rsidRPr="003A13F9" w:rsidRDefault="002A7C08" w:rsidP="004F5D0D">
            <w:pPr>
              <w:spacing w:line="240" w:lineRule="auto"/>
              <w:jc w:val="both"/>
              <w:rPr>
                <w:rFonts w:ascii="Arial" w:eastAsia="DengXian" w:hAnsi="Arial" w:cs="Arial"/>
                <w:sz w:val="20"/>
                <w:lang w:val="pt-BR" w:eastAsia="zh-CN"/>
              </w:rPr>
            </w:pPr>
            <w:r w:rsidRPr="003A13F9">
              <w:rPr>
                <w:rFonts w:ascii="Arial" w:eastAsia="DengXian" w:hAnsi="Arial" w:cs="Arial"/>
                <w:sz w:val="20"/>
                <w:lang w:val="pt-BR" w:eastAsia="zh-CN"/>
              </w:rPr>
              <w:t>CNIDARIA</w:t>
            </w:r>
          </w:p>
          <w:p w14:paraId="7378C8BE" w14:textId="77777777" w:rsidR="002A7C08" w:rsidRPr="003A13F9" w:rsidRDefault="002A7C08" w:rsidP="004F5D0D">
            <w:pPr>
              <w:spacing w:line="240" w:lineRule="auto"/>
              <w:jc w:val="both"/>
              <w:rPr>
                <w:rFonts w:ascii="Arial" w:eastAsia="DengXian" w:hAnsi="Arial" w:cs="Arial"/>
                <w:bCs/>
                <w:sz w:val="20"/>
                <w:lang w:eastAsia="zh-CN"/>
              </w:rPr>
            </w:pPr>
            <w:r w:rsidRPr="003A13F9">
              <w:rPr>
                <w:rFonts w:ascii="Arial" w:eastAsia="DengXian" w:hAnsi="Arial" w:cs="Arial"/>
                <w:sz w:val="20"/>
                <w:lang w:val="pt-BR" w:eastAsia="zh-CN"/>
              </w:rPr>
              <w:t>MOLLUSCA</w:t>
            </w:r>
          </w:p>
          <w:p w14:paraId="7BBA0640" w14:textId="77777777" w:rsidR="002A7C08" w:rsidRPr="003A13F9" w:rsidRDefault="002A7C08" w:rsidP="004F5D0D">
            <w:pPr>
              <w:spacing w:line="240" w:lineRule="auto"/>
              <w:ind w:left="164"/>
              <w:jc w:val="both"/>
              <w:rPr>
                <w:rFonts w:ascii="Arial" w:eastAsia="DengXian" w:hAnsi="Arial" w:cs="Arial"/>
                <w:bCs/>
                <w:sz w:val="20"/>
                <w:lang w:eastAsia="zh-CN"/>
              </w:rPr>
            </w:pPr>
            <w:proofErr w:type="spellStart"/>
            <w:r w:rsidRPr="003A13F9">
              <w:rPr>
                <w:rFonts w:ascii="Arial" w:eastAsia="DengXian" w:hAnsi="Arial" w:cs="Arial"/>
                <w:sz w:val="20"/>
                <w:lang w:val="pt-BR" w:eastAsia="zh-CN"/>
              </w:rPr>
              <w:t>Gastropoda</w:t>
            </w:r>
            <w:proofErr w:type="spellEnd"/>
            <w:r w:rsidRPr="003A13F9">
              <w:rPr>
                <w:rFonts w:ascii="Arial" w:eastAsia="DengXian" w:hAnsi="Arial" w:cs="Arial"/>
                <w:sz w:val="20"/>
                <w:lang w:val="pt-BR" w:eastAsia="zh-CN"/>
              </w:rPr>
              <w:t xml:space="preserve"> (larva)</w:t>
            </w:r>
          </w:p>
          <w:p w14:paraId="2A8EAE60" w14:textId="77777777" w:rsidR="002A7C08" w:rsidRPr="003A13F9" w:rsidRDefault="002A7C08" w:rsidP="004F5D0D">
            <w:pPr>
              <w:spacing w:line="240" w:lineRule="auto"/>
              <w:ind w:left="164"/>
              <w:jc w:val="both"/>
              <w:rPr>
                <w:rFonts w:ascii="Arial" w:eastAsia="DengXian" w:hAnsi="Arial" w:cs="Arial"/>
                <w:bCs/>
                <w:sz w:val="20"/>
                <w:lang w:eastAsia="zh-CN"/>
              </w:rPr>
            </w:pPr>
            <w:proofErr w:type="spellStart"/>
            <w:r w:rsidRPr="003A13F9">
              <w:rPr>
                <w:rFonts w:ascii="Arial" w:eastAsia="DengXian" w:hAnsi="Arial" w:cs="Arial"/>
                <w:sz w:val="20"/>
                <w:lang w:val="pt-BR" w:eastAsia="zh-CN"/>
              </w:rPr>
              <w:t>Bivalvia</w:t>
            </w:r>
            <w:proofErr w:type="spellEnd"/>
            <w:r w:rsidRPr="003A13F9">
              <w:rPr>
                <w:rFonts w:ascii="Arial" w:eastAsia="DengXian" w:hAnsi="Arial" w:cs="Arial"/>
                <w:sz w:val="20"/>
                <w:lang w:val="pt-BR" w:eastAsia="zh-CN"/>
              </w:rPr>
              <w:t xml:space="preserve"> (larva)</w:t>
            </w:r>
          </w:p>
          <w:p w14:paraId="3EC46CB8" w14:textId="77777777" w:rsidR="002A7C08" w:rsidRPr="003A13F9" w:rsidRDefault="002A7C08" w:rsidP="004F5D0D">
            <w:pPr>
              <w:spacing w:line="240" w:lineRule="auto"/>
              <w:jc w:val="both"/>
              <w:rPr>
                <w:rFonts w:ascii="Arial" w:eastAsia="DengXian" w:hAnsi="Arial" w:cs="Arial"/>
                <w:bCs/>
                <w:sz w:val="20"/>
                <w:lang w:eastAsia="zh-CN"/>
              </w:rPr>
            </w:pPr>
            <w:r w:rsidRPr="003A13F9">
              <w:rPr>
                <w:rFonts w:ascii="Arial" w:eastAsia="DengXian" w:hAnsi="Arial" w:cs="Arial"/>
                <w:sz w:val="20"/>
                <w:lang w:val="pt-BR" w:eastAsia="zh-CN"/>
              </w:rPr>
              <w:t>ANNELIDA</w:t>
            </w:r>
          </w:p>
          <w:p w14:paraId="108BB280" w14:textId="77777777" w:rsidR="002A7C08" w:rsidRPr="003A13F9" w:rsidRDefault="002A7C08" w:rsidP="004F5D0D">
            <w:pPr>
              <w:spacing w:line="240" w:lineRule="auto"/>
              <w:ind w:left="164"/>
              <w:jc w:val="both"/>
              <w:rPr>
                <w:rFonts w:ascii="Arial" w:eastAsia="DengXian" w:hAnsi="Arial" w:cs="Arial"/>
                <w:bCs/>
                <w:sz w:val="20"/>
                <w:lang w:eastAsia="zh-CN"/>
              </w:rPr>
            </w:pPr>
            <w:proofErr w:type="spellStart"/>
            <w:r w:rsidRPr="003A13F9">
              <w:rPr>
                <w:rFonts w:ascii="Arial" w:eastAsia="DengXian" w:hAnsi="Arial" w:cs="Arial"/>
                <w:sz w:val="20"/>
                <w:lang w:val="pt-BR" w:eastAsia="zh-CN"/>
              </w:rPr>
              <w:t>Polychaeta</w:t>
            </w:r>
            <w:proofErr w:type="spellEnd"/>
          </w:p>
          <w:p w14:paraId="5A4BA24E" w14:textId="77777777" w:rsidR="002A7C08" w:rsidRPr="003A13F9" w:rsidRDefault="002A7C08" w:rsidP="004F5D0D">
            <w:pPr>
              <w:spacing w:line="240" w:lineRule="auto"/>
              <w:jc w:val="both"/>
              <w:rPr>
                <w:rFonts w:ascii="Arial" w:eastAsia="DengXian" w:hAnsi="Arial" w:cs="Arial"/>
                <w:bCs/>
                <w:sz w:val="20"/>
                <w:lang w:eastAsia="zh-CN"/>
              </w:rPr>
            </w:pPr>
            <w:r w:rsidRPr="003A13F9">
              <w:rPr>
                <w:rFonts w:ascii="Arial" w:eastAsia="DengXian" w:hAnsi="Arial" w:cs="Arial"/>
                <w:sz w:val="20"/>
                <w:lang w:val="pt-BR" w:eastAsia="zh-CN"/>
              </w:rPr>
              <w:t>ARTHROPODA</w:t>
            </w:r>
          </w:p>
          <w:p w14:paraId="229E60F5" w14:textId="77777777" w:rsidR="002A7C08" w:rsidRPr="003A13F9" w:rsidRDefault="002A7C08" w:rsidP="004F5D0D">
            <w:pPr>
              <w:spacing w:line="240" w:lineRule="auto"/>
              <w:jc w:val="both"/>
              <w:rPr>
                <w:rFonts w:ascii="Arial" w:eastAsia="DengXian" w:hAnsi="Arial" w:cs="Arial"/>
                <w:bCs/>
                <w:sz w:val="20"/>
                <w:lang w:eastAsia="zh-CN"/>
              </w:rPr>
            </w:pPr>
            <w:r w:rsidRPr="003A13F9">
              <w:rPr>
                <w:rFonts w:ascii="Arial" w:eastAsia="DengXian" w:hAnsi="Arial" w:cs="Arial"/>
                <w:sz w:val="20"/>
                <w:lang w:val="pt-BR" w:eastAsia="zh-CN"/>
              </w:rPr>
              <w:t xml:space="preserve">Larva </w:t>
            </w:r>
            <w:proofErr w:type="spellStart"/>
            <w:r w:rsidRPr="003A13F9">
              <w:rPr>
                <w:rFonts w:ascii="Arial" w:eastAsia="DengXian" w:hAnsi="Arial" w:cs="Arial"/>
                <w:sz w:val="20"/>
                <w:lang w:val="pt-BR" w:eastAsia="zh-CN"/>
              </w:rPr>
              <w:t>náuplio</w:t>
            </w:r>
            <w:proofErr w:type="spellEnd"/>
          </w:p>
          <w:p w14:paraId="30FA4995" w14:textId="77777777" w:rsidR="002A7C08" w:rsidRPr="003A13F9" w:rsidRDefault="002A7C08" w:rsidP="004F5D0D">
            <w:pPr>
              <w:spacing w:line="240" w:lineRule="auto"/>
              <w:ind w:left="164"/>
              <w:jc w:val="both"/>
              <w:rPr>
                <w:rFonts w:ascii="Arial" w:eastAsia="DengXian" w:hAnsi="Arial" w:cs="Arial"/>
                <w:bCs/>
                <w:sz w:val="20"/>
                <w:lang w:eastAsia="zh-CN"/>
              </w:rPr>
            </w:pPr>
            <w:proofErr w:type="spellStart"/>
            <w:r w:rsidRPr="003A13F9">
              <w:rPr>
                <w:rFonts w:ascii="Arial" w:eastAsia="DengXian" w:hAnsi="Arial" w:cs="Arial"/>
                <w:sz w:val="20"/>
                <w:lang w:val="pt-BR" w:eastAsia="zh-CN"/>
              </w:rPr>
              <w:t>Crustacea</w:t>
            </w:r>
            <w:proofErr w:type="spellEnd"/>
          </w:p>
          <w:p w14:paraId="0CE5A3E9" w14:textId="77777777" w:rsidR="002A7C08" w:rsidRPr="003A13F9" w:rsidRDefault="002A7C08" w:rsidP="004F5D0D">
            <w:pPr>
              <w:spacing w:line="240" w:lineRule="auto"/>
              <w:ind w:left="447"/>
              <w:jc w:val="both"/>
              <w:rPr>
                <w:rFonts w:ascii="Arial" w:eastAsia="DengXian" w:hAnsi="Arial" w:cs="Arial"/>
                <w:bCs/>
                <w:sz w:val="20"/>
                <w:lang w:eastAsia="zh-CN"/>
              </w:rPr>
            </w:pPr>
            <w:proofErr w:type="spellStart"/>
            <w:r w:rsidRPr="003A13F9">
              <w:rPr>
                <w:rFonts w:ascii="Arial" w:eastAsia="DengXian" w:hAnsi="Arial" w:cs="Arial"/>
                <w:sz w:val="20"/>
                <w:lang w:val="pt-BR" w:eastAsia="zh-CN"/>
              </w:rPr>
              <w:t>Copepoda</w:t>
            </w:r>
            <w:proofErr w:type="spellEnd"/>
          </w:p>
        </w:tc>
        <w:tc>
          <w:tcPr>
            <w:tcW w:w="2926" w:type="dxa"/>
            <w:tcBorders>
              <w:top w:val="single" w:sz="12" w:space="0" w:color="auto"/>
              <w:bottom w:val="single" w:sz="12" w:space="0" w:color="auto"/>
              <w:right w:val="nil"/>
            </w:tcBorders>
          </w:tcPr>
          <w:p w14:paraId="60CDDFC2" w14:textId="77777777" w:rsidR="002A7C08" w:rsidRPr="003A13F9" w:rsidRDefault="002A7C08" w:rsidP="004F5D0D">
            <w:pPr>
              <w:spacing w:line="240" w:lineRule="auto"/>
              <w:ind w:left="314"/>
              <w:jc w:val="both"/>
              <w:rPr>
                <w:rFonts w:ascii="Arial" w:eastAsia="DengXian" w:hAnsi="Arial" w:cs="Arial"/>
                <w:bCs/>
                <w:sz w:val="20"/>
                <w:lang w:eastAsia="zh-CN"/>
              </w:rPr>
            </w:pPr>
            <w:proofErr w:type="spellStart"/>
            <w:r w:rsidRPr="003A13F9">
              <w:rPr>
                <w:rFonts w:ascii="Arial" w:eastAsia="DengXian" w:hAnsi="Arial" w:cs="Arial"/>
                <w:sz w:val="20"/>
                <w:lang w:val="pt-BR" w:eastAsia="zh-CN"/>
              </w:rPr>
              <w:t>Calanoida</w:t>
            </w:r>
            <w:proofErr w:type="spellEnd"/>
          </w:p>
          <w:p w14:paraId="550E0591" w14:textId="77777777" w:rsidR="002A7C08" w:rsidRPr="003A13F9" w:rsidRDefault="002A7C08" w:rsidP="004F5D0D">
            <w:pPr>
              <w:spacing w:line="240" w:lineRule="auto"/>
              <w:ind w:left="314"/>
              <w:jc w:val="both"/>
              <w:rPr>
                <w:rFonts w:ascii="Arial" w:eastAsia="DengXian" w:hAnsi="Arial" w:cs="Arial"/>
                <w:bCs/>
                <w:sz w:val="20"/>
                <w:lang w:eastAsia="zh-CN"/>
              </w:rPr>
            </w:pPr>
            <w:proofErr w:type="spellStart"/>
            <w:r w:rsidRPr="003A13F9">
              <w:rPr>
                <w:rFonts w:ascii="Arial" w:eastAsia="DengXian" w:hAnsi="Arial" w:cs="Arial"/>
                <w:sz w:val="20"/>
                <w:lang w:val="pt-BR" w:eastAsia="zh-CN"/>
              </w:rPr>
              <w:t>Cyclopoida</w:t>
            </w:r>
            <w:proofErr w:type="spellEnd"/>
          </w:p>
          <w:p w14:paraId="15F881B1" w14:textId="77777777" w:rsidR="002A7C08" w:rsidRPr="003A13F9" w:rsidRDefault="002A7C08" w:rsidP="004F5D0D">
            <w:pPr>
              <w:spacing w:line="240" w:lineRule="auto"/>
              <w:ind w:left="314"/>
              <w:jc w:val="both"/>
              <w:rPr>
                <w:rFonts w:ascii="Arial" w:eastAsia="DengXian" w:hAnsi="Arial" w:cs="Arial"/>
                <w:bCs/>
                <w:sz w:val="20"/>
                <w:lang w:eastAsia="zh-CN"/>
              </w:rPr>
            </w:pPr>
            <w:proofErr w:type="spellStart"/>
            <w:r w:rsidRPr="003A13F9">
              <w:rPr>
                <w:rFonts w:ascii="Arial" w:eastAsia="DengXian" w:hAnsi="Arial" w:cs="Arial"/>
                <w:sz w:val="20"/>
                <w:lang w:val="pt-BR" w:eastAsia="zh-CN"/>
              </w:rPr>
              <w:t>Harpacticoida</w:t>
            </w:r>
            <w:proofErr w:type="spellEnd"/>
          </w:p>
          <w:p w14:paraId="799419FF" w14:textId="77777777" w:rsidR="002A7C08" w:rsidRPr="003A13F9" w:rsidRDefault="002A7C08" w:rsidP="004F5D0D">
            <w:pPr>
              <w:spacing w:line="240" w:lineRule="auto"/>
              <w:ind w:left="172"/>
              <w:jc w:val="both"/>
              <w:rPr>
                <w:rFonts w:ascii="Arial" w:eastAsia="DengXian" w:hAnsi="Arial" w:cs="Arial"/>
                <w:bCs/>
                <w:sz w:val="20"/>
                <w:lang w:eastAsia="zh-CN"/>
              </w:rPr>
            </w:pPr>
            <w:proofErr w:type="spellStart"/>
            <w:r w:rsidRPr="003A13F9">
              <w:rPr>
                <w:rFonts w:ascii="Arial" w:eastAsia="DengXian" w:hAnsi="Arial" w:cs="Arial"/>
                <w:sz w:val="20"/>
                <w:lang w:val="pt-BR" w:eastAsia="zh-CN"/>
              </w:rPr>
              <w:t>Cirripedia</w:t>
            </w:r>
            <w:proofErr w:type="spellEnd"/>
            <w:r w:rsidRPr="003A13F9">
              <w:rPr>
                <w:rFonts w:ascii="Arial" w:eastAsia="DengXian" w:hAnsi="Arial" w:cs="Arial"/>
                <w:sz w:val="20"/>
                <w:lang w:val="pt-BR" w:eastAsia="zh-CN"/>
              </w:rPr>
              <w:t xml:space="preserve"> (larva </w:t>
            </w:r>
            <w:proofErr w:type="spellStart"/>
            <w:r w:rsidRPr="003A13F9">
              <w:rPr>
                <w:rFonts w:ascii="Arial" w:eastAsia="DengXian" w:hAnsi="Arial" w:cs="Arial"/>
                <w:sz w:val="20"/>
                <w:lang w:val="pt-BR" w:eastAsia="zh-CN"/>
              </w:rPr>
              <w:t>cípris</w:t>
            </w:r>
            <w:proofErr w:type="spellEnd"/>
            <w:r w:rsidRPr="003A13F9">
              <w:rPr>
                <w:rFonts w:ascii="Arial" w:eastAsia="DengXian" w:hAnsi="Arial" w:cs="Arial"/>
                <w:sz w:val="20"/>
                <w:lang w:val="pt-BR" w:eastAsia="zh-CN"/>
              </w:rPr>
              <w:t>)</w:t>
            </w:r>
          </w:p>
          <w:p w14:paraId="41B63C67" w14:textId="77777777" w:rsidR="002A7C08" w:rsidRPr="003A13F9" w:rsidRDefault="002A7C08" w:rsidP="004F5D0D">
            <w:pPr>
              <w:spacing w:line="240" w:lineRule="auto"/>
              <w:ind w:left="172"/>
              <w:jc w:val="both"/>
              <w:rPr>
                <w:rFonts w:ascii="Arial" w:eastAsia="DengXian" w:hAnsi="Arial" w:cs="Arial"/>
                <w:bCs/>
                <w:sz w:val="20"/>
                <w:lang w:eastAsia="zh-CN"/>
              </w:rPr>
            </w:pPr>
            <w:proofErr w:type="spellStart"/>
            <w:r w:rsidRPr="003A13F9">
              <w:rPr>
                <w:rFonts w:ascii="Arial" w:eastAsia="DengXian" w:hAnsi="Arial" w:cs="Arial"/>
                <w:sz w:val="20"/>
                <w:lang w:val="pt-BR" w:eastAsia="zh-CN"/>
              </w:rPr>
              <w:t>Decapoda</w:t>
            </w:r>
            <w:proofErr w:type="spellEnd"/>
          </w:p>
          <w:p w14:paraId="0738237F" w14:textId="77777777" w:rsidR="002A7C08" w:rsidRPr="003A13F9" w:rsidRDefault="002A7C08" w:rsidP="004F5D0D">
            <w:pPr>
              <w:spacing w:line="240" w:lineRule="auto"/>
              <w:ind w:left="172"/>
              <w:jc w:val="both"/>
              <w:rPr>
                <w:rFonts w:ascii="Arial" w:eastAsia="DengXian" w:hAnsi="Arial" w:cs="Arial"/>
                <w:bCs/>
                <w:sz w:val="20"/>
                <w:lang w:eastAsia="zh-CN"/>
              </w:rPr>
            </w:pPr>
            <w:proofErr w:type="spellStart"/>
            <w:r w:rsidRPr="003A13F9">
              <w:rPr>
                <w:rFonts w:ascii="Arial" w:eastAsia="DengXian" w:hAnsi="Arial" w:cs="Arial"/>
                <w:sz w:val="20"/>
                <w:lang w:val="pt-BR" w:eastAsia="zh-CN"/>
              </w:rPr>
              <w:t>Isopoda</w:t>
            </w:r>
            <w:proofErr w:type="spellEnd"/>
          </w:p>
          <w:p w14:paraId="0FB67E14" w14:textId="77777777" w:rsidR="002A7C08" w:rsidRPr="003A13F9" w:rsidRDefault="002A7C08" w:rsidP="004F5D0D">
            <w:pPr>
              <w:spacing w:line="240" w:lineRule="auto"/>
              <w:jc w:val="both"/>
              <w:rPr>
                <w:rFonts w:ascii="Arial" w:eastAsia="DengXian" w:hAnsi="Arial" w:cs="Arial"/>
                <w:bCs/>
                <w:sz w:val="20"/>
                <w:lang w:eastAsia="zh-CN"/>
              </w:rPr>
            </w:pPr>
            <w:r w:rsidRPr="003A13F9">
              <w:rPr>
                <w:rFonts w:ascii="Arial" w:eastAsia="DengXian" w:hAnsi="Arial" w:cs="Arial"/>
                <w:sz w:val="20"/>
                <w:lang w:val="pt-BR" w:eastAsia="zh-CN"/>
              </w:rPr>
              <w:t>BRYOZOA</w:t>
            </w:r>
          </w:p>
          <w:p w14:paraId="670F8EEB" w14:textId="77777777" w:rsidR="002A7C08" w:rsidRPr="003A13F9" w:rsidRDefault="002A7C08" w:rsidP="004F5D0D">
            <w:pPr>
              <w:spacing w:line="240" w:lineRule="auto"/>
              <w:jc w:val="both"/>
              <w:rPr>
                <w:rFonts w:ascii="Arial" w:eastAsia="DengXian" w:hAnsi="Arial" w:cs="Arial"/>
                <w:bCs/>
                <w:sz w:val="20"/>
                <w:lang w:eastAsia="zh-CN"/>
              </w:rPr>
            </w:pPr>
            <w:r w:rsidRPr="003A13F9">
              <w:rPr>
                <w:rFonts w:ascii="Arial" w:eastAsia="DengXian" w:hAnsi="Arial" w:cs="Arial"/>
                <w:sz w:val="20"/>
                <w:lang w:val="pt-BR" w:eastAsia="zh-CN"/>
              </w:rPr>
              <w:t>ECHINODERMATA</w:t>
            </w:r>
          </w:p>
          <w:p w14:paraId="5AEABC6A" w14:textId="77777777" w:rsidR="002A7C08" w:rsidRPr="003A13F9" w:rsidRDefault="002A7C08" w:rsidP="004F5D0D">
            <w:pPr>
              <w:spacing w:line="240" w:lineRule="auto"/>
              <w:jc w:val="both"/>
              <w:rPr>
                <w:rFonts w:ascii="Arial" w:eastAsia="DengXian" w:hAnsi="Arial" w:cs="Arial"/>
                <w:bCs/>
                <w:sz w:val="20"/>
                <w:lang w:eastAsia="zh-CN"/>
              </w:rPr>
            </w:pPr>
            <w:r w:rsidRPr="003A13F9">
              <w:rPr>
                <w:rFonts w:ascii="Arial" w:eastAsia="DengXian" w:hAnsi="Arial" w:cs="Arial"/>
                <w:sz w:val="20"/>
                <w:lang w:val="pt-BR" w:eastAsia="zh-CN"/>
              </w:rPr>
              <w:t>CHAETOGNATA</w:t>
            </w:r>
          </w:p>
          <w:p w14:paraId="7A4B0FB0" w14:textId="77777777" w:rsidR="002A7C08" w:rsidRPr="003A13F9" w:rsidRDefault="002A7C08" w:rsidP="004F5D0D">
            <w:pPr>
              <w:spacing w:line="240" w:lineRule="auto"/>
              <w:jc w:val="both"/>
              <w:rPr>
                <w:rFonts w:ascii="Arial" w:eastAsia="DengXian" w:hAnsi="Arial" w:cs="Arial"/>
                <w:bCs/>
                <w:sz w:val="20"/>
                <w:lang w:eastAsia="zh-CN"/>
              </w:rPr>
            </w:pPr>
            <w:r w:rsidRPr="003A13F9">
              <w:rPr>
                <w:rFonts w:ascii="Arial" w:eastAsia="DengXian" w:hAnsi="Arial" w:cs="Arial"/>
                <w:sz w:val="20"/>
                <w:lang w:val="pt-BR" w:eastAsia="zh-CN"/>
              </w:rPr>
              <w:t>CHORDATA</w:t>
            </w:r>
          </w:p>
          <w:p w14:paraId="2CA5C355" w14:textId="77777777" w:rsidR="002A7C08" w:rsidRPr="003A13F9" w:rsidRDefault="002A7C08" w:rsidP="004F5D0D">
            <w:pPr>
              <w:spacing w:line="240" w:lineRule="auto"/>
              <w:ind w:left="172"/>
              <w:rPr>
                <w:rFonts w:ascii="Arial" w:eastAsia="DengXian" w:hAnsi="Arial" w:cs="Arial"/>
                <w:bCs/>
                <w:sz w:val="20"/>
                <w:lang w:eastAsia="zh-CN"/>
              </w:rPr>
            </w:pPr>
            <w:proofErr w:type="spellStart"/>
            <w:r w:rsidRPr="003A13F9">
              <w:rPr>
                <w:rFonts w:ascii="Arial" w:eastAsia="DengXian" w:hAnsi="Arial" w:cs="Arial"/>
                <w:sz w:val="20"/>
                <w:lang w:val="pt-BR" w:eastAsia="zh-CN"/>
              </w:rPr>
              <w:t>Tunicata</w:t>
            </w:r>
            <w:proofErr w:type="spellEnd"/>
          </w:p>
          <w:p w14:paraId="6E435909" w14:textId="77777777" w:rsidR="002A7C08" w:rsidRPr="003A13F9" w:rsidRDefault="002A7C08" w:rsidP="004F5D0D">
            <w:pPr>
              <w:spacing w:line="240" w:lineRule="auto"/>
              <w:ind w:left="456"/>
              <w:jc w:val="both"/>
              <w:rPr>
                <w:rFonts w:ascii="Arial" w:eastAsia="DengXian" w:hAnsi="Arial" w:cs="Arial"/>
                <w:bCs/>
                <w:sz w:val="20"/>
                <w:lang w:eastAsia="zh-CN"/>
              </w:rPr>
            </w:pPr>
            <w:proofErr w:type="spellStart"/>
            <w:r w:rsidRPr="003A13F9">
              <w:rPr>
                <w:rFonts w:ascii="Arial" w:eastAsia="DengXian" w:hAnsi="Arial" w:cs="Arial"/>
                <w:i/>
                <w:sz w:val="20"/>
                <w:lang w:val="pt-BR" w:eastAsia="zh-CN"/>
              </w:rPr>
              <w:t>Doliolum</w:t>
            </w:r>
            <w:proofErr w:type="spellEnd"/>
            <w:r w:rsidRPr="003A13F9">
              <w:rPr>
                <w:rFonts w:ascii="Arial" w:eastAsia="DengXian" w:hAnsi="Arial" w:cs="Arial"/>
                <w:i/>
                <w:sz w:val="20"/>
                <w:lang w:val="pt-BR" w:eastAsia="zh-CN"/>
              </w:rPr>
              <w:t xml:space="preserve"> </w:t>
            </w:r>
            <w:r w:rsidRPr="003A13F9">
              <w:rPr>
                <w:rFonts w:ascii="Arial" w:eastAsia="DengXian" w:hAnsi="Arial" w:cs="Arial"/>
                <w:sz w:val="20"/>
                <w:lang w:val="pt-BR" w:eastAsia="zh-CN"/>
              </w:rPr>
              <w:t>sp.</w:t>
            </w:r>
          </w:p>
          <w:p w14:paraId="28BBA136" w14:textId="77777777" w:rsidR="002A7C08" w:rsidRPr="003A13F9" w:rsidRDefault="002A7C08" w:rsidP="004F5D0D">
            <w:pPr>
              <w:spacing w:line="240" w:lineRule="auto"/>
              <w:ind w:left="456"/>
              <w:jc w:val="both"/>
              <w:rPr>
                <w:rFonts w:ascii="Arial" w:eastAsia="DengXian" w:hAnsi="Arial" w:cs="Arial"/>
                <w:bCs/>
                <w:sz w:val="20"/>
                <w:lang w:eastAsia="zh-CN"/>
              </w:rPr>
            </w:pPr>
            <w:proofErr w:type="spellStart"/>
            <w:r w:rsidRPr="003A13F9">
              <w:rPr>
                <w:rFonts w:ascii="Arial" w:eastAsia="DengXian" w:hAnsi="Arial" w:cs="Arial"/>
                <w:i/>
                <w:sz w:val="20"/>
                <w:lang w:val="pt-BR" w:eastAsia="zh-CN"/>
              </w:rPr>
              <w:t>Oikopleura</w:t>
            </w:r>
            <w:proofErr w:type="spellEnd"/>
            <w:r w:rsidRPr="003A13F9">
              <w:rPr>
                <w:rFonts w:ascii="Arial" w:eastAsia="DengXian" w:hAnsi="Arial" w:cs="Arial"/>
                <w:i/>
                <w:sz w:val="20"/>
                <w:lang w:val="pt-BR" w:eastAsia="zh-CN"/>
              </w:rPr>
              <w:t xml:space="preserve"> </w:t>
            </w:r>
            <w:r w:rsidRPr="003A13F9">
              <w:rPr>
                <w:rFonts w:ascii="Arial" w:eastAsia="DengXian" w:hAnsi="Arial" w:cs="Arial"/>
                <w:sz w:val="20"/>
                <w:lang w:val="pt-BR" w:eastAsia="zh-CN"/>
              </w:rPr>
              <w:t>sp.</w:t>
            </w:r>
          </w:p>
          <w:p w14:paraId="412460AB" w14:textId="77777777" w:rsidR="002A7C08" w:rsidRPr="003A13F9" w:rsidRDefault="002A7C08" w:rsidP="004F5D0D">
            <w:pPr>
              <w:spacing w:line="240" w:lineRule="auto"/>
              <w:ind w:left="172"/>
              <w:jc w:val="both"/>
              <w:rPr>
                <w:rFonts w:ascii="Arial" w:eastAsia="DengXian" w:hAnsi="Arial" w:cs="Arial"/>
                <w:bCs/>
                <w:sz w:val="20"/>
                <w:lang w:eastAsia="zh-CN"/>
              </w:rPr>
            </w:pPr>
            <w:proofErr w:type="spellStart"/>
            <w:r w:rsidRPr="003A13F9">
              <w:rPr>
                <w:rFonts w:ascii="Arial" w:eastAsia="DengXian" w:hAnsi="Arial" w:cs="Arial"/>
                <w:sz w:val="20"/>
                <w:lang w:val="pt-BR" w:eastAsia="zh-CN"/>
              </w:rPr>
              <w:t>Teleostei</w:t>
            </w:r>
            <w:proofErr w:type="spellEnd"/>
            <w:r w:rsidRPr="003A13F9">
              <w:rPr>
                <w:rFonts w:ascii="Arial" w:eastAsia="DengXian" w:hAnsi="Arial" w:cs="Arial"/>
                <w:sz w:val="20"/>
                <w:lang w:val="pt-BR" w:eastAsia="zh-CN"/>
              </w:rPr>
              <w:t xml:space="preserve"> (ovo e larva)</w:t>
            </w:r>
          </w:p>
        </w:tc>
      </w:tr>
    </w:tbl>
    <w:p w14:paraId="50AA8BDB" w14:textId="77777777" w:rsidR="002A7C08" w:rsidRPr="00656030" w:rsidRDefault="002A7C08" w:rsidP="004F5D0D">
      <w:pPr>
        <w:spacing w:line="240" w:lineRule="auto"/>
        <w:jc w:val="both"/>
        <w:rPr>
          <w:rFonts w:eastAsia="DengXian"/>
          <w:sz w:val="20"/>
          <w:lang w:val="pt-BR" w:eastAsia="zh-CN"/>
        </w:rPr>
      </w:pPr>
      <w:r w:rsidRPr="00656030">
        <w:rPr>
          <w:rFonts w:eastAsia="DengXian"/>
          <w:sz w:val="20"/>
          <w:lang w:val="pt-BR" w:eastAsia="zh-CN"/>
        </w:rPr>
        <w:t xml:space="preserve"> </w:t>
      </w:r>
      <w:r w:rsidRPr="00656030">
        <w:rPr>
          <w:rFonts w:eastAsia="DengXian"/>
          <w:sz w:val="20"/>
          <w:lang w:val="pt-BR" w:eastAsia="zh-CN"/>
        </w:rPr>
        <w:tab/>
        <w:t>Em relação à quantidade de táxons encontrados nas regiões de amostragem, não se verificou diferenças significativas entre as duas áreas. Durante os meses de fevereiro e junho de 2022, na Área 2, que corresponde ao meio do emissário, houve maior diversidade de grupos do que na Área 1, que localiza-se no final do emissário. Em janeiro de 2023 o número de táxons foi igual em ambas as áreas e em abril de 2023 a Área 1 apresentou-se ligeiramente mais variada que a Área 2 (Fig. 1).</w:t>
      </w:r>
    </w:p>
    <w:p w14:paraId="39C42694" w14:textId="77777777" w:rsidR="002A7C08" w:rsidRPr="00656030" w:rsidRDefault="002A7C08" w:rsidP="004F5D0D">
      <w:pPr>
        <w:spacing w:line="240" w:lineRule="auto"/>
        <w:jc w:val="center"/>
        <w:rPr>
          <w:rFonts w:eastAsia="DengXian"/>
          <w:sz w:val="20"/>
          <w:lang w:val="pt-BR" w:eastAsia="zh-CN"/>
        </w:rPr>
      </w:pPr>
      <w:r w:rsidRPr="00656030">
        <w:rPr>
          <w:rFonts w:eastAsia="DengXian"/>
          <w:noProof/>
          <w:sz w:val="20"/>
          <w:lang w:val="pt-BR"/>
        </w:rPr>
        <w:drawing>
          <wp:inline distT="0" distB="0" distL="0" distR="0" wp14:anchorId="320EC935" wp14:editId="7C49C467">
            <wp:extent cx="3667125" cy="191452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508C353" w14:textId="77777777" w:rsidR="002A7C08" w:rsidRPr="00656030" w:rsidRDefault="002A7C08" w:rsidP="004F5D0D">
      <w:pPr>
        <w:spacing w:line="240" w:lineRule="auto"/>
        <w:jc w:val="center"/>
        <w:rPr>
          <w:rFonts w:eastAsia="DengXian"/>
          <w:sz w:val="20"/>
          <w:lang w:val="pt-BR" w:eastAsia="zh-CN"/>
        </w:rPr>
      </w:pPr>
      <w:r w:rsidRPr="00656030">
        <w:rPr>
          <w:rFonts w:eastAsia="DengXian"/>
          <w:sz w:val="20"/>
          <w:lang w:val="pt-BR" w:eastAsia="zh-CN"/>
        </w:rPr>
        <w:t>Figura 1. Números de táxons identificados em cada área de amostragem nos meses de coleta dos dados.</w:t>
      </w:r>
    </w:p>
    <w:p w14:paraId="2C3A0C8A" w14:textId="77777777" w:rsidR="002A7C08" w:rsidRPr="00656030" w:rsidRDefault="002A7C08" w:rsidP="004F5D0D">
      <w:pPr>
        <w:spacing w:line="240" w:lineRule="auto"/>
        <w:jc w:val="both"/>
        <w:rPr>
          <w:rFonts w:eastAsia="DengXian"/>
          <w:sz w:val="20"/>
          <w:lang w:val="pt-BR" w:eastAsia="zh-CN"/>
        </w:rPr>
      </w:pPr>
      <w:r w:rsidRPr="00656030">
        <w:rPr>
          <w:rFonts w:eastAsia="DengXian"/>
          <w:sz w:val="20"/>
          <w:lang w:val="pt-BR" w:eastAsia="zh-CN"/>
        </w:rPr>
        <w:tab/>
        <w:t xml:space="preserve">Regiões costeiras que estão sujeitas à forte influência de estuários, como é o caso da área do presente estudo, possuem grandes variações nas condições ambientais (Pessoa et al., 2009), o que permite que uma ampla gama de espécies, tanto marinhas quanto estuarinas, consigam habitar tais ambientes. </w:t>
      </w:r>
    </w:p>
    <w:p w14:paraId="49FFC540" w14:textId="77777777" w:rsidR="002A7C08" w:rsidRPr="00656030" w:rsidRDefault="002A7C08" w:rsidP="004F5D0D">
      <w:pPr>
        <w:spacing w:line="240" w:lineRule="auto"/>
        <w:ind w:firstLine="708"/>
        <w:jc w:val="both"/>
        <w:rPr>
          <w:rFonts w:eastAsia="DengXian"/>
          <w:sz w:val="20"/>
          <w:lang w:val="pt-BR" w:eastAsia="zh-CN"/>
        </w:rPr>
      </w:pPr>
      <w:r w:rsidRPr="00656030">
        <w:rPr>
          <w:rFonts w:eastAsia="DengXian"/>
          <w:sz w:val="20"/>
          <w:lang w:val="pt-BR" w:eastAsia="zh-CN"/>
        </w:rPr>
        <w:t xml:space="preserve">O grupo mais expressivo nas amostras foi de representantes do subfilo </w:t>
      </w:r>
      <w:proofErr w:type="spellStart"/>
      <w:r w:rsidRPr="00656030">
        <w:rPr>
          <w:rFonts w:eastAsia="DengXian"/>
          <w:sz w:val="20"/>
          <w:lang w:val="pt-BR" w:eastAsia="zh-CN"/>
        </w:rPr>
        <w:t>Crustacea</w:t>
      </w:r>
      <w:proofErr w:type="spellEnd"/>
      <w:r w:rsidRPr="00656030">
        <w:rPr>
          <w:rFonts w:eastAsia="DengXian"/>
          <w:sz w:val="20"/>
          <w:lang w:val="pt-BR" w:eastAsia="zh-CN"/>
        </w:rPr>
        <w:t xml:space="preserve">, especificamente da subclasse </w:t>
      </w:r>
      <w:proofErr w:type="spellStart"/>
      <w:r w:rsidRPr="00656030">
        <w:rPr>
          <w:rFonts w:eastAsia="DengXian"/>
          <w:sz w:val="20"/>
          <w:lang w:val="pt-BR" w:eastAsia="zh-CN"/>
        </w:rPr>
        <w:t>Copepoda</w:t>
      </w:r>
      <w:proofErr w:type="spellEnd"/>
      <w:r w:rsidRPr="00656030">
        <w:rPr>
          <w:rFonts w:eastAsia="DengXian"/>
          <w:sz w:val="20"/>
          <w:lang w:val="pt-BR" w:eastAsia="zh-CN"/>
        </w:rPr>
        <w:t xml:space="preserve">. Os </w:t>
      </w:r>
      <w:proofErr w:type="spellStart"/>
      <w:r w:rsidRPr="00656030">
        <w:rPr>
          <w:rFonts w:eastAsia="DengXian"/>
          <w:sz w:val="20"/>
          <w:lang w:val="pt-BR" w:eastAsia="zh-CN"/>
        </w:rPr>
        <w:t>copépodes</w:t>
      </w:r>
      <w:proofErr w:type="spellEnd"/>
      <w:r w:rsidRPr="00656030">
        <w:rPr>
          <w:rFonts w:eastAsia="DengXian"/>
          <w:sz w:val="20"/>
          <w:lang w:val="pt-BR" w:eastAsia="zh-CN"/>
        </w:rPr>
        <w:t xml:space="preserve"> foram os organismos mais numerosos no material coletado em ambas as áreas, em todos os meses do estudo. Segundo Silva e colaboradores (2004), a dominância do grupo </w:t>
      </w:r>
      <w:proofErr w:type="spellStart"/>
      <w:r w:rsidRPr="00656030">
        <w:rPr>
          <w:rFonts w:eastAsia="DengXian"/>
          <w:sz w:val="20"/>
          <w:lang w:val="pt-BR" w:eastAsia="zh-CN"/>
        </w:rPr>
        <w:t>Copepoda</w:t>
      </w:r>
      <w:proofErr w:type="spellEnd"/>
      <w:r w:rsidRPr="00656030">
        <w:rPr>
          <w:rFonts w:eastAsia="DengXian"/>
          <w:sz w:val="20"/>
          <w:lang w:val="pt-BR" w:eastAsia="zh-CN"/>
        </w:rPr>
        <w:t xml:space="preserve"> tem sido relatada em estuários tropicais da costa brasileira, sendo o segundo grupo mais prevalente em grande parte dos estuários pernambucanos, de acordo com Neumann-Leitão et al. (1998).</w:t>
      </w:r>
    </w:p>
    <w:p w14:paraId="743F0E26" w14:textId="77777777" w:rsidR="002A7C08" w:rsidRPr="00656030" w:rsidRDefault="002A7C08" w:rsidP="004F5D0D">
      <w:pPr>
        <w:spacing w:line="240" w:lineRule="auto"/>
        <w:ind w:firstLine="708"/>
        <w:jc w:val="both"/>
        <w:rPr>
          <w:rFonts w:eastAsia="DengXian"/>
          <w:sz w:val="20"/>
          <w:lang w:val="pt-BR" w:eastAsia="zh-CN"/>
        </w:rPr>
      </w:pPr>
      <w:r w:rsidRPr="00656030">
        <w:rPr>
          <w:rFonts w:eastAsia="DengXian"/>
          <w:sz w:val="20"/>
          <w:lang w:val="pt-BR" w:eastAsia="zh-CN"/>
        </w:rPr>
        <w:t xml:space="preserve">Os demais táxons encontrados também apresentaram valores semelhantes no que diz respeito ao número de indivíduos em ambos os pontos. Dessa forma, foi possível constatar que não há variação </w:t>
      </w:r>
      <w:r w:rsidRPr="00656030">
        <w:rPr>
          <w:rFonts w:eastAsia="DengXian"/>
          <w:sz w:val="20"/>
          <w:lang w:val="pt-BR" w:eastAsia="zh-CN"/>
        </w:rPr>
        <w:lastRenderedPageBreak/>
        <w:t>considerável em relação a esse aspecto entre a área controle (Área 2) e região do final do emissário (Área1). Os dados obtidos ao longo do estudo revelaram que as duas regiões possuem bastante similaridade, tanto em composição faunística quanto em número de espécimes, estando assim o final do emissário em conformidade com a área controle.</w:t>
      </w:r>
    </w:p>
    <w:p w14:paraId="61F47989" w14:textId="77777777" w:rsidR="00A2325D" w:rsidRDefault="00A2325D" w:rsidP="004F5D0D">
      <w:pPr>
        <w:spacing w:line="240" w:lineRule="auto"/>
        <w:jc w:val="both"/>
        <w:rPr>
          <w:rFonts w:eastAsiaTheme="minorEastAsia"/>
          <w:b/>
          <w:sz w:val="20"/>
          <w:szCs w:val="20"/>
          <w:lang w:eastAsia="zh-CN"/>
        </w:rPr>
      </w:pPr>
    </w:p>
    <w:p w14:paraId="4B019DDA" w14:textId="4864E6BB" w:rsidR="003E0D7E" w:rsidRPr="00656030" w:rsidRDefault="00BB0F58" w:rsidP="004F5D0D">
      <w:pPr>
        <w:spacing w:line="240" w:lineRule="auto"/>
        <w:jc w:val="both"/>
        <w:rPr>
          <w:rFonts w:eastAsia="Times New Roman"/>
          <w:b/>
          <w:sz w:val="20"/>
          <w:szCs w:val="20"/>
        </w:rPr>
      </w:pPr>
      <w:r w:rsidRPr="00656030">
        <w:rPr>
          <w:rFonts w:eastAsia="Times New Roman"/>
          <w:b/>
          <w:sz w:val="20"/>
          <w:szCs w:val="20"/>
        </w:rPr>
        <w:t>CONCLUSÕES</w:t>
      </w:r>
    </w:p>
    <w:p w14:paraId="6DBD4529" w14:textId="63516177" w:rsidR="002A7C08" w:rsidRPr="00656030" w:rsidRDefault="002A7C08" w:rsidP="004F5D0D">
      <w:pPr>
        <w:spacing w:line="240" w:lineRule="auto"/>
        <w:ind w:firstLine="708"/>
        <w:jc w:val="both"/>
        <w:rPr>
          <w:rFonts w:eastAsia="DengXian"/>
          <w:sz w:val="20"/>
          <w:lang w:val="pt-BR" w:eastAsia="zh-CN"/>
        </w:rPr>
      </w:pPr>
      <w:r w:rsidRPr="00656030">
        <w:rPr>
          <w:rFonts w:eastAsia="DengXian"/>
          <w:sz w:val="20"/>
          <w:lang w:val="pt-BR" w:eastAsia="zh-CN"/>
        </w:rPr>
        <w:t xml:space="preserve">Estudos sobre a comunidade </w:t>
      </w:r>
      <w:proofErr w:type="spellStart"/>
      <w:r w:rsidRPr="00656030">
        <w:rPr>
          <w:rFonts w:eastAsia="DengXian"/>
          <w:sz w:val="20"/>
          <w:lang w:val="pt-BR" w:eastAsia="zh-CN"/>
        </w:rPr>
        <w:t>zooplanctônica</w:t>
      </w:r>
      <w:proofErr w:type="spellEnd"/>
      <w:r w:rsidRPr="00656030">
        <w:rPr>
          <w:rFonts w:eastAsia="DengXian"/>
          <w:sz w:val="20"/>
          <w:lang w:val="pt-BR" w:eastAsia="zh-CN"/>
        </w:rPr>
        <w:t xml:space="preserve"> de ambientes costeiros são de grande importância para a avaliação da qualidade ambiental dos ecossistemas. </w:t>
      </w:r>
      <w:r w:rsidR="00C467A9">
        <w:rPr>
          <w:rFonts w:eastAsia="DengXian"/>
          <w:sz w:val="20"/>
          <w:lang w:val="pt-BR" w:eastAsia="zh-CN"/>
        </w:rPr>
        <w:t>A</w:t>
      </w:r>
      <w:r w:rsidRPr="00656030">
        <w:rPr>
          <w:rFonts w:eastAsia="DengXian"/>
          <w:sz w:val="20"/>
          <w:lang w:val="pt-BR" w:eastAsia="zh-CN"/>
        </w:rPr>
        <w:t xml:space="preserve"> presente </w:t>
      </w:r>
      <w:r w:rsidR="00C467A9">
        <w:rPr>
          <w:rFonts w:eastAsia="DengXian"/>
          <w:sz w:val="20"/>
          <w:lang w:val="pt-BR" w:eastAsia="zh-CN"/>
        </w:rPr>
        <w:t>pesquisa</w:t>
      </w:r>
      <w:r w:rsidRPr="00656030">
        <w:rPr>
          <w:rFonts w:eastAsia="DengXian"/>
          <w:sz w:val="20"/>
          <w:lang w:val="pt-BR" w:eastAsia="zh-CN"/>
        </w:rPr>
        <w:t xml:space="preserve"> identificou uma variedade de táxons na região estudada e não constatou diferenças significativas entre os dois pontos amostrados.</w:t>
      </w:r>
    </w:p>
    <w:p w14:paraId="11132D55" w14:textId="24F38BF2" w:rsidR="002A7C08" w:rsidRDefault="002A7C08" w:rsidP="004F5D0D">
      <w:pPr>
        <w:spacing w:line="240" w:lineRule="auto"/>
        <w:ind w:firstLine="708"/>
        <w:jc w:val="both"/>
        <w:rPr>
          <w:rFonts w:eastAsia="DengXian"/>
          <w:sz w:val="20"/>
          <w:lang w:val="pt-BR" w:eastAsia="zh-CN"/>
        </w:rPr>
      </w:pPr>
      <w:r w:rsidRPr="00656030">
        <w:rPr>
          <w:rFonts w:eastAsia="DengXian"/>
          <w:sz w:val="20"/>
          <w:lang w:val="pt-BR" w:eastAsia="zh-CN"/>
        </w:rPr>
        <w:t xml:space="preserve">Salienta-se, entretanto, a necessidade da continuidade no acompanhamento do zooplâncton da área, </w:t>
      </w:r>
      <w:r w:rsidR="00CA675E">
        <w:rPr>
          <w:rFonts w:eastAsia="DengXian"/>
          <w:sz w:val="20"/>
          <w:lang w:val="pt-BR" w:eastAsia="zh-CN"/>
        </w:rPr>
        <w:t>pois o monitoramento é uma ferramenta fundamental para o controle ambiental</w:t>
      </w:r>
      <w:r w:rsidRPr="00656030">
        <w:rPr>
          <w:rFonts w:eastAsia="DengXian"/>
          <w:sz w:val="20"/>
          <w:lang w:val="pt-BR" w:eastAsia="zh-CN"/>
        </w:rPr>
        <w:t>. A constância de pesquisas na região possibilita a compreensão da dinâmica e das mudanças do plâncton, fornecendo assim</w:t>
      </w:r>
      <w:r>
        <w:rPr>
          <w:rFonts w:eastAsia="DengXian"/>
          <w:sz w:val="20"/>
          <w:lang w:val="pt-BR" w:eastAsia="zh-CN"/>
        </w:rPr>
        <w:t xml:space="preserve"> subsídios para o monitoramento do local e, se necessário, para o desenvolvimento de estratégias e ferramentas de conservação.  </w:t>
      </w:r>
    </w:p>
    <w:p w14:paraId="27BEDE09" w14:textId="77777777" w:rsidR="002A7C08" w:rsidRDefault="002A7C08" w:rsidP="002A7C08">
      <w:pPr>
        <w:jc w:val="both"/>
        <w:rPr>
          <w:rFonts w:eastAsia="DengXian"/>
          <w:sz w:val="20"/>
          <w:lang w:val="pt-BR" w:eastAsia="zh-CN"/>
        </w:rPr>
      </w:pPr>
    </w:p>
    <w:p w14:paraId="6EBE1658" w14:textId="77777777" w:rsidR="003E0D7E" w:rsidRDefault="00BB0F58">
      <w:pPr>
        <w:spacing w:line="240" w:lineRule="auto"/>
        <w:jc w:val="both"/>
        <w:rPr>
          <w:rFonts w:eastAsiaTheme="minorEastAsia"/>
          <w:b/>
          <w:sz w:val="20"/>
          <w:szCs w:val="20"/>
          <w:lang w:eastAsia="zh-CN"/>
        </w:rPr>
      </w:pPr>
      <w:r>
        <w:rPr>
          <w:rFonts w:eastAsia="Times New Roman"/>
          <w:b/>
          <w:sz w:val="20"/>
          <w:szCs w:val="20"/>
        </w:rPr>
        <w:t xml:space="preserve">REFERÊNCIAS </w:t>
      </w:r>
    </w:p>
    <w:p w14:paraId="6CB3E5E4" w14:textId="77777777" w:rsidR="008F61C5" w:rsidRPr="008F61C5" w:rsidRDefault="008F61C5" w:rsidP="008F61C5">
      <w:pPr>
        <w:spacing w:line="240" w:lineRule="auto"/>
        <w:jc w:val="both"/>
        <w:rPr>
          <w:rFonts w:eastAsiaTheme="minorEastAsia"/>
          <w:sz w:val="20"/>
          <w:szCs w:val="20"/>
          <w:lang w:eastAsia="zh-CN"/>
        </w:rPr>
      </w:pPr>
      <w:r>
        <w:rPr>
          <w:sz w:val="20"/>
          <w:szCs w:val="20"/>
        </w:rPr>
        <w:t xml:space="preserve">Cormaci, M.; G. Furnari &amp; G. Alongi. 2014. Flora marinha bentônica del Mediterraneo: Chlorophyta. </w:t>
      </w:r>
      <w:r w:rsidRPr="00D434D4">
        <w:rPr>
          <w:bCs/>
          <w:sz w:val="20"/>
          <w:szCs w:val="20"/>
        </w:rPr>
        <w:t>Bollettino Accademia Gioenia Sci. Nat</w:t>
      </w:r>
      <w:r>
        <w:rPr>
          <w:sz w:val="20"/>
          <w:szCs w:val="20"/>
        </w:rPr>
        <w:t>., 47(1),11-436.</w:t>
      </w:r>
    </w:p>
    <w:p w14:paraId="4C873A03" w14:textId="77777777" w:rsidR="008F61C5" w:rsidRPr="00123551" w:rsidRDefault="008F61C5" w:rsidP="008F61C5">
      <w:pPr>
        <w:spacing w:line="240" w:lineRule="auto"/>
        <w:jc w:val="both"/>
        <w:rPr>
          <w:rFonts w:eastAsia="DengXian"/>
          <w:sz w:val="20"/>
          <w:szCs w:val="20"/>
          <w:lang w:val="pt-BR" w:eastAsia="zh-CN"/>
        </w:rPr>
      </w:pPr>
      <w:r w:rsidRPr="00123551">
        <w:rPr>
          <w:rFonts w:eastAsia="DengXian"/>
          <w:sz w:val="20"/>
          <w:szCs w:val="20"/>
          <w:lang w:val="pt-BR" w:eastAsia="zh-CN"/>
        </w:rPr>
        <w:t xml:space="preserve">DANTAS, R.S. 2019. Avaliação da saúde ambiental em áreas com diferentes graus de utilização na região costeira do litoral sul de Pernambuco. Universidade Federal de Pernambuco, Recife, PhD </w:t>
      </w:r>
      <w:proofErr w:type="spellStart"/>
      <w:r w:rsidRPr="00123551">
        <w:rPr>
          <w:rFonts w:eastAsia="DengXian"/>
          <w:sz w:val="20"/>
          <w:szCs w:val="20"/>
          <w:lang w:val="pt-BR" w:eastAsia="zh-CN"/>
        </w:rPr>
        <w:t>thesis</w:t>
      </w:r>
      <w:proofErr w:type="spellEnd"/>
      <w:r w:rsidRPr="00123551">
        <w:rPr>
          <w:rFonts w:eastAsia="DengXian"/>
          <w:sz w:val="20"/>
          <w:szCs w:val="20"/>
          <w:lang w:val="pt-BR" w:eastAsia="zh-CN"/>
        </w:rPr>
        <w:t>.</w:t>
      </w:r>
    </w:p>
    <w:p w14:paraId="7AC96B5D" w14:textId="77777777" w:rsidR="008F61C5" w:rsidRPr="008F61C5" w:rsidRDefault="008F61C5" w:rsidP="008F61C5">
      <w:pPr>
        <w:spacing w:line="240" w:lineRule="auto"/>
        <w:jc w:val="both"/>
        <w:rPr>
          <w:rFonts w:eastAsiaTheme="minorEastAsia"/>
          <w:sz w:val="20"/>
          <w:szCs w:val="20"/>
          <w:lang w:eastAsia="zh-CN"/>
        </w:rPr>
      </w:pPr>
      <w:r>
        <w:rPr>
          <w:sz w:val="20"/>
          <w:szCs w:val="20"/>
        </w:rPr>
        <w:t>DUARTE, M.A. 2021</w:t>
      </w:r>
      <w:r w:rsidRPr="00D434D4">
        <w:rPr>
          <w:sz w:val="20"/>
          <w:szCs w:val="20"/>
        </w:rPr>
        <w:t>. Distribuição Espacial, Composição Taxonômica E Diversidade Funcional De Copepoda Em Águas Doces Do Estado De São Paulo.</w:t>
      </w:r>
      <w:r>
        <w:rPr>
          <w:sz w:val="20"/>
          <w:szCs w:val="20"/>
        </w:rPr>
        <w:t xml:space="preserve"> Universidade Federal de São Carlos, São Paulo,PhD thesis.</w:t>
      </w:r>
    </w:p>
    <w:p w14:paraId="1C28CCAB" w14:textId="77777777" w:rsidR="008F61C5" w:rsidRPr="008F61C5" w:rsidRDefault="008F61C5" w:rsidP="008F61C5">
      <w:pPr>
        <w:spacing w:line="240" w:lineRule="auto"/>
        <w:jc w:val="both"/>
        <w:rPr>
          <w:rFonts w:eastAsiaTheme="minorEastAsia"/>
          <w:sz w:val="20"/>
          <w:szCs w:val="20"/>
          <w:lang w:eastAsia="zh-CN"/>
        </w:rPr>
      </w:pPr>
      <w:r>
        <w:rPr>
          <w:sz w:val="20"/>
          <w:szCs w:val="20"/>
        </w:rPr>
        <w:t xml:space="preserve">López, L.J.Q.; J.J.A. Mingo; J.P.N. Espanã &amp; D.D.V. Olivo. 2020. Abundancia, composición y diversidad del zooplancton en la zona de Cojimíes – Manabí, durante los meses de mayo a octubre del 2018. </w:t>
      </w:r>
      <w:r w:rsidRPr="00D434D4">
        <w:rPr>
          <w:bCs/>
          <w:sz w:val="20"/>
          <w:szCs w:val="20"/>
        </w:rPr>
        <w:t>Dominio de las Ciencias</w:t>
      </w:r>
      <w:r>
        <w:rPr>
          <w:sz w:val="20"/>
          <w:szCs w:val="20"/>
        </w:rPr>
        <w:t>, 6(3), 1-23.</w:t>
      </w:r>
    </w:p>
    <w:p w14:paraId="64407597" w14:textId="77777777" w:rsidR="008F61C5" w:rsidRPr="008F61C5" w:rsidRDefault="008F61C5" w:rsidP="008F61C5">
      <w:pPr>
        <w:spacing w:line="240" w:lineRule="auto"/>
        <w:jc w:val="both"/>
        <w:rPr>
          <w:rFonts w:eastAsiaTheme="minorEastAsia"/>
          <w:sz w:val="20"/>
          <w:szCs w:val="20"/>
          <w:highlight w:val="white"/>
          <w:lang w:eastAsia="zh-CN"/>
        </w:rPr>
      </w:pPr>
      <w:r>
        <w:rPr>
          <w:sz w:val="20"/>
          <w:szCs w:val="20"/>
        </w:rPr>
        <w:t xml:space="preserve">Morais, J.V.M.; S.C.C. Pinheiro; </w:t>
      </w:r>
      <w:r>
        <w:rPr>
          <w:sz w:val="20"/>
          <w:szCs w:val="20"/>
          <w:highlight w:val="white"/>
        </w:rPr>
        <w:t xml:space="preserve">L.M.S. Ahndrew; E.B. Sousa &amp; E.T. Paes. 2020. Zooplankton composition and density in the Tucuruí hydroelectric plant reservoir (Pará, Brazil). </w:t>
      </w:r>
      <w:r w:rsidRPr="008A1733">
        <w:rPr>
          <w:bCs/>
          <w:sz w:val="20"/>
          <w:szCs w:val="20"/>
          <w:highlight w:val="white"/>
        </w:rPr>
        <w:t>Research, Society and Development</w:t>
      </w:r>
      <w:r>
        <w:rPr>
          <w:sz w:val="20"/>
          <w:szCs w:val="20"/>
          <w:highlight w:val="white"/>
        </w:rPr>
        <w:t>, 9(12), 1-27.</w:t>
      </w:r>
    </w:p>
    <w:p w14:paraId="17EC07E9" w14:textId="77777777" w:rsidR="008F61C5" w:rsidRPr="00123551" w:rsidRDefault="008F61C5" w:rsidP="008F61C5">
      <w:pPr>
        <w:spacing w:line="240" w:lineRule="auto"/>
        <w:jc w:val="both"/>
        <w:rPr>
          <w:rFonts w:eastAsia="DengXian"/>
          <w:sz w:val="20"/>
          <w:szCs w:val="20"/>
          <w:lang w:val="pt-BR" w:eastAsia="zh-CN"/>
        </w:rPr>
      </w:pPr>
      <w:r w:rsidRPr="00123551">
        <w:rPr>
          <w:sz w:val="20"/>
          <w:szCs w:val="20"/>
          <w:shd w:val="clear" w:color="auto" w:fill="FFFFFF"/>
          <w:lang w:val="pt-BR"/>
        </w:rPr>
        <w:t>N</w:t>
      </w:r>
      <w:r w:rsidRPr="00123551">
        <w:rPr>
          <w:sz w:val="20"/>
          <w:szCs w:val="20"/>
          <w:shd w:val="clear" w:color="auto" w:fill="FFFFFF"/>
        </w:rPr>
        <w:t xml:space="preserve">EUMANN-LEITÃO, S.; GUSMÃO, L.M.O.; NASCIMENTO-VIEIRA, D.A.; PORTO NETO, F.F.; MOURA, M.C.O. &amp; SILVA, A.P. </w:t>
      </w:r>
      <w:r w:rsidRPr="00123551">
        <w:rPr>
          <w:sz w:val="20"/>
          <w:szCs w:val="20"/>
          <w:shd w:val="clear" w:color="auto" w:fill="FFFFFF"/>
          <w:lang w:val="pt-BR"/>
        </w:rPr>
        <w:t>1998.</w:t>
      </w:r>
      <w:r w:rsidRPr="00123551">
        <w:rPr>
          <w:sz w:val="20"/>
          <w:szCs w:val="20"/>
          <w:shd w:val="clear" w:color="auto" w:fill="FFFFFF"/>
        </w:rPr>
        <w:t xml:space="preserve"> Biodiversidade  e  Produtividade  do  Zooplâncton  Estuarino  de  Pernambuco (Brasil). 4° Congresso de Ecologia do Brasil, Belém.</w:t>
      </w:r>
    </w:p>
    <w:p w14:paraId="54F83841" w14:textId="77777777" w:rsidR="008F61C5" w:rsidRDefault="008F61C5" w:rsidP="008F61C5">
      <w:pPr>
        <w:spacing w:line="240" w:lineRule="auto"/>
        <w:jc w:val="both"/>
        <w:rPr>
          <w:sz w:val="20"/>
          <w:szCs w:val="20"/>
        </w:rPr>
      </w:pPr>
      <w:r>
        <w:rPr>
          <w:sz w:val="20"/>
          <w:szCs w:val="20"/>
        </w:rPr>
        <w:t xml:space="preserve">Pereira, M. F. B. C. &amp; A. L. N. Gutjahr. 2020. Fauna de Plânctons gelatinosos (Cnidaria; Chaetognatha) em uma zona costeira amazônica. </w:t>
      </w:r>
      <w:r w:rsidRPr="008A1733">
        <w:rPr>
          <w:bCs/>
          <w:sz w:val="20"/>
          <w:szCs w:val="20"/>
        </w:rPr>
        <w:t>Brazilian Journal of Development</w:t>
      </w:r>
      <w:r>
        <w:rPr>
          <w:sz w:val="20"/>
          <w:szCs w:val="20"/>
        </w:rPr>
        <w:t xml:space="preserve">, 6(9). </w:t>
      </w:r>
    </w:p>
    <w:p w14:paraId="519301CF" w14:textId="77777777" w:rsidR="008F61C5" w:rsidRPr="00123551" w:rsidRDefault="008F61C5" w:rsidP="008F61C5">
      <w:pPr>
        <w:spacing w:line="240" w:lineRule="auto"/>
        <w:jc w:val="both"/>
        <w:rPr>
          <w:rFonts w:eastAsia="DengXian"/>
          <w:sz w:val="20"/>
          <w:szCs w:val="20"/>
          <w:lang w:val="pt-BR" w:eastAsia="zh-CN"/>
        </w:rPr>
      </w:pPr>
      <w:r w:rsidRPr="00123551">
        <w:rPr>
          <w:rFonts w:eastAsia="DengXian"/>
          <w:sz w:val="20"/>
          <w:szCs w:val="20"/>
          <w:lang w:val="pt-BR" w:eastAsia="zh-CN"/>
        </w:rPr>
        <w:t xml:space="preserve">Pessoa, V.T.; S. Neumann-Leitão; L.M.O. Gusmão; A.SP. Silva &amp; F.F. Porto-Neto. 2009. Comunidade </w:t>
      </w:r>
      <w:proofErr w:type="spellStart"/>
      <w:r w:rsidRPr="00123551">
        <w:rPr>
          <w:rFonts w:eastAsia="DengXian"/>
          <w:sz w:val="20"/>
          <w:szCs w:val="20"/>
          <w:lang w:val="pt-BR" w:eastAsia="zh-CN"/>
        </w:rPr>
        <w:t>zooplanctônica</w:t>
      </w:r>
      <w:proofErr w:type="spellEnd"/>
      <w:r w:rsidRPr="00123551">
        <w:rPr>
          <w:rFonts w:eastAsia="DengXian"/>
          <w:sz w:val="20"/>
          <w:szCs w:val="20"/>
          <w:lang w:val="pt-BR" w:eastAsia="zh-CN"/>
        </w:rPr>
        <w:t xml:space="preserve"> na Baía de Suape e nos estuários dos rios </w:t>
      </w:r>
      <w:proofErr w:type="spellStart"/>
      <w:r w:rsidRPr="00123551">
        <w:rPr>
          <w:rFonts w:eastAsia="DengXian"/>
          <w:sz w:val="20"/>
          <w:szCs w:val="20"/>
          <w:lang w:val="pt-BR" w:eastAsia="zh-CN"/>
        </w:rPr>
        <w:t>Tatuoca</w:t>
      </w:r>
      <w:proofErr w:type="spellEnd"/>
      <w:r w:rsidRPr="00123551">
        <w:rPr>
          <w:rFonts w:eastAsia="DengXian"/>
          <w:sz w:val="20"/>
          <w:szCs w:val="20"/>
          <w:lang w:val="pt-BR" w:eastAsia="zh-CN"/>
        </w:rPr>
        <w:t xml:space="preserve"> e </w:t>
      </w:r>
      <w:proofErr w:type="spellStart"/>
      <w:r w:rsidRPr="00123551">
        <w:rPr>
          <w:rFonts w:eastAsia="DengXian"/>
          <w:sz w:val="20"/>
          <w:szCs w:val="20"/>
          <w:lang w:val="pt-BR" w:eastAsia="zh-CN"/>
        </w:rPr>
        <w:t>Massangana</w:t>
      </w:r>
      <w:proofErr w:type="spellEnd"/>
      <w:r w:rsidRPr="00123551">
        <w:rPr>
          <w:rFonts w:eastAsia="DengXian"/>
          <w:sz w:val="20"/>
          <w:szCs w:val="20"/>
          <w:lang w:val="pt-BR" w:eastAsia="zh-CN"/>
        </w:rPr>
        <w:t>, Pernambuco (Brasil).</w:t>
      </w:r>
      <w:r w:rsidRPr="00123551">
        <w:rPr>
          <w:sz w:val="20"/>
          <w:szCs w:val="20"/>
        </w:rPr>
        <w:t xml:space="preserve"> </w:t>
      </w:r>
      <w:r w:rsidRPr="00123551">
        <w:rPr>
          <w:rFonts w:eastAsia="DengXian"/>
          <w:sz w:val="20"/>
          <w:szCs w:val="20"/>
          <w:lang w:val="pt-BR" w:eastAsia="zh-CN"/>
        </w:rPr>
        <w:t>Rev. Bras. Enga. Pesca, 4 (1): 80-94.</w:t>
      </w:r>
    </w:p>
    <w:p w14:paraId="0FB94722" w14:textId="77777777" w:rsidR="008F61C5" w:rsidRDefault="008F61C5" w:rsidP="008F61C5">
      <w:pPr>
        <w:spacing w:line="240" w:lineRule="auto"/>
        <w:jc w:val="both"/>
        <w:rPr>
          <w:rFonts w:eastAsia="DengXian"/>
          <w:sz w:val="20"/>
          <w:szCs w:val="20"/>
          <w:lang w:val="pt-BR" w:eastAsia="zh-CN"/>
        </w:rPr>
      </w:pPr>
      <w:r w:rsidRPr="00123551">
        <w:rPr>
          <w:rFonts w:eastAsia="DengXian"/>
          <w:sz w:val="20"/>
          <w:szCs w:val="20"/>
          <w:lang w:val="pt-BR" w:eastAsia="zh-CN"/>
        </w:rPr>
        <w:t xml:space="preserve">Silva, A.P.; S. Neumann-Leitão; R. </w:t>
      </w:r>
      <w:proofErr w:type="spellStart"/>
      <w:r w:rsidRPr="00123551">
        <w:rPr>
          <w:rFonts w:eastAsia="DengXian"/>
          <w:sz w:val="20"/>
          <w:szCs w:val="20"/>
          <w:lang w:val="pt-BR" w:eastAsia="zh-CN"/>
        </w:rPr>
        <w:t>Schwamborn</w:t>
      </w:r>
      <w:proofErr w:type="spellEnd"/>
      <w:r w:rsidRPr="00123551">
        <w:rPr>
          <w:rFonts w:eastAsia="DengXian"/>
          <w:sz w:val="20"/>
          <w:szCs w:val="20"/>
          <w:lang w:val="pt-BR" w:eastAsia="zh-CN"/>
        </w:rPr>
        <w:t xml:space="preserve">; L.M.O. Gusmão &amp; T.A. Silva. 2004. </w:t>
      </w:r>
      <w:r w:rsidRPr="00123551">
        <w:rPr>
          <w:rFonts w:eastAsia="DengXian"/>
          <w:sz w:val="20"/>
          <w:szCs w:val="20"/>
          <w:lang w:eastAsia="zh-CN"/>
        </w:rPr>
        <w:t>Mesozooplankton of an Impacted Bay in North Eastern Brazil</w:t>
      </w:r>
      <w:r w:rsidRPr="00123551">
        <w:rPr>
          <w:rFonts w:eastAsia="DengXian"/>
          <w:sz w:val="20"/>
          <w:szCs w:val="20"/>
          <w:lang w:val="pt-BR" w:eastAsia="zh-CN"/>
        </w:rPr>
        <w:t xml:space="preserve">. </w:t>
      </w:r>
      <w:proofErr w:type="spellStart"/>
      <w:r w:rsidRPr="00123551">
        <w:rPr>
          <w:rFonts w:eastAsia="DengXian"/>
          <w:sz w:val="20"/>
          <w:szCs w:val="20"/>
          <w:lang w:val="pt-BR" w:eastAsia="zh-CN"/>
        </w:rPr>
        <w:t>Brazilian</w:t>
      </w:r>
      <w:proofErr w:type="spellEnd"/>
      <w:r w:rsidRPr="00123551">
        <w:rPr>
          <w:rFonts w:eastAsia="DengXian"/>
          <w:sz w:val="20"/>
          <w:szCs w:val="20"/>
          <w:lang w:val="pt-BR" w:eastAsia="zh-CN"/>
        </w:rPr>
        <w:t xml:space="preserve"> </w:t>
      </w:r>
      <w:proofErr w:type="spellStart"/>
      <w:r w:rsidRPr="00123551">
        <w:rPr>
          <w:rFonts w:eastAsia="DengXian"/>
          <w:sz w:val="20"/>
          <w:szCs w:val="20"/>
          <w:lang w:val="pt-BR" w:eastAsia="zh-CN"/>
        </w:rPr>
        <w:t>Archives</w:t>
      </w:r>
      <w:proofErr w:type="spellEnd"/>
      <w:r w:rsidRPr="00123551">
        <w:rPr>
          <w:rFonts w:eastAsia="DengXian"/>
          <w:sz w:val="20"/>
          <w:szCs w:val="20"/>
          <w:lang w:val="pt-BR" w:eastAsia="zh-CN"/>
        </w:rPr>
        <w:t xml:space="preserve"> </w:t>
      </w:r>
      <w:proofErr w:type="spellStart"/>
      <w:r w:rsidRPr="00123551">
        <w:rPr>
          <w:rFonts w:eastAsia="DengXian"/>
          <w:sz w:val="20"/>
          <w:szCs w:val="20"/>
          <w:lang w:val="pt-BR" w:eastAsia="zh-CN"/>
        </w:rPr>
        <w:t>of</w:t>
      </w:r>
      <w:proofErr w:type="spellEnd"/>
      <w:r w:rsidRPr="00123551">
        <w:rPr>
          <w:rFonts w:eastAsia="DengXian"/>
          <w:sz w:val="20"/>
          <w:szCs w:val="20"/>
          <w:lang w:val="pt-BR" w:eastAsia="zh-CN"/>
        </w:rPr>
        <w:t xml:space="preserve"> </w:t>
      </w:r>
      <w:proofErr w:type="spellStart"/>
      <w:r w:rsidRPr="00123551">
        <w:rPr>
          <w:rFonts w:eastAsia="DengXian"/>
          <w:sz w:val="20"/>
          <w:szCs w:val="20"/>
          <w:lang w:val="pt-BR" w:eastAsia="zh-CN"/>
        </w:rPr>
        <w:t>Biology</w:t>
      </w:r>
      <w:proofErr w:type="spellEnd"/>
      <w:r w:rsidRPr="00123551">
        <w:rPr>
          <w:rFonts w:eastAsia="DengXian"/>
          <w:sz w:val="20"/>
          <w:szCs w:val="20"/>
          <w:lang w:val="pt-BR" w:eastAsia="zh-CN"/>
        </w:rPr>
        <w:t xml:space="preserve"> </w:t>
      </w:r>
      <w:proofErr w:type="spellStart"/>
      <w:r w:rsidRPr="00123551">
        <w:rPr>
          <w:rFonts w:eastAsia="DengXian"/>
          <w:sz w:val="20"/>
          <w:szCs w:val="20"/>
          <w:lang w:val="pt-BR" w:eastAsia="zh-CN"/>
        </w:rPr>
        <w:t>and</w:t>
      </w:r>
      <w:proofErr w:type="spellEnd"/>
      <w:r w:rsidRPr="00123551">
        <w:rPr>
          <w:rFonts w:eastAsia="DengXian"/>
          <w:sz w:val="20"/>
          <w:szCs w:val="20"/>
          <w:lang w:val="pt-BR" w:eastAsia="zh-CN"/>
        </w:rPr>
        <w:t xml:space="preserve"> Technology, 47 (3): 485-493.</w:t>
      </w:r>
    </w:p>
    <w:p w14:paraId="702634E4" w14:textId="77777777" w:rsidR="008F61C5" w:rsidRPr="00123551" w:rsidRDefault="008F61C5" w:rsidP="002A7C08">
      <w:pPr>
        <w:jc w:val="both"/>
        <w:rPr>
          <w:rFonts w:eastAsia="DengXian"/>
          <w:sz w:val="20"/>
          <w:szCs w:val="20"/>
          <w:lang w:val="pt-BR" w:eastAsia="zh-CN"/>
        </w:rPr>
      </w:pPr>
    </w:p>
    <w:p w14:paraId="34033F0F" w14:textId="77777777" w:rsidR="002A7C08" w:rsidRDefault="002A7C08">
      <w:pPr>
        <w:spacing w:line="240" w:lineRule="auto"/>
        <w:jc w:val="both"/>
        <w:rPr>
          <w:rFonts w:eastAsiaTheme="minorEastAsia"/>
          <w:b/>
          <w:sz w:val="20"/>
          <w:szCs w:val="20"/>
          <w:lang w:eastAsia="zh-CN"/>
        </w:rPr>
      </w:pPr>
    </w:p>
    <w:p w14:paraId="4DC5756A" w14:textId="77777777" w:rsidR="003E0D7E" w:rsidRDefault="003E0D7E">
      <w:pPr>
        <w:spacing w:line="240" w:lineRule="auto"/>
        <w:jc w:val="both"/>
        <w:rPr>
          <w:rFonts w:eastAsia="Times New Roman"/>
          <w:b/>
          <w:sz w:val="20"/>
          <w:szCs w:val="20"/>
        </w:rPr>
      </w:pPr>
    </w:p>
    <w:p w14:paraId="2B36504E" w14:textId="77777777" w:rsidR="003E0D7E" w:rsidRDefault="003E0D7E">
      <w:pPr>
        <w:spacing w:line="240" w:lineRule="auto"/>
        <w:rPr>
          <w:sz w:val="20"/>
          <w:szCs w:val="20"/>
        </w:rPr>
      </w:pPr>
    </w:p>
    <w:sectPr w:rsidR="003E0D7E">
      <w:headerReference w:type="default" r:id="rId7"/>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F705" w14:textId="77777777" w:rsidR="00A75EDC" w:rsidRDefault="00A75EDC">
      <w:pPr>
        <w:spacing w:line="240" w:lineRule="auto"/>
      </w:pPr>
      <w:r>
        <w:separator/>
      </w:r>
    </w:p>
  </w:endnote>
  <w:endnote w:type="continuationSeparator" w:id="0">
    <w:p w14:paraId="08659028" w14:textId="77777777" w:rsidR="00A75EDC" w:rsidRDefault="00A75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300A" w14:textId="77777777" w:rsidR="00A75EDC" w:rsidRDefault="00A75EDC">
      <w:r>
        <w:separator/>
      </w:r>
    </w:p>
  </w:footnote>
  <w:footnote w:type="continuationSeparator" w:id="0">
    <w:p w14:paraId="4366760B" w14:textId="77777777" w:rsidR="00A75EDC" w:rsidRDefault="00A75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9C65" w14:textId="77777777" w:rsidR="003E0D7E" w:rsidRDefault="00BB0F58">
    <w:pPr>
      <w:tabs>
        <w:tab w:val="center" w:pos="4252"/>
        <w:tab w:val="right" w:pos="8504"/>
      </w:tabs>
      <w:spacing w:before="708" w:line="240" w:lineRule="auto"/>
      <w:jc w:val="both"/>
    </w:pPr>
    <w:r>
      <w:rPr>
        <w:rFonts w:ascii="Calibri" w:eastAsia="Calibri" w:hAnsi="Calibri" w:cs="Calibri"/>
        <w:noProof/>
        <w:color w:val="FFFFFF"/>
        <w:lang w:val="pt-BR"/>
      </w:rPr>
      <w:drawing>
        <wp:inline distT="0" distB="0" distL="114300" distR="114300" wp14:anchorId="7E5B86A8" wp14:editId="1849DB29">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7E"/>
    <w:rsid w:val="000754C7"/>
    <w:rsid w:val="001F04A0"/>
    <w:rsid w:val="0027637D"/>
    <w:rsid w:val="002A7C08"/>
    <w:rsid w:val="003A13F9"/>
    <w:rsid w:val="003D2B76"/>
    <w:rsid w:val="003E0D7E"/>
    <w:rsid w:val="004B4B92"/>
    <w:rsid w:val="004F5D0D"/>
    <w:rsid w:val="00571A60"/>
    <w:rsid w:val="00601563"/>
    <w:rsid w:val="00656030"/>
    <w:rsid w:val="0073650B"/>
    <w:rsid w:val="008306FE"/>
    <w:rsid w:val="008F61C5"/>
    <w:rsid w:val="0099535E"/>
    <w:rsid w:val="009F7682"/>
    <w:rsid w:val="00A2325D"/>
    <w:rsid w:val="00A75EDC"/>
    <w:rsid w:val="00BB0F58"/>
    <w:rsid w:val="00C3176C"/>
    <w:rsid w:val="00C467A9"/>
    <w:rsid w:val="00C777BC"/>
    <w:rsid w:val="00CA675E"/>
    <w:rsid w:val="00DF43BC"/>
    <w:rsid w:val="00F47FAE"/>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50D6"/>
  <w15:docId w15:val="{7928BC6B-1548-45B6-8F34-2E3B6674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eastAsia="Arial"/>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table" w:styleId="TabeladeGradeClara">
    <w:name w:val="Grid Table Light"/>
    <w:basedOn w:val="Tabelanormal"/>
    <w:uiPriority w:val="40"/>
    <w:rsid w:val="002A7C08"/>
    <w:rPr>
      <w:rFonts w:asciiTheme="minorHAnsi" w:eastAsia="SimSun"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Fontepargpadro"/>
    <w:rsid w:val="0099535E"/>
    <w:rPr>
      <w:color w:val="0000FF" w:themeColor="hyperlink"/>
      <w:u w:val="single"/>
    </w:rPr>
  </w:style>
  <w:style w:type="character" w:customStyle="1" w:styleId="MenoPendente1">
    <w:name w:val="Menção Pendente1"/>
    <w:basedOn w:val="Fontepargpadro"/>
    <w:uiPriority w:val="99"/>
    <w:semiHidden/>
    <w:unhideWhenUsed/>
    <w:rsid w:val="0099535E"/>
    <w:rPr>
      <w:color w:val="605E5C"/>
      <w:shd w:val="clear" w:color="auto" w:fill="E1DFDD"/>
    </w:rPr>
  </w:style>
  <w:style w:type="character" w:styleId="MenoPendente">
    <w:name w:val="Unresolved Mention"/>
    <w:basedOn w:val="Fontepargpadro"/>
    <w:uiPriority w:val="99"/>
    <w:semiHidden/>
    <w:unhideWhenUsed/>
    <w:rsid w:val="004B4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Planilha1!$B$1</c:f>
              <c:strCache>
                <c:ptCount val="1"/>
                <c:pt idx="0">
                  <c:v>Área 1</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Planilha1!$A$2:$A$5</c:f>
              <c:numCache>
                <c:formatCode>mmm\-yy</c:formatCode>
                <c:ptCount val="4"/>
                <c:pt idx="0">
                  <c:v>44593</c:v>
                </c:pt>
                <c:pt idx="1">
                  <c:v>44713</c:v>
                </c:pt>
                <c:pt idx="2">
                  <c:v>44927</c:v>
                </c:pt>
                <c:pt idx="3">
                  <c:v>45017</c:v>
                </c:pt>
              </c:numCache>
            </c:numRef>
          </c:cat>
          <c:val>
            <c:numRef>
              <c:f>Planilha1!$B$2:$B$5</c:f>
              <c:numCache>
                <c:formatCode>General</c:formatCode>
                <c:ptCount val="4"/>
                <c:pt idx="0">
                  <c:v>10</c:v>
                </c:pt>
                <c:pt idx="1">
                  <c:v>8</c:v>
                </c:pt>
                <c:pt idx="2">
                  <c:v>14</c:v>
                </c:pt>
                <c:pt idx="3">
                  <c:v>13</c:v>
                </c:pt>
              </c:numCache>
            </c:numRef>
          </c:val>
          <c:extLst>
            <c:ext xmlns:c16="http://schemas.microsoft.com/office/drawing/2014/chart" uri="{C3380CC4-5D6E-409C-BE32-E72D297353CC}">
              <c16:uniqueId val="{00000000-4594-431A-9568-257CF98F6457}"/>
            </c:ext>
          </c:extLst>
        </c:ser>
        <c:ser>
          <c:idx val="1"/>
          <c:order val="1"/>
          <c:tx>
            <c:strRef>
              <c:f>Planilha1!$C$1</c:f>
              <c:strCache>
                <c:ptCount val="1"/>
                <c:pt idx="0">
                  <c:v>Área 2</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Planilha1!$A$2:$A$5</c:f>
              <c:numCache>
                <c:formatCode>mmm\-yy</c:formatCode>
                <c:ptCount val="4"/>
                <c:pt idx="0">
                  <c:v>44593</c:v>
                </c:pt>
                <c:pt idx="1">
                  <c:v>44713</c:v>
                </c:pt>
                <c:pt idx="2">
                  <c:v>44927</c:v>
                </c:pt>
                <c:pt idx="3">
                  <c:v>45017</c:v>
                </c:pt>
              </c:numCache>
            </c:numRef>
          </c:cat>
          <c:val>
            <c:numRef>
              <c:f>Planilha1!$C$2:$C$5</c:f>
              <c:numCache>
                <c:formatCode>General</c:formatCode>
                <c:ptCount val="4"/>
                <c:pt idx="0">
                  <c:v>15</c:v>
                </c:pt>
                <c:pt idx="1">
                  <c:v>11</c:v>
                </c:pt>
                <c:pt idx="2">
                  <c:v>14</c:v>
                </c:pt>
                <c:pt idx="3">
                  <c:v>12</c:v>
                </c:pt>
              </c:numCache>
            </c:numRef>
          </c:val>
          <c:extLst>
            <c:ext xmlns:c16="http://schemas.microsoft.com/office/drawing/2014/chart" uri="{C3380CC4-5D6E-409C-BE32-E72D297353CC}">
              <c16:uniqueId val="{00000001-4594-431A-9568-257CF98F6457}"/>
            </c:ext>
          </c:extLst>
        </c:ser>
        <c:dLbls>
          <c:dLblPos val="outEnd"/>
          <c:showLegendKey val="0"/>
          <c:showVal val="1"/>
          <c:showCatName val="0"/>
          <c:showSerName val="0"/>
          <c:showPercent val="0"/>
          <c:showBubbleSize val="0"/>
        </c:dLbls>
        <c:gapWidth val="219"/>
        <c:overlap val="-27"/>
        <c:axId val="1978884223"/>
        <c:axId val="1978885055"/>
      </c:barChart>
      <c:catAx>
        <c:axId val="1978884223"/>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978885055"/>
        <c:crosses val="autoZero"/>
        <c:auto val="0"/>
        <c:lblAlgn val="ctr"/>
        <c:lblOffset val="100"/>
        <c:noMultiLvlLbl val="0"/>
      </c:catAx>
      <c:valAx>
        <c:axId val="1978885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crossAx val="1978884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1414</Words>
  <Characters>7637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Larissa Lucena | IATI</cp:lastModifiedBy>
  <cp:revision>9</cp:revision>
  <dcterms:created xsi:type="dcterms:W3CDTF">2023-07-25T20:51:00Z</dcterms:created>
  <dcterms:modified xsi:type="dcterms:W3CDTF">2023-08-07T17:21:00Z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ies>
</file>