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B983" w14:textId="77777777" w:rsidR="00002373" w:rsidRDefault="0000237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55AD8E5" w14:textId="77777777" w:rsidR="00002373" w:rsidRDefault="00000000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vertAlign w:val="superscript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IMPLANTES DENTÁRIOS VERSUS RISCO DE OSTEONECROSE: ANÁLISE DE REVISÕES SISTEMÁTICAS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  <w:vertAlign w:val="superscript"/>
        </w:rPr>
        <w:t>1</w:t>
      </w:r>
    </w:p>
    <w:p w14:paraId="093F77E0" w14:textId="77777777" w:rsidR="00002373" w:rsidRDefault="00002373">
      <w:pPr>
        <w:jc w:val="right"/>
        <w:rPr>
          <w:rFonts w:ascii="Arial" w:hAnsi="Arial" w:cs="Arial"/>
          <w:sz w:val="22"/>
          <w:szCs w:val="22"/>
        </w:rPr>
      </w:pPr>
    </w:p>
    <w:p w14:paraId="62E68611" w14:textId="77777777" w:rsidR="00002373" w:rsidRPr="005C4740" w:rsidRDefault="00000000" w:rsidP="0040650A">
      <w:pPr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</w:pPr>
      <w:r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Maria da Cruz Vieira de Araújo</w:t>
      </w:r>
      <w:r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2</w:t>
      </w:r>
    </w:p>
    <w:p w14:paraId="40B23522" w14:textId="7AD8A013" w:rsidR="00002373" w:rsidRPr="005C4740" w:rsidRDefault="00000000" w:rsidP="0040650A">
      <w:pPr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</w:pPr>
      <w:r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Maria </w:t>
      </w:r>
      <w:proofErr w:type="spellStart"/>
      <w:r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Gilvânia</w:t>
      </w:r>
      <w:proofErr w:type="spellEnd"/>
      <w:r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Ribeiro Borges</w:t>
      </w:r>
      <w:r w:rsidR="005C4740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3</w:t>
      </w:r>
    </w:p>
    <w:p w14:paraId="54B2B5B9" w14:textId="4127B052" w:rsidR="008F4C46" w:rsidRPr="005C4740" w:rsidRDefault="008F4C46" w:rsidP="0040650A">
      <w:pPr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</w:pPr>
      <w:r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Lucas Moraes Silva</w:t>
      </w:r>
      <w:r w:rsidR="005C4740"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4</w:t>
      </w:r>
    </w:p>
    <w:p w14:paraId="73B8DF32" w14:textId="743E5166" w:rsidR="008F4C46" w:rsidRPr="005C4740" w:rsidRDefault="008F4C46" w:rsidP="0040650A">
      <w:pPr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</w:pPr>
      <w:proofErr w:type="spellStart"/>
      <w:r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Layssa</w:t>
      </w:r>
      <w:proofErr w:type="spellEnd"/>
      <w:r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Maria Sudário Santos</w:t>
      </w:r>
      <w:r w:rsidR="005C4740"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5</w:t>
      </w:r>
    </w:p>
    <w:p w14:paraId="4372DB1D" w14:textId="74587554" w:rsidR="008F4C46" w:rsidRPr="005C4740" w:rsidRDefault="008F4C46" w:rsidP="0040650A">
      <w:pPr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</w:pPr>
      <w:proofErr w:type="spellStart"/>
      <w:r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Wendyla</w:t>
      </w:r>
      <w:proofErr w:type="spellEnd"/>
      <w:r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Silva dos Reis</w:t>
      </w:r>
      <w:r w:rsidR="005C4740"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6</w:t>
      </w:r>
    </w:p>
    <w:p w14:paraId="11EE7EB7" w14:textId="3341D785" w:rsidR="008F4C46" w:rsidRPr="005C4740" w:rsidRDefault="008F4C46" w:rsidP="0040650A">
      <w:pPr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</w:pPr>
      <w:r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Mônica Andressa Alves Castelo Branco</w:t>
      </w:r>
      <w:r w:rsidR="005C4740"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7</w:t>
      </w:r>
    </w:p>
    <w:p w14:paraId="01A96544" w14:textId="14B40E41" w:rsidR="008F4C46" w:rsidRPr="005C4740" w:rsidRDefault="008F4C46" w:rsidP="0040650A">
      <w:pPr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</w:pPr>
      <w:proofErr w:type="spellStart"/>
      <w:r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Karolayne</w:t>
      </w:r>
      <w:proofErr w:type="spellEnd"/>
      <w:r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Leite Vila Nova</w:t>
      </w:r>
      <w:r w:rsidR="005C4740"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8</w:t>
      </w:r>
    </w:p>
    <w:p w14:paraId="0FAD35F7" w14:textId="6A27FE36" w:rsidR="00002373" w:rsidRPr="005C4740" w:rsidRDefault="008F4C46" w:rsidP="0040650A">
      <w:pPr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 xml:space="preserve"> </w:t>
      </w:r>
      <w:r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</w:t>
      </w:r>
      <w:r w:rsidR="00000000"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Marina Lua Vieira de Abreu Costa</w:t>
      </w:r>
      <w:r w:rsidR="005C4740" w:rsidRPr="005C4740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9</w:t>
      </w:r>
    </w:p>
    <w:p w14:paraId="02FC0BB1" w14:textId="77777777" w:rsidR="00002373" w:rsidRDefault="00002373" w:rsidP="0040650A">
      <w:pPr>
        <w:spacing w:after="120"/>
        <w:ind w:right="665"/>
        <w:jc w:val="right"/>
        <w:rPr>
          <w:rStyle w:val="Refdenotadefim"/>
          <w:rFonts w:ascii="Arial" w:hAnsi="Arial" w:cs="Arial"/>
        </w:rPr>
      </w:pPr>
    </w:p>
    <w:p w14:paraId="1A59394E" w14:textId="77777777" w:rsidR="00002373" w:rsidRDefault="00000000">
      <w:pPr>
        <w:spacing w:after="120"/>
        <w:ind w:right="66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RESUMO</w:t>
      </w:r>
    </w:p>
    <w:p w14:paraId="6BF81B0F" w14:textId="2E1C1120" w:rsidR="00002373" w:rsidRDefault="00000000">
      <w:pPr>
        <w:spacing w:after="120"/>
        <w:ind w:right="6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INTRODUÇÃO: </w:t>
      </w:r>
      <w:r w:rsidR="002C709E" w:rsidRPr="002C709E">
        <w:rPr>
          <w:rFonts w:ascii="Arial" w:eastAsia="Arial" w:hAnsi="Arial" w:cs="Arial"/>
        </w:rPr>
        <w:t xml:space="preserve">A instalação de </w:t>
      </w:r>
      <w:r w:rsidRPr="002C709E">
        <w:rPr>
          <w:rFonts w:ascii="Arial" w:eastAsia="Arial" w:hAnsi="Arial" w:cs="Arial"/>
        </w:rPr>
        <w:t>Implante</w:t>
      </w:r>
      <w:r w:rsidR="002C709E" w:rsidRPr="002C709E">
        <w:rPr>
          <w:rFonts w:ascii="Arial" w:eastAsia="Arial" w:hAnsi="Arial" w:cs="Arial"/>
        </w:rPr>
        <w:t>s</w:t>
      </w:r>
      <w:r w:rsidRPr="002C709E">
        <w:rPr>
          <w:rFonts w:ascii="Arial" w:eastAsia="Arial" w:hAnsi="Arial" w:cs="Arial"/>
        </w:rPr>
        <w:t xml:space="preserve"> dentário</w:t>
      </w:r>
      <w:r w:rsidR="002C709E" w:rsidRPr="002C709E">
        <w:rPr>
          <w:rFonts w:ascii="Arial" w:eastAsia="Arial" w:hAnsi="Arial" w:cs="Arial"/>
        </w:rPr>
        <w:t>s</w:t>
      </w:r>
      <w:r w:rsidRPr="002C709E">
        <w:rPr>
          <w:rFonts w:ascii="Arial" w:eastAsia="Arial" w:hAnsi="Arial" w:cs="Arial"/>
        </w:rPr>
        <w:t xml:space="preserve"> é uma prática consolidada na reabilitação oral, com altas taxas</w:t>
      </w:r>
      <w:r>
        <w:rPr>
          <w:rFonts w:ascii="Arial" w:eastAsia="Arial" w:hAnsi="Arial" w:cs="Arial"/>
        </w:rPr>
        <w:t xml:space="preserve"> de sucesso. No entanto, em pacientes em uso de medicamentos antirreabsortivos, como os bisfosfonatos, existe o risco de desenvolvimento de osteonecrose dos maxilares relacionada a medicamentos (MRONJ), uma complicação rara, porém grave. Esse risco é especialmente relevante após procedimentos cirúrgicos invasivos, exigindo avaliação criteriosa quanto à segurança do tratamento. </w:t>
      </w:r>
      <w:r>
        <w:rPr>
          <w:rFonts w:ascii="Arial" w:eastAsia="Arial" w:hAnsi="Arial" w:cs="Arial"/>
          <w:b/>
          <w:bCs/>
        </w:rPr>
        <w:t>OBJETIVO:</w:t>
      </w:r>
      <w:r>
        <w:rPr>
          <w:rFonts w:ascii="Arial" w:eastAsia="Arial" w:hAnsi="Arial" w:cs="Arial"/>
        </w:rPr>
        <w:t xml:space="preserve"> Analisar revisões sistemáticas disponíveis na literatura que investigam a associação entre a instalação de implantes dentários e o risco de desenvolvimento de osteonecrose dos maxilares relacionada a medicamentos (MRONJ), com foco na segurança do procedimento, fatores de risco envolvidos e diretrizes clínicas recomendadas. </w:t>
      </w:r>
      <w:r>
        <w:rPr>
          <w:rFonts w:ascii="Arial" w:eastAsia="Arial" w:hAnsi="Arial" w:cs="Arial"/>
          <w:b/>
          <w:bCs/>
        </w:rPr>
        <w:t>METODOLOGIA:</w:t>
      </w:r>
      <w:r>
        <w:rPr>
          <w:rFonts w:ascii="Arial" w:eastAsia="Arial" w:hAnsi="Arial" w:cs="Arial"/>
        </w:rPr>
        <w:t xml:space="preserve"> Foi realizada uma busca na base de dados </w:t>
      </w:r>
      <w:proofErr w:type="spellStart"/>
      <w:r>
        <w:rPr>
          <w:rFonts w:ascii="Arial" w:eastAsia="Arial" w:hAnsi="Arial" w:cs="Arial"/>
        </w:rPr>
        <w:t>PubMed</w:t>
      </w:r>
      <w:proofErr w:type="spellEnd"/>
      <w:r>
        <w:rPr>
          <w:rFonts w:ascii="Arial" w:eastAsia="Arial" w:hAnsi="Arial" w:cs="Arial"/>
        </w:rPr>
        <w:t xml:space="preserve"> para identificar revisões sistemáticas publicadas nos últimos 10 anos que abordam a associação entre implantes dentários e o risco de osteonecrose dos maxilares relacionada a medicamentos (MRONJ).</w:t>
      </w:r>
      <w:r w:rsidR="008F4C4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>RESULTADOS:</w:t>
      </w:r>
      <w:r>
        <w:rPr>
          <w:rFonts w:ascii="Arial" w:eastAsia="Arial" w:hAnsi="Arial" w:cs="Arial"/>
        </w:rPr>
        <w:t xml:space="preserve"> </w:t>
      </w:r>
      <w:r w:rsidR="002C709E">
        <w:rPr>
          <w:rFonts w:ascii="Arial" w:eastAsia="Arial" w:hAnsi="Arial" w:cs="Arial"/>
        </w:rPr>
        <w:t>Ao todo, 24 artigos foram encontrados, sendo 1 excluído por não atender aos critérios de inclusão, resultando na análise de 23. I</w:t>
      </w:r>
      <w:r>
        <w:rPr>
          <w:rFonts w:ascii="Arial" w:eastAsia="Arial" w:hAnsi="Arial" w:cs="Arial"/>
        </w:rPr>
        <w:t xml:space="preserve">mplantes em pacientes com bisfosfonatos orais apresentam alto sucesso e baixa falha no curto prazo, mas bisfosfonatos intravenosos, especialmente em oncológicos, aumentam o risco de osteonecrose (MRONJ). A maioria dos casos graves responde bem ao tratamento cirúrgico. Evidências sobre falhas são limitadas, exigindo cautela na interpretação dos dados. Avaliação individual, planejamento e acompanhamento rigoroso são essenciais para minimizar complicações. </w:t>
      </w:r>
      <w:r>
        <w:rPr>
          <w:rFonts w:ascii="Arial" w:eastAsia="Arial" w:hAnsi="Arial" w:cs="Arial"/>
          <w:b/>
          <w:bCs/>
        </w:rPr>
        <w:t>CONCLUSÃO:</w:t>
      </w:r>
      <w:r>
        <w:rPr>
          <w:rFonts w:ascii="Arial" w:eastAsia="Arial" w:hAnsi="Arial" w:cs="Arial"/>
        </w:rPr>
        <w:t xml:space="preserve"> Implantes em pacientes que usam bisfosfonatos orais são geralmente seguros, enquanto o uso intravenoso aumenta o risco de osteonecrose, sendo contraindicado. A avaliação individualizada e o acompanhamento rigoroso são fundamentais. Mais estudos são necessários para estabelecer protocolos seguros.</w:t>
      </w:r>
    </w:p>
    <w:p w14:paraId="2833085C" w14:textId="77777777" w:rsidR="00002373" w:rsidRDefault="00000000">
      <w:pPr>
        <w:spacing w:after="120"/>
        <w:ind w:right="665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Descritores</w:t>
      </w:r>
      <w:r>
        <w:rPr>
          <w:rFonts w:ascii="Arial" w:hAnsi="Arial" w:cs="Arial"/>
        </w:rPr>
        <w:t xml:space="preserve">: </w:t>
      </w:r>
      <w:r>
        <w:rPr>
          <w:rFonts w:ascii="Arial" w:eastAsia="Arial" w:hAnsi="Arial" w:cs="Arial"/>
          <w:color w:val="212529"/>
        </w:rPr>
        <w:t>Osteonecrose. Implantes Dentários. Osteonecrose Associada a Bifosfonatos.</w:t>
      </w:r>
    </w:p>
    <w:p w14:paraId="48D47947" w14:textId="77777777" w:rsidR="00002373" w:rsidRDefault="00000000">
      <w:pPr>
        <w:jc w:val="center"/>
        <w:rPr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15C7D" wp14:editId="5415ECB8">
                <wp:simplePos x="0" y="0"/>
                <wp:positionH relativeFrom="column">
                  <wp:posOffset>8255</wp:posOffset>
                </wp:positionH>
                <wp:positionV relativeFrom="paragraph">
                  <wp:posOffset>80645</wp:posOffset>
                </wp:positionV>
                <wp:extent cx="1864995" cy="635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8685" y="9185910"/>
                          <a:ext cx="1864995" cy="63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fl="http://schemas.microsoft.com/office/word/2024/wordml/sdtformatlock" xmlns:w16du="http://schemas.microsoft.com/office/word/2023/wordml/word16du">
            <w:pict>
              <v:line id="_x0000_s1026" o:spid="_x0000_s1026" o:spt="20" style="position:absolute;left:0pt;margin-left:0.65pt;margin-top:6.35pt;height:0.05pt;width:146.85pt;z-index:251659264;mso-width-relative:page;mso-height-relative:page;" filled="f" stroked="t" coordsize="21600,21600" o:gfxdata="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lU7zO1gAAAAcBAAAPAAAAAAAAAAEAIAAAACIA&#10;AABkcnMvZG93bnJldi54bWxQSwECFAAUAAAACACHTuJAY2H/PNIBAAClAwAADgAAAAAAAAABACAA&#10;AAAlAQAAZHJzL2Uyb0RvYy54bWxQSwUGAAAAAAYABgBZAQAAaQUAAAAA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</w:p>
    <w:p w14:paraId="1A3D7A0D" w14:textId="77777777" w:rsidR="00002373" w:rsidRDefault="00000000">
      <w:pPr>
        <w:pStyle w:val="Textodenotaderodap"/>
      </w:pPr>
      <w:r>
        <w:rPr>
          <w:vertAlign w:val="superscript"/>
        </w:rPr>
        <w:lastRenderedPageBreak/>
        <w:t>1</w:t>
      </w:r>
      <w:r>
        <w:t>Trabalho apresentado na V Jornada Acadêmica de Odontologia (JAO), promovida pelo Centro Universitário Santo Agostinho, nos dias 29 e 30 de maio de 2025.</w:t>
      </w:r>
    </w:p>
    <w:p w14:paraId="438015B8" w14:textId="6F38CFE1" w:rsidR="00002373" w:rsidRDefault="00000000">
      <w:pPr>
        <w:pStyle w:val="Textodenotaderodap"/>
        <w:jc w:val="both"/>
      </w:pPr>
      <w:r>
        <w:rPr>
          <w:vertAlign w:val="superscript"/>
        </w:rPr>
        <w:t>2</w:t>
      </w:r>
      <w:r>
        <w:t>Autor. Estudante do curso de graduação em Odontologia no Centro Universitário Santo Agostinho (UNIFSA)</w:t>
      </w:r>
      <w:r>
        <w:rPr>
          <w:iCs/>
        </w:rPr>
        <w:t>.</w:t>
      </w:r>
      <w:r>
        <w:t xml:space="preserve">  </w:t>
      </w:r>
    </w:p>
    <w:p w14:paraId="638F32CA" w14:textId="0263EE4F" w:rsidR="005C4740" w:rsidRDefault="005C4740" w:rsidP="005C4740">
      <w:pPr>
        <w:pStyle w:val="Textodenotaderodap"/>
        <w:jc w:val="both"/>
      </w:pPr>
      <w:r>
        <w:rPr>
          <w:vertAlign w:val="superscript"/>
        </w:rPr>
        <w:t>3</w:t>
      </w:r>
      <w:r>
        <w:t>Autor. Estudante do curso de graduação em Odontologia no Centro Universitário Santo Agostinho (UNIFSA)</w:t>
      </w:r>
      <w:r>
        <w:rPr>
          <w:iCs/>
        </w:rPr>
        <w:t>.</w:t>
      </w:r>
      <w:r>
        <w:t xml:space="preserve">  </w:t>
      </w:r>
    </w:p>
    <w:p w14:paraId="59832C7B" w14:textId="266640A2" w:rsidR="005C4740" w:rsidRDefault="005C4740" w:rsidP="005C4740">
      <w:pPr>
        <w:pStyle w:val="Textodenotaderodap"/>
        <w:jc w:val="both"/>
      </w:pPr>
      <w:r>
        <w:rPr>
          <w:vertAlign w:val="superscript"/>
        </w:rPr>
        <w:t>4</w:t>
      </w:r>
      <w:r>
        <w:t>Autor. Estudante do curso de graduação em Odontologia no Centro Universitário Santo Agostinho (UNIFSA)</w:t>
      </w:r>
      <w:r>
        <w:rPr>
          <w:iCs/>
        </w:rPr>
        <w:t>.</w:t>
      </w:r>
      <w:r>
        <w:t xml:space="preserve">  </w:t>
      </w:r>
    </w:p>
    <w:p w14:paraId="184E4FC4" w14:textId="5D230106" w:rsidR="005C4740" w:rsidRDefault="005C4740" w:rsidP="005C4740">
      <w:pPr>
        <w:pStyle w:val="Textodenotaderodap"/>
        <w:jc w:val="both"/>
      </w:pPr>
      <w:r>
        <w:rPr>
          <w:vertAlign w:val="superscript"/>
        </w:rPr>
        <w:t>5</w:t>
      </w:r>
      <w:r>
        <w:t>Autor. Estudante do curso de graduação em Odontologia no Centro Universitário Santo Agostinho (UNIFSA)</w:t>
      </w:r>
      <w:r>
        <w:rPr>
          <w:iCs/>
        </w:rPr>
        <w:t>.</w:t>
      </w:r>
      <w:r>
        <w:t xml:space="preserve">  </w:t>
      </w:r>
    </w:p>
    <w:p w14:paraId="0F56C6F5" w14:textId="33B078DD" w:rsidR="005C4740" w:rsidRDefault="005C4740" w:rsidP="005C4740">
      <w:pPr>
        <w:pStyle w:val="Textodenotaderodap"/>
        <w:jc w:val="both"/>
      </w:pPr>
      <w:r>
        <w:rPr>
          <w:vertAlign w:val="superscript"/>
        </w:rPr>
        <w:t>6</w:t>
      </w:r>
      <w:r>
        <w:t>Autor. Estudante do curso de graduação em Odontologia no Centro Universitário Santo Agostinho (UNIFSA)</w:t>
      </w:r>
      <w:r>
        <w:rPr>
          <w:iCs/>
        </w:rPr>
        <w:t>.</w:t>
      </w:r>
      <w:r>
        <w:t xml:space="preserve">  </w:t>
      </w:r>
    </w:p>
    <w:p w14:paraId="14199260" w14:textId="116EBEB9" w:rsidR="005C4740" w:rsidRDefault="005C4740" w:rsidP="005C4740">
      <w:pPr>
        <w:pStyle w:val="Textodenotaderodap"/>
        <w:jc w:val="both"/>
      </w:pPr>
      <w:r>
        <w:rPr>
          <w:vertAlign w:val="superscript"/>
        </w:rPr>
        <w:t>7</w:t>
      </w:r>
      <w:r>
        <w:t>Autor. Estudante do curso de graduação em Odontologia no Centro Universitário Santo Agostinho (UNIFSA)</w:t>
      </w:r>
      <w:r>
        <w:rPr>
          <w:iCs/>
        </w:rPr>
        <w:t>.</w:t>
      </w:r>
      <w:r>
        <w:t xml:space="preserve">  </w:t>
      </w:r>
    </w:p>
    <w:p w14:paraId="4EB9EF8A" w14:textId="347AA001" w:rsidR="005C4740" w:rsidRDefault="005C4740" w:rsidP="005C4740">
      <w:pPr>
        <w:pStyle w:val="Textodenotaderodap"/>
        <w:jc w:val="both"/>
      </w:pPr>
      <w:r>
        <w:rPr>
          <w:vertAlign w:val="superscript"/>
        </w:rPr>
        <w:t>8</w:t>
      </w:r>
      <w:r>
        <w:t>Autor. Estudante do curso de graduação em Odontologia no Centro Universitário Santo Agostinho (UNIFSA)</w:t>
      </w:r>
      <w:r>
        <w:rPr>
          <w:iCs/>
        </w:rPr>
        <w:t>.</w:t>
      </w:r>
      <w:r>
        <w:t xml:space="preserve">  </w:t>
      </w:r>
    </w:p>
    <w:p w14:paraId="079C60D4" w14:textId="7BEB0677" w:rsidR="005C4740" w:rsidRDefault="005C4740" w:rsidP="005C4740">
      <w:pPr>
        <w:pStyle w:val="Textodenotaderodap"/>
        <w:jc w:val="both"/>
      </w:pPr>
      <w:r>
        <w:rPr>
          <w:vertAlign w:val="superscript"/>
        </w:rPr>
        <w:t>9</w:t>
      </w:r>
      <w:r>
        <w:t>Mestre em Odontologia (UFPI). Professora do Centro Universitário Santo Agostinho (UNIFSA). Orientadora da Pesquisa.</w:t>
      </w:r>
    </w:p>
    <w:p w14:paraId="34F80CD7" w14:textId="5F5923B9" w:rsidR="00002373" w:rsidRDefault="00002373">
      <w:pPr>
        <w:pStyle w:val="Textodenotaderodap"/>
        <w:jc w:val="both"/>
      </w:pPr>
    </w:p>
    <w:sectPr w:rsidR="00002373">
      <w:headerReference w:type="default" r:id="rId8"/>
      <w:footerReference w:type="default" r:id="rId9"/>
      <w:headerReference w:type="first" r:id="rId10"/>
      <w:pgSz w:w="11907" w:h="16840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E3BD" w14:textId="77777777" w:rsidR="0008270C" w:rsidRDefault="0008270C">
      <w:r>
        <w:separator/>
      </w:r>
    </w:p>
  </w:endnote>
  <w:endnote w:type="continuationSeparator" w:id="0">
    <w:p w14:paraId="1083E66B" w14:textId="77777777" w:rsidR="0008270C" w:rsidRDefault="0008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AutoText"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002373" w14:paraId="4AC89A34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398F3C7A" w14:textId="77777777" w:rsidR="00002373" w:rsidRDefault="0000237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470FF8CD" w14:textId="77777777" w:rsidR="00002373" w:rsidRDefault="00000000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t>2</w:t>
              </w:r>
              <w:r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0CD08C8B" w14:textId="77777777" w:rsidR="00002373" w:rsidRDefault="000023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5509" w14:textId="77777777" w:rsidR="0008270C" w:rsidRDefault="0008270C">
      <w:r>
        <w:separator/>
      </w:r>
    </w:p>
  </w:footnote>
  <w:footnote w:type="continuationSeparator" w:id="0">
    <w:p w14:paraId="511EC42A" w14:textId="77777777" w:rsidR="0008270C" w:rsidRDefault="0008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9AAE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68AAEFE8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00C28A4D" w14:textId="77777777" w:rsidR="00002373" w:rsidRDefault="000023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B391" w14:textId="77777777" w:rsidR="00002373" w:rsidRDefault="00000000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9264" behindDoc="1" locked="0" layoutInCell="1" allowOverlap="1" wp14:anchorId="2F6C7318" wp14:editId="6E881C68">
          <wp:simplePos x="0" y="0"/>
          <wp:positionH relativeFrom="column">
            <wp:posOffset>-662305</wp:posOffset>
          </wp:positionH>
          <wp:positionV relativeFrom="paragraph">
            <wp:posOffset>-306705</wp:posOffset>
          </wp:positionV>
          <wp:extent cx="7248525" cy="1484630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B98A9AD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AB2302F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60EF48D9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6CA9B80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5BC6234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17104387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65FB5554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60555B3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45B59A3B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62EA99FB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5D221623" w14:textId="77777777" w:rsidR="00002373" w:rsidRDefault="00000000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02373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270C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C709E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93FBB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0650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C4740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62063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4C46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57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02C6037D"/>
    <w:rsid w:val="0510EE21"/>
    <w:rsid w:val="0AFE6ACB"/>
    <w:rsid w:val="10FFFEEF"/>
    <w:rsid w:val="129514B9"/>
    <w:rsid w:val="146FFDC4"/>
    <w:rsid w:val="149992A0"/>
    <w:rsid w:val="17E8EBE8"/>
    <w:rsid w:val="183E66ED"/>
    <w:rsid w:val="1B04A91A"/>
    <w:rsid w:val="1CDD7017"/>
    <w:rsid w:val="1EE71251"/>
    <w:rsid w:val="20C614F5"/>
    <w:rsid w:val="23F2E388"/>
    <w:rsid w:val="259B2273"/>
    <w:rsid w:val="25EF31FA"/>
    <w:rsid w:val="26324AB8"/>
    <w:rsid w:val="2E187704"/>
    <w:rsid w:val="2E90F118"/>
    <w:rsid w:val="3164FDFA"/>
    <w:rsid w:val="33E8F0B1"/>
    <w:rsid w:val="367D8D37"/>
    <w:rsid w:val="3CAE95B0"/>
    <w:rsid w:val="49244ECA"/>
    <w:rsid w:val="4F1DF7DF"/>
    <w:rsid w:val="4F9A48B4"/>
    <w:rsid w:val="5148ACB2"/>
    <w:rsid w:val="5411002B"/>
    <w:rsid w:val="54149B55"/>
    <w:rsid w:val="55DFD4A9"/>
    <w:rsid w:val="5698DEC3"/>
    <w:rsid w:val="59EF3006"/>
    <w:rsid w:val="5C26343B"/>
    <w:rsid w:val="5CD3E104"/>
    <w:rsid w:val="5F2665F6"/>
    <w:rsid w:val="5F458BB0"/>
    <w:rsid w:val="62C83652"/>
    <w:rsid w:val="630AB45E"/>
    <w:rsid w:val="63A136C4"/>
    <w:rsid w:val="6542D9DF"/>
    <w:rsid w:val="65439636"/>
    <w:rsid w:val="6C71E2CF"/>
    <w:rsid w:val="7025E59F"/>
    <w:rsid w:val="70266211"/>
    <w:rsid w:val="723378F1"/>
    <w:rsid w:val="750A674A"/>
    <w:rsid w:val="76367B8B"/>
    <w:rsid w:val="7672B6EB"/>
    <w:rsid w:val="7ACF900C"/>
    <w:rsid w:val="7E11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CFA69C2"/>
  <w15:docId w15:val="{CB3EA251-38A7-CD49-A1EF-F3BBFF3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semiHidden/>
    <w:qFormat/>
    <w:rPr>
      <w:vertAlign w:val="superscript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character" w:styleId="Nmerodepgina">
    <w:name w:val="page number"/>
    <w:basedOn w:val="Fontepargpadro"/>
    <w:uiPriority w:val="99"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Ttulo">
    <w:name w:val="Title"/>
    <w:basedOn w:val="Normal"/>
    <w:link w:val="TtuloChar"/>
    <w:qFormat/>
    <w:pPr>
      <w:spacing w:line="360" w:lineRule="auto"/>
      <w:jc w:val="center"/>
    </w:pPr>
    <w:rPr>
      <w:szCs w:val="20"/>
    </w:rPr>
  </w:style>
  <w:style w:type="paragraph" w:styleId="Textodenotadefim">
    <w:name w:val="endnote text"/>
    <w:basedOn w:val="Normal"/>
    <w:uiPriority w:val="99"/>
    <w:semiHidden/>
    <w:unhideWhenUsed/>
    <w:qFormat/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style31">
    <w:name w:val="style31"/>
    <w:basedOn w:val="Fontepargpadro"/>
    <w:rPr>
      <w:rFonts w:ascii="Arial" w:hAnsi="Arial" w:cs="Arial" w:hint="default"/>
      <w:color w:val="00000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Times New Roman" w:hAnsi="Arial" w:cs="Times New Roman"/>
      <w:b/>
      <w:bCs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14</TotalTime>
  <Pages>2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Asus</cp:lastModifiedBy>
  <cp:revision>4</cp:revision>
  <cp:lastPrinted>2019-06-27T19:23:00Z</cp:lastPrinted>
  <dcterms:created xsi:type="dcterms:W3CDTF">2025-05-22T15:08:00Z</dcterms:created>
  <dcterms:modified xsi:type="dcterms:W3CDTF">2025-05-22T15:11:00Z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EF0A4127685F42D19447155CC254F087_12</vt:lpwstr>
  </property>
</Properties>
</file>