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5C808A">
      <w:pPr>
        <w:shd w:val="clear" w:color="auto" w:fill="FFFFFF" w:themeFill="background1"/>
        <w:tabs>
          <w:tab w:val="left" w:pos="2500"/>
        </w:tabs>
        <w:spacing w:line="240" w:lineRule="auto"/>
        <w:jc w:val="center"/>
        <w:rPr>
          <w:sz w:val="24"/>
          <w:szCs w:val="24"/>
        </w:rPr>
      </w:pPr>
      <w:r>
        <w:rPr>
          <w:b/>
          <w:bCs/>
          <w:color w:val="000000" w:themeColor="text1" w:themeTint="FF"/>
          <w:sz w:val="24"/>
          <w:szCs w:val="24"/>
          <w14:textFill>
            <w14:solidFill>
              <w14:schemeClr w14:val="tx1">
                <w14:lumMod w14:val="100000"/>
                <w14:lumOff w14:val="0"/>
              </w14:schemeClr>
            </w14:solidFill>
          </w14:textFill>
        </w:rPr>
        <w:t>O USO DE GEOTECNOLOGIAS NA OPERACIONALIZAÇÃO DO COMBATE AO DESMATAMENTO E QUEIMADAS POR MEIO DA ANÁLISE DE MATRIZES DE 1991-2001.</w:t>
      </w:r>
    </w:p>
    <w:p w14:paraId="24ECE530">
      <w:pPr>
        <w:pBdr>
          <w:bottom w:val="none" w:color="000000" w:sz="0" w:space="8"/>
        </w:pBdr>
        <w:shd w:val="clear" w:color="auto" w:fill="FFFFFF" w:themeFill="background1"/>
        <w:tabs>
          <w:tab w:val="left" w:pos="2500"/>
        </w:tabs>
        <w:jc w:val="center"/>
        <w:rPr>
          <w:color w:val="FF0000"/>
          <w:sz w:val="24"/>
          <w:szCs w:val="24"/>
        </w:rPr>
      </w:pPr>
    </w:p>
    <w:p w14:paraId="461755EE">
      <w:pPr>
        <w:shd w:val="clear" w:color="auto" w:fill="FFFFFF" w:themeFill="background1"/>
        <w:tabs>
          <w:tab w:val="left" w:pos="2500"/>
        </w:tabs>
        <w:jc w:val="center"/>
        <w:rPr>
          <w:sz w:val="24"/>
          <w:szCs w:val="24"/>
        </w:rPr>
      </w:pPr>
      <w:r>
        <w:rPr>
          <w:color w:val="000000" w:themeColor="text1"/>
          <w:sz w:val="24"/>
          <w:szCs w:val="24"/>
          <w14:textFill>
            <w14:solidFill>
              <w14:schemeClr w14:val="tx1"/>
            </w14:solidFill>
          </w14:textFill>
        </w:rPr>
        <w:t>José Augusto de Souza Estumano</w:t>
      </w:r>
      <w:r>
        <w:rPr>
          <w:color w:val="000000" w:themeColor="text1"/>
          <w:sz w:val="24"/>
          <w:szCs w:val="24"/>
          <w:vertAlign w:val="superscript"/>
          <w14:textFill>
            <w14:solidFill>
              <w14:schemeClr w14:val="tx1"/>
            </w14:solidFill>
          </w14:textFill>
        </w:rPr>
        <w:t>1</w:t>
      </w:r>
      <w:r>
        <w:rPr>
          <w:color w:val="000000" w:themeColor="text1"/>
          <w:sz w:val="24"/>
          <w:szCs w:val="24"/>
          <w14:textFill>
            <w14:solidFill>
              <w14:schemeClr w14:val="tx1"/>
            </w14:solidFill>
          </w14:textFill>
        </w:rPr>
        <w:t>; João Gabriel Sodré Lima</w:t>
      </w:r>
      <w:r>
        <w:rPr>
          <w:color w:val="000000" w:themeColor="text1"/>
          <w:sz w:val="24"/>
          <w:szCs w:val="24"/>
          <w:vertAlign w:val="superscript"/>
          <w14:textFill>
            <w14:solidFill>
              <w14:schemeClr w14:val="tx1"/>
            </w14:solidFill>
          </w14:textFill>
        </w:rPr>
        <w:t xml:space="preserve"> 2</w:t>
      </w:r>
      <w:r>
        <w:rPr>
          <w:color w:val="000000" w:themeColor="text1"/>
          <w:sz w:val="24"/>
          <w:szCs w:val="24"/>
          <w14:textFill>
            <w14:solidFill>
              <w14:schemeClr w14:val="tx1"/>
            </w14:solidFill>
          </w14:textFill>
        </w:rPr>
        <w:t>; Bianca Pinheiro da Silva</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 George Pimentel Palha</w:t>
      </w:r>
      <w:r>
        <w:rPr>
          <w:color w:val="000000" w:themeColor="text1"/>
          <w:sz w:val="24"/>
          <w:szCs w:val="24"/>
          <w:vertAlign w:val="superscript"/>
          <w14:textFill>
            <w14:solidFill>
              <w14:schemeClr w14:val="tx1"/>
            </w14:solidFill>
          </w14:textFill>
        </w:rPr>
        <w:t>4</w:t>
      </w:r>
      <w:r>
        <w:rPr>
          <w:color w:val="000000" w:themeColor="text1"/>
          <w:sz w:val="24"/>
          <w:szCs w:val="24"/>
          <w14:textFill>
            <w14:solidFill>
              <w14:schemeClr w14:val="tx1"/>
            </w14:solidFill>
          </w14:textFill>
        </w:rPr>
        <w:t>; Giulia Pimentel Palha</w:t>
      </w:r>
      <w:r>
        <w:rPr>
          <w:color w:val="000000" w:themeColor="text1"/>
          <w:sz w:val="24"/>
          <w:szCs w:val="24"/>
          <w:vertAlign w:val="superscript"/>
          <w14:textFill>
            <w14:solidFill>
              <w14:schemeClr w14:val="tx1"/>
            </w14:solidFill>
          </w14:textFill>
        </w:rPr>
        <w:t>5</w:t>
      </w:r>
      <w:r>
        <w:rPr>
          <w:color w:val="000000" w:themeColor="text1"/>
          <w:sz w:val="24"/>
          <w:szCs w:val="24"/>
          <w14:textFill>
            <w14:solidFill>
              <w14:schemeClr w14:val="tx1"/>
            </w14:solidFill>
          </w14:textFill>
        </w:rPr>
        <w:t xml:space="preserve">; </w:t>
      </w:r>
      <w:r>
        <w:rPr>
          <w:color w:val="000000" w:themeColor="text1"/>
          <w:sz w:val="24"/>
          <w:szCs w:val="24"/>
          <w:u w:val="single"/>
          <w14:textFill>
            <w14:solidFill>
              <w14:schemeClr w14:val="tx1"/>
            </w14:solidFill>
          </w14:textFill>
        </w:rPr>
        <w:t>Gerson Diego Pamplona Albuquerque</w:t>
      </w:r>
      <w:r>
        <w:rPr>
          <w:color w:val="000000" w:themeColor="text1"/>
          <w:sz w:val="24"/>
          <w:szCs w:val="24"/>
          <w:vertAlign w:val="superscript"/>
          <w14:textFill>
            <w14:solidFill>
              <w14:schemeClr w14:val="tx1"/>
            </w14:solidFill>
          </w14:textFill>
        </w:rPr>
        <w:t>6</w:t>
      </w:r>
      <w:r>
        <w:rPr>
          <w:color w:val="000000" w:themeColor="text1"/>
          <w:sz w:val="24"/>
          <w:szCs w:val="24"/>
          <w14:textFill>
            <w14:solidFill>
              <w14:schemeClr w14:val="tx1"/>
            </w14:solidFill>
          </w14:textFill>
        </w:rPr>
        <w:t xml:space="preserve">; </w:t>
      </w:r>
      <w:r>
        <w:rPr>
          <w:color w:val="000000" w:themeColor="text1"/>
          <w:sz w:val="24"/>
          <w:szCs w:val="24"/>
          <w:u w:val="single"/>
          <w14:textFill>
            <w14:solidFill>
              <w14:schemeClr w14:val="tx1"/>
            </w14:solidFill>
          </w14:textFill>
        </w:rPr>
        <w:t>Helaine Cristine Gonçalves Pires</w:t>
      </w:r>
      <w:r>
        <w:rPr>
          <w:color w:val="000000" w:themeColor="text1"/>
          <w:sz w:val="24"/>
          <w:szCs w:val="24"/>
          <w:vertAlign w:val="superscript"/>
          <w14:textFill>
            <w14:solidFill>
              <w14:schemeClr w14:val="tx1"/>
            </w14:solidFill>
          </w14:textFill>
        </w:rPr>
        <w:t>7</w:t>
      </w:r>
    </w:p>
    <w:p w14:paraId="488A52A5">
      <w:pPr>
        <w:shd w:val="clear" w:color="auto" w:fill="FFFFFF" w:themeFill="background1"/>
        <w:tabs>
          <w:tab w:val="left" w:pos="2500"/>
        </w:tabs>
        <w:jc w:val="center"/>
        <w:rPr>
          <w:b/>
          <w:bCs/>
          <w:color w:val="FF0000"/>
          <w:sz w:val="24"/>
          <w:szCs w:val="24"/>
        </w:rPr>
      </w:pPr>
    </w:p>
    <w:p w14:paraId="0C599C22">
      <w:pPr>
        <w:shd w:val="clear" w:color="auto" w:fill="FFFFFF" w:themeFill="background1"/>
        <w:tabs>
          <w:tab w:val="left" w:pos="2500"/>
        </w:tabs>
        <w:spacing w:line="240" w:lineRule="auto"/>
        <w:jc w:val="center"/>
        <w:rPr>
          <w:color w:val="000000" w:themeColor="text1"/>
          <w:sz w:val="24"/>
          <w:szCs w:val="24"/>
          <w14:textFill>
            <w14:solidFill>
              <w14:schemeClr w14:val="tx1"/>
            </w14:solidFill>
          </w14:textFill>
        </w:rPr>
      </w:pPr>
      <w:r>
        <w:rPr>
          <w:color w:val="000000" w:themeColor="text1" w:themeTint="FF"/>
          <w:sz w:val="24"/>
          <w:szCs w:val="24"/>
          <w:vertAlign w:val="superscript"/>
          <w14:textFill>
            <w14:solidFill>
              <w14:schemeClr w14:val="tx1">
                <w14:lumMod w14:val="100000"/>
                <w14:lumOff w14:val="0"/>
              </w14:schemeClr>
            </w14:solidFill>
          </w14:textFill>
        </w:rPr>
        <w:t xml:space="preserve">1 </w:t>
      </w:r>
      <w:r>
        <w:rPr>
          <w:color w:val="000000" w:themeColor="text1" w:themeTint="FF"/>
          <w:sz w:val="24"/>
          <w:szCs w:val="24"/>
          <w14:textFill>
            <w14:solidFill>
              <w14:schemeClr w14:val="tx1">
                <w14:lumMod w14:val="100000"/>
                <w14:lumOff w14:val="0"/>
              </w14:schemeClr>
            </w14:solidFill>
          </w14:textFill>
        </w:rPr>
        <w:t xml:space="preserve">Graduando em Agronomia. Universidade Federal Rural da Amazônia. </w:t>
      </w:r>
      <w:r>
        <w:fldChar w:fldCharType="begin"/>
      </w:r>
      <w:r>
        <w:instrText xml:space="preserve"> HYPERLINK "mailto:joseestumano11@gmail.com" \h </w:instrText>
      </w:r>
      <w:r>
        <w:fldChar w:fldCharType="separate"/>
      </w:r>
      <w:r>
        <w:rPr>
          <w:rStyle w:val="4"/>
          <w:sz w:val="24"/>
          <w:szCs w:val="24"/>
        </w:rPr>
        <w:t>joseestumano11@gmail.com</w:t>
      </w:r>
      <w:r>
        <w:rPr>
          <w:rStyle w:val="4"/>
          <w:sz w:val="24"/>
          <w:szCs w:val="24"/>
        </w:rPr>
        <w:fldChar w:fldCharType="end"/>
      </w:r>
      <w:r>
        <w:rPr>
          <w:color w:val="000000" w:themeColor="text1" w:themeTint="FF"/>
          <w:sz w:val="24"/>
          <w:szCs w:val="24"/>
          <w14:textFill>
            <w14:solidFill>
              <w14:schemeClr w14:val="tx1">
                <w14:lumMod w14:val="100000"/>
                <w14:lumOff w14:val="0"/>
              </w14:schemeClr>
            </w14:solidFill>
          </w14:textFill>
        </w:rPr>
        <w:t>.</w:t>
      </w:r>
    </w:p>
    <w:p w14:paraId="29CDBA8A">
      <w:pPr>
        <w:shd w:val="clear" w:color="auto" w:fill="FFFFFF" w:themeFill="background1"/>
        <w:tabs>
          <w:tab w:val="left" w:pos="2500"/>
        </w:tabs>
        <w:spacing w:line="240" w:lineRule="auto"/>
        <w:jc w:val="center"/>
        <w:rPr>
          <w:color w:val="000000" w:themeColor="text1"/>
          <w:sz w:val="24"/>
          <w:szCs w:val="24"/>
          <w14:textFill>
            <w14:solidFill>
              <w14:schemeClr w14:val="tx1"/>
            </w14:solidFill>
          </w14:textFill>
        </w:rPr>
      </w:pPr>
      <w:r>
        <w:rPr>
          <w:color w:val="000000" w:themeColor="text1" w:themeTint="FF"/>
          <w:sz w:val="24"/>
          <w:szCs w:val="24"/>
          <w:vertAlign w:val="superscript"/>
          <w14:textFill>
            <w14:solidFill>
              <w14:schemeClr w14:val="tx1">
                <w14:lumMod w14:val="100000"/>
                <w14:lumOff w14:val="0"/>
              </w14:schemeClr>
            </w14:solidFill>
          </w14:textFill>
        </w:rPr>
        <w:t xml:space="preserve">2 </w:t>
      </w:r>
      <w:r>
        <w:rPr>
          <w:color w:val="000000" w:themeColor="text1" w:themeTint="FF"/>
          <w:sz w:val="24"/>
          <w:szCs w:val="24"/>
          <w14:textFill>
            <w14:solidFill>
              <w14:schemeClr w14:val="tx1">
                <w14:lumMod w14:val="100000"/>
                <w14:lumOff w14:val="0"/>
              </w14:schemeClr>
            </w14:solidFill>
          </w14:textFill>
        </w:rPr>
        <w:t>Graduando em Agronomia. Universidade Federal Rural da Amazônia.</w:t>
      </w:r>
    </w:p>
    <w:p w14:paraId="41BC5270">
      <w:pPr>
        <w:shd w:val="clear" w:color="auto" w:fill="FFFFFF" w:themeFill="background1"/>
        <w:tabs>
          <w:tab w:val="left" w:pos="2500"/>
        </w:tabs>
        <w:spacing w:line="240" w:lineRule="auto"/>
        <w:jc w:val="center"/>
        <w:rPr>
          <w:color w:val="000000" w:themeColor="text1"/>
          <w:sz w:val="24"/>
          <w:szCs w:val="24"/>
          <w14:textFill>
            <w14:solidFill>
              <w14:schemeClr w14:val="tx1"/>
            </w14:solidFill>
          </w14:textFill>
        </w:rPr>
      </w:pPr>
      <w:r>
        <w:rPr>
          <w:color w:val="000000" w:themeColor="text1" w:themeTint="FF"/>
          <w:sz w:val="24"/>
          <w:szCs w:val="24"/>
          <w:vertAlign w:val="superscript"/>
          <w14:textFill>
            <w14:solidFill>
              <w14:schemeClr w14:val="tx1">
                <w14:lumMod w14:val="100000"/>
                <w14:lumOff w14:val="0"/>
              </w14:schemeClr>
            </w14:solidFill>
          </w14:textFill>
        </w:rPr>
        <w:t xml:space="preserve">3 </w:t>
      </w:r>
      <w:r>
        <w:rPr>
          <w:color w:val="000000" w:themeColor="text1" w:themeTint="FF"/>
          <w:sz w:val="24"/>
          <w:szCs w:val="24"/>
          <w14:textFill>
            <w14:solidFill>
              <w14:schemeClr w14:val="tx1">
                <w14:lumMod w14:val="100000"/>
                <w14:lumOff w14:val="0"/>
              </w14:schemeClr>
            </w14:solidFill>
          </w14:textFill>
        </w:rPr>
        <w:t>Graduanda em Agronomia. Universidade Federal Rural da Amazônia.</w:t>
      </w:r>
    </w:p>
    <w:p w14:paraId="06AAD158">
      <w:pPr>
        <w:shd w:val="clear" w:color="auto" w:fill="FFFFFF" w:themeFill="background1"/>
        <w:tabs>
          <w:tab w:val="left" w:pos="2500"/>
        </w:tabs>
        <w:spacing w:line="240" w:lineRule="auto"/>
        <w:jc w:val="center"/>
        <w:rPr>
          <w:color w:val="000000" w:themeColor="text1"/>
          <w:sz w:val="24"/>
          <w:szCs w:val="24"/>
          <w14:textFill>
            <w14:solidFill>
              <w14:schemeClr w14:val="tx1"/>
            </w14:solidFill>
          </w14:textFill>
        </w:rPr>
      </w:pPr>
      <w:r>
        <w:rPr>
          <w:color w:val="000000" w:themeColor="text1" w:themeTint="FF"/>
          <w:sz w:val="24"/>
          <w:szCs w:val="24"/>
          <w:vertAlign w:val="superscript"/>
          <w14:textFill>
            <w14:solidFill>
              <w14:schemeClr w14:val="tx1">
                <w14:lumMod w14:val="100000"/>
                <w14:lumOff w14:val="0"/>
              </w14:schemeClr>
            </w14:solidFill>
          </w14:textFill>
        </w:rPr>
        <w:t xml:space="preserve">4 </w:t>
      </w:r>
      <w:r>
        <w:rPr>
          <w:color w:val="000000" w:themeColor="text1" w:themeTint="FF"/>
          <w:sz w:val="24"/>
          <w:szCs w:val="24"/>
          <w14:textFill>
            <w14:solidFill>
              <w14:schemeClr w14:val="tx1">
                <w14:lumMod w14:val="100000"/>
                <w14:lumOff w14:val="0"/>
              </w14:schemeClr>
            </w14:solidFill>
          </w14:textFill>
        </w:rPr>
        <w:t>Graduando em Agronomia. Universidade Federal Rural da Amazônia.</w:t>
      </w:r>
    </w:p>
    <w:p w14:paraId="0D16D502">
      <w:pPr>
        <w:shd w:val="clear" w:color="auto" w:fill="FFFFFF" w:themeFill="background1"/>
        <w:tabs>
          <w:tab w:val="left" w:pos="2500"/>
        </w:tabs>
        <w:spacing w:line="240" w:lineRule="auto"/>
        <w:jc w:val="center"/>
        <w:rPr>
          <w:color w:val="000000" w:themeColor="text1"/>
          <w:sz w:val="24"/>
          <w:szCs w:val="24"/>
          <w14:textFill>
            <w14:solidFill>
              <w14:schemeClr w14:val="tx1"/>
            </w14:solidFill>
          </w14:textFill>
        </w:rPr>
      </w:pPr>
      <w:r>
        <w:rPr>
          <w:color w:val="000000" w:themeColor="text1" w:themeTint="FF"/>
          <w:sz w:val="24"/>
          <w:szCs w:val="24"/>
          <w:vertAlign w:val="superscript"/>
          <w14:textFill>
            <w14:solidFill>
              <w14:schemeClr w14:val="tx1">
                <w14:lumMod w14:val="100000"/>
                <w14:lumOff w14:val="0"/>
              </w14:schemeClr>
            </w14:solidFill>
          </w14:textFill>
        </w:rPr>
        <w:t xml:space="preserve">5 </w:t>
      </w:r>
      <w:r>
        <w:rPr>
          <w:color w:val="000000" w:themeColor="text1" w:themeTint="FF"/>
          <w:sz w:val="24"/>
          <w:szCs w:val="24"/>
          <w14:textFill>
            <w14:solidFill>
              <w14:schemeClr w14:val="tx1">
                <w14:lumMod w14:val="100000"/>
                <w14:lumOff w14:val="0"/>
              </w14:schemeClr>
            </w14:solidFill>
          </w14:textFill>
        </w:rPr>
        <w:t>Graduanda em Agronomia. Universidade Federal Rural da Amazônia.</w:t>
      </w:r>
    </w:p>
    <w:p w14:paraId="0A9B643A">
      <w:pPr>
        <w:shd w:val="clear" w:color="auto" w:fill="FFFFFF" w:themeFill="background1"/>
        <w:tabs>
          <w:tab w:val="left" w:pos="2500"/>
        </w:tabs>
        <w:spacing w:line="240" w:lineRule="auto"/>
        <w:jc w:val="center"/>
        <w:rPr>
          <w:color w:val="000000" w:themeColor="text1"/>
          <w:sz w:val="24"/>
          <w:szCs w:val="24"/>
          <w14:textFill>
            <w14:solidFill>
              <w14:schemeClr w14:val="tx1"/>
            </w14:solidFill>
          </w14:textFill>
        </w:rPr>
      </w:pPr>
      <w:r>
        <w:rPr>
          <w:color w:val="000000" w:themeColor="text1" w:themeTint="FF"/>
          <w:sz w:val="24"/>
          <w:szCs w:val="24"/>
          <w:vertAlign w:val="superscript"/>
          <w14:textFill>
            <w14:solidFill>
              <w14:schemeClr w14:val="tx1">
                <w14:lumMod w14:val="100000"/>
                <w14:lumOff w14:val="0"/>
              </w14:schemeClr>
            </w14:solidFill>
          </w14:textFill>
        </w:rPr>
        <w:t xml:space="preserve">6 </w:t>
      </w:r>
      <w:r>
        <w:rPr>
          <w:color w:val="000000" w:themeColor="text1" w:themeTint="FF"/>
          <w:sz w:val="24"/>
          <w:szCs w:val="24"/>
          <w14:textFill>
            <w14:solidFill>
              <w14:schemeClr w14:val="tx1">
                <w14:lumMod w14:val="100000"/>
                <w14:lumOff w14:val="0"/>
              </w14:schemeClr>
            </w14:solidFill>
          </w14:textFill>
        </w:rPr>
        <w:t>Doutorado em Agronomia. Universidade Federal Rural da Amazônia.</w:t>
      </w:r>
    </w:p>
    <w:p w14:paraId="3990BE6D">
      <w:pPr>
        <w:keepLines/>
        <w:shd w:val="clear" w:color="auto" w:fill="FFFFFF" w:themeFill="background1"/>
        <w:tabs>
          <w:tab w:val="left" w:pos="2500"/>
        </w:tabs>
        <w:spacing w:line="240" w:lineRule="auto"/>
        <w:jc w:val="center"/>
      </w:pPr>
      <w:r>
        <w:rPr>
          <w:color w:val="000000" w:themeColor="text1" w:themeTint="FF"/>
          <w:sz w:val="24"/>
          <w:szCs w:val="24"/>
          <w:vertAlign w:val="superscript"/>
          <w14:textFill>
            <w14:solidFill>
              <w14:schemeClr w14:val="tx1">
                <w14:lumMod w14:val="100000"/>
                <w14:lumOff w14:val="0"/>
              </w14:schemeClr>
            </w14:solidFill>
          </w14:textFill>
        </w:rPr>
        <w:t xml:space="preserve">7 </w:t>
      </w:r>
      <w:r>
        <w:rPr>
          <w:color w:val="000000" w:themeColor="text1" w:themeTint="FF"/>
          <w:sz w:val="24"/>
          <w:szCs w:val="24"/>
          <w14:textFill>
            <w14:solidFill>
              <w14:schemeClr w14:val="tx1">
                <w14:lumMod w14:val="100000"/>
                <w14:lumOff w14:val="0"/>
              </w14:schemeClr>
            </w14:solidFill>
          </w14:textFill>
        </w:rPr>
        <w:t>Doutorado em Biodiversidade e Biotecnologia. Universidade Federal Rural da Amazônia.</w:t>
      </w:r>
    </w:p>
    <w:p w14:paraId="6562E980">
      <w:pPr>
        <w:keepLines/>
        <w:pBdr>
          <w:bottom w:val="none" w:color="000000" w:sz="0" w:space="8"/>
        </w:pBdr>
        <w:shd w:val="clear" w:color="auto" w:fill="FFFFFF" w:themeFill="background1"/>
        <w:tabs>
          <w:tab w:val="left" w:pos="2500"/>
        </w:tabs>
        <w:spacing w:line="310" w:lineRule="auto"/>
        <w:jc w:val="center"/>
        <w:rPr>
          <w:sz w:val="24"/>
          <w:szCs w:val="24"/>
        </w:rPr>
      </w:pPr>
    </w:p>
    <w:p w14:paraId="1EA4B476">
      <w:pPr>
        <w:pBdr>
          <w:bottom w:val="none" w:color="000000" w:sz="0" w:space="8"/>
        </w:pBdr>
        <w:shd w:val="clear" w:color="auto" w:fill="FFFFFF" w:themeFill="background1"/>
        <w:tabs>
          <w:tab w:val="left" w:pos="2500"/>
        </w:tabs>
        <w:jc w:val="center"/>
        <w:rPr>
          <w:b/>
          <w:bCs/>
          <w:sz w:val="24"/>
          <w:szCs w:val="24"/>
          <w:u w:val="single"/>
        </w:rPr>
      </w:pPr>
      <w:r>
        <w:rPr>
          <w:b/>
          <w:bCs/>
          <w:sz w:val="24"/>
          <w:szCs w:val="24"/>
          <w:u w:val="single"/>
        </w:rPr>
        <w:t>RESUMO</w:t>
      </w:r>
    </w:p>
    <w:p w14:paraId="55D8123A">
      <w:pPr>
        <w:shd w:val="clear" w:color="auto" w:fill="FFFFFF" w:themeFill="background1"/>
        <w:tabs>
          <w:tab w:val="left" w:pos="2500"/>
        </w:tabs>
        <w:spacing w:line="240" w:lineRule="auto"/>
        <w:jc w:val="both"/>
      </w:pPr>
      <w:r>
        <w:rPr>
          <w:sz w:val="24"/>
          <w:szCs w:val="24"/>
        </w:rPr>
        <w:t xml:space="preserve">O estudo analisou as mudanças no uso e cobertura da terra em áreas com processos minerários ativos para extração de estanho em São Félix do Xingu, Pará, entre 1991 e 2001, utilizando geotecnologias e sensoriamento remoto como ferramentas de avaliação ambiental. As imagens </w:t>
      </w:r>
      <w:r>
        <w:rPr>
          <w:i/>
          <w:iCs/>
          <w:sz w:val="24"/>
          <w:szCs w:val="24"/>
        </w:rPr>
        <w:t>Landsat</w:t>
      </w:r>
      <w:r>
        <w:rPr>
          <w:sz w:val="24"/>
          <w:szCs w:val="24"/>
        </w:rPr>
        <w:t xml:space="preserve"> 5 e </w:t>
      </w:r>
      <w:r>
        <w:rPr>
          <w:i/>
          <w:iCs/>
          <w:sz w:val="24"/>
          <w:szCs w:val="24"/>
        </w:rPr>
        <w:t>Landsat</w:t>
      </w:r>
      <w:r>
        <w:rPr>
          <w:sz w:val="24"/>
          <w:szCs w:val="24"/>
        </w:rPr>
        <w:t xml:space="preserve"> 8, processadas no </w:t>
      </w:r>
      <w:r>
        <w:rPr>
          <w:i/>
          <w:iCs/>
          <w:sz w:val="24"/>
          <w:szCs w:val="24"/>
        </w:rPr>
        <w:t>QGIS</w:t>
      </w:r>
      <w:r>
        <w:rPr>
          <w:sz w:val="24"/>
          <w:szCs w:val="24"/>
        </w:rPr>
        <w:t xml:space="preserve"> 3.28.9 e obtidas pelo Projeto MapBiomas, foram recortadas, reclassificadas e avaliadas por meio de uma matriz de transição. Os resultados mostraram transformações significativas na paisagem, com predominância inicial de formação florestal, formação savânica e corpos hídricos. Em 2001, grande parte dessas áreas foi convertida em pastagens, refletindo a expansão agropecuária intensificada desde a década de 1980. A mineração também apresentou leve crescimento, passando de 318,24 ha para 358,37 ha. A matriz de transição evidenciou a pastagem como principal classe de ganho. Conclui-se que o sensoriamento remoto é essencial para monitorar mudanças territoriais e apoiar estratégias sustentáveis.</w:t>
      </w:r>
    </w:p>
    <w:p w14:paraId="42D75990">
      <w:pPr>
        <w:pBdr>
          <w:bottom w:val="none" w:color="000000" w:sz="0" w:space="8"/>
        </w:pBdr>
        <w:shd w:val="clear" w:color="auto" w:fill="FFFFFF" w:themeFill="background1"/>
        <w:tabs>
          <w:tab w:val="left" w:pos="2500"/>
        </w:tabs>
        <w:rPr>
          <w:sz w:val="24"/>
          <w:szCs w:val="24"/>
        </w:rPr>
      </w:pPr>
    </w:p>
    <w:p w14:paraId="5A93BFDA">
      <w:pPr>
        <w:shd w:val="clear" w:color="auto" w:fill="FFFFFF" w:themeFill="background1"/>
        <w:tabs>
          <w:tab w:val="left" w:pos="2500"/>
        </w:tabs>
        <w:jc w:val="both"/>
        <w:rPr>
          <w:color w:val="FF0000"/>
          <w:sz w:val="24"/>
          <w:szCs w:val="24"/>
        </w:rPr>
      </w:pPr>
      <w:r>
        <w:rPr>
          <w:b/>
          <w:bCs/>
          <w:sz w:val="24"/>
          <w:szCs w:val="24"/>
        </w:rPr>
        <w:t xml:space="preserve">Palavras-chave: </w:t>
      </w:r>
      <w:r>
        <w:rPr>
          <w:color w:val="000000" w:themeColor="text1"/>
          <w:sz w:val="24"/>
          <w:szCs w:val="24"/>
          <w14:textFill>
            <w14:solidFill>
              <w14:schemeClr w14:val="tx1"/>
            </w14:solidFill>
          </w14:textFill>
        </w:rPr>
        <w:t>Mineração. Geoprocessamento. Projeto MapBiomas.</w:t>
      </w:r>
    </w:p>
    <w:p w14:paraId="71340687">
      <w:pPr>
        <w:shd w:val="clear" w:color="auto" w:fill="FFFFFF" w:themeFill="background1"/>
        <w:tabs>
          <w:tab w:val="left" w:pos="2500"/>
        </w:tabs>
        <w:jc w:val="both"/>
        <w:rPr>
          <w:sz w:val="24"/>
          <w:szCs w:val="24"/>
        </w:rPr>
      </w:pPr>
    </w:p>
    <w:p w14:paraId="73EB5E4E">
      <w:pPr>
        <w:shd w:val="clear" w:color="auto" w:fill="FFFFFF" w:themeFill="background1"/>
        <w:tabs>
          <w:tab w:val="left" w:pos="2500"/>
        </w:tabs>
        <w:jc w:val="both"/>
        <w:rPr>
          <w:rFonts w:hint="default"/>
          <w:color w:val="FF0000"/>
          <w:sz w:val="24"/>
          <w:szCs w:val="24"/>
          <w:lang w:val="pt-BR"/>
        </w:rPr>
      </w:pPr>
      <w:r>
        <w:rPr>
          <w:b/>
          <w:bCs/>
          <w:sz w:val="24"/>
          <w:szCs w:val="24"/>
        </w:rPr>
        <w:t>Área de Interesse do Simpósio</w:t>
      </w:r>
      <w:r>
        <w:rPr>
          <w:sz w:val="24"/>
          <w:szCs w:val="24"/>
        </w:rPr>
        <w:t xml:space="preserve">: </w:t>
      </w:r>
      <w:r>
        <w:rPr>
          <w:rFonts w:hint="default"/>
          <w:sz w:val="24"/>
          <w:szCs w:val="24"/>
        </w:rPr>
        <w:t>Metodologias, geotecnologias, estatística, e divulgação cientifica</w:t>
      </w:r>
      <w:r>
        <w:rPr>
          <w:rFonts w:hint="default"/>
          <w:sz w:val="24"/>
          <w:szCs w:val="24"/>
          <w:lang w:val="pt-BR"/>
        </w:rPr>
        <w:t>.</w:t>
      </w:r>
      <w:bookmarkStart w:id="0" w:name="_GoBack"/>
      <w:bookmarkEnd w:id="0"/>
    </w:p>
    <w:p w14:paraId="45B27B6B">
      <w:pPr>
        <w:pBdr>
          <w:bottom w:val="none" w:color="000000" w:sz="0" w:space="8"/>
        </w:pBdr>
        <w:shd w:val="clear" w:color="auto" w:fill="FFFFFF" w:themeFill="background1"/>
        <w:tabs>
          <w:tab w:val="left" w:pos="2500"/>
        </w:tabs>
        <w:rPr>
          <w:sz w:val="24"/>
          <w:szCs w:val="24"/>
        </w:rPr>
      </w:pPr>
      <w:r>
        <w:br w:type="page"/>
      </w:r>
    </w:p>
    <w:p w14:paraId="6B35A14B">
      <w:pPr>
        <w:pBdr>
          <w:bottom w:val="none" w:color="000000" w:sz="0" w:space="18"/>
        </w:pBdr>
        <w:shd w:val="clear" w:color="auto" w:fill="FFFFFF" w:themeFill="background1"/>
        <w:tabs>
          <w:tab w:val="left" w:pos="2500"/>
        </w:tabs>
        <w:spacing w:line="360" w:lineRule="auto"/>
        <w:rPr>
          <w:b/>
          <w:bCs/>
          <w:sz w:val="24"/>
          <w:szCs w:val="24"/>
        </w:rPr>
      </w:pPr>
      <w:r>
        <w:rPr>
          <w:b/>
          <w:bCs/>
          <w:sz w:val="24"/>
          <w:szCs w:val="24"/>
        </w:rPr>
        <w:t>1. INTRODUÇÃO</w:t>
      </w:r>
    </w:p>
    <w:p w14:paraId="4E681E61">
      <w:pPr>
        <w:pBdr>
          <w:bottom w:val="none" w:color="000000" w:sz="0" w:space="18"/>
        </w:pBdr>
        <w:shd w:val="clear" w:color="auto" w:fill="FFFFFF" w:themeFill="background1"/>
        <w:tabs>
          <w:tab w:val="left" w:pos="2500"/>
        </w:tabs>
        <w:spacing w:before="240" w:line="360" w:lineRule="auto"/>
        <w:ind w:firstLine="709"/>
        <w:jc w:val="both"/>
      </w:pPr>
      <w:r>
        <w:rPr>
          <w:sz w:val="24"/>
          <w:szCs w:val="24"/>
        </w:rPr>
        <w:t xml:space="preserve">As tecnologias de monitoramento permitem que organizações públicas e privadas verifiquem, ao longo do tempo, as mudanças em diversos cenários ambientais, sejam elas decorrentes de ações antrópicas ou de origem natural (Turner </w:t>
      </w:r>
      <w:r>
        <w:rPr>
          <w:i/>
          <w:iCs/>
          <w:sz w:val="24"/>
          <w:szCs w:val="24"/>
        </w:rPr>
        <w:t>et al</w:t>
      </w:r>
      <w:r>
        <w:rPr>
          <w:sz w:val="24"/>
          <w:szCs w:val="24"/>
        </w:rPr>
        <w:t>., 2015). O amplo acesso e o avanço no desenvolvimento de satélites, drones e programas para analisar mudanças contínuas são fatores de extrema importância quando se trata de avaliar os impactos das atividades humanas sobre o meio ambiente (Jensen, 2015). Esses recursos são utilizados tanto para planejar a retirada de recursos quanto para orientar ações que visem minimizar os riscos ambientais, cuja temática central, nos últimos anos, tem sido a redução dos efeitos negativos sobre o planeta (IPCC, 2021).</w:t>
      </w:r>
    </w:p>
    <w:p w14:paraId="6E20D51E">
      <w:pPr>
        <w:pBdr>
          <w:bottom w:val="none" w:color="000000" w:sz="0" w:space="18"/>
        </w:pBdr>
        <w:shd w:val="clear" w:color="auto" w:fill="FFFFFF" w:themeFill="background1"/>
        <w:tabs>
          <w:tab w:val="left" w:pos="2500"/>
        </w:tabs>
        <w:spacing w:line="360" w:lineRule="auto"/>
        <w:ind w:firstLine="709"/>
        <w:jc w:val="both"/>
        <w:rPr>
          <w:sz w:val="24"/>
          <w:szCs w:val="24"/>
          <w:lang w:val="pt-PT"/>
        </w:rPr>
      </w:pPr>
      <w:r>
        <w:rPr>
          <w:sz w:val="24"/>
          <w:szCs w:val="24"/>
        </w:rPr>
        <w:t xml:space="preserve">Entretanto, as ações de mineração são comuns dentro do cotidiano de atividades necessárias a sociedade moderna, devido aos minérios extraídos adentrarem itens essenciais à sobrevivência (British Geological Survey, 2020). Contudo, essa atividade causa mudanças graves na paisagem, levando à redução da vegetação nativa, mudanças na fauna local, poluição de fontes hídricas e edáficas (Sonter </w:t>
      </w:r>
      <w:r>
        <w:rPr>
          <w:i/>
          <w:iCs/>
          <w:sz w:val="24"/>
          <w:szCs w:val="24"/>
        </w:rPr>
        <w:t>et al</w:t>
      </w:r>
      <w:r>
        <w:rPr>
          <w:sz w:val="24"/>
          <w:szCs w:val="24"/>
        </w:rPr>
        <w:t>., 2017).</w:t>
      </w:r>
    </w:p>
    <w:p w14:paraId="0F364916">
      <w:pPr>
        <w:pBdr>
          <w:bottom w:val="none" w:color="000000" w:sz="0" w:space="18"/>
        </w:pBdr>
        <w:shd w:val="clear" w:color="auto" w:fill="FFFFFF" w:themeFill="background1"/>
        <w:tabs>
          <w:tab w:val="left" w:pos="2500"/>
        </w:tabs>
        <w:spacing w:line="360" w:lineRule="auto"/>
        <w:ind w:firstLine="709"/>
        <w:jc w:val="both"/>
        <w:rPr>
          <w:sz w:val="24"/>
          <w:szCs w:val="24"/>
          <w:lang w:val="pt-PT"/>
        </w:rPr>
      </w:pPr>
      <w:r>
        <w:rPr>
          <w:sz w:val="24"/>
          <w:szCs w:val="24"/>
        </w:rPr>
        <w:t>Portanto, as ferramentas de geoprocessamento são fundamentais na avaliação da evolução dos impactos gerados pela indústria da mineração em municípios de grande relevância, como São Félix do Xingu, referência no número de cabeças de gado e um dos líderes no ranking mundial, com 2,5 milhões de animais. Trata-se, ainda, de uma região rica em minérios, o que despertou o interesse de investidores e grandes mineradoras, especialmente pela cassiterita, resultando em elevados investimentos e em uma expressiva expansão urbana (Miranda; Ruiz; Veríssimo, 2019).</w:t>
      </w:r>
    </w:p>
    <w:p w14:paraId="61A2846E">
      <w:pPr>
        <w:pBdr>
          <w:bottom w:val="none" w:color="000000" w:sz="0" w:space="18"/>
        </w:pBdr>
        <w:shd w:val="clear" w:color="auto" w:fill="FFFFFF" w:themeFill="background1"/>
        <w:tabs>
          <w:tab w:val="left" w:pos="2500"/>
        </w:tabs>
        <w:spacing w:line="360" w:lineRule="auto"/>
        <w:ind w:firstLine="709"/>
        <w:jc w:val="both"/>
        <w:rPr>
          <w:sz w:val="24"/>
          <w:szCs w:val="24"/>
          <w:lang w:val="pt-PT"/>
        </w:rPr>
      </w:pPr>
      <w:r>
        <w:rPr>
          <w:sz w:val="24"/>
          <w:szCs w:val="24"/>
        </w:rPr>
        <w:t>Atualmente, sistemas como o MAPBIOMAS e o PRODES figuram entre os principais projetos que disponibilizam dados sobre desmatamento, uso da terra, recursos hídricos e séries históricas comparativas, permitindo uma compreensão mais ampla e detalhada das dinâmicas ambientais nessas áreas (MAPBIOMAS, 2023; INPE, 2023).</w:t>
      </w:r>
    </w:p>
    <w:p w14:paraId="15E3591C">
      <w:pPr>
        <w:pBdr>
          <w:bottom w:val="none" w:color="000000" w:sz="0" w:space="18"/>
        </w:pBdr>
        <w:shd w:val="clear" w:color="auto" w:fill="FFFFFF" w:themeFill="background1"/>
        <w:tabs>
          <w:tab w:val="left" w:pos="2500"/>
        </w:tabs>
        <w:spacing w:line="360" w:lineRule="auto"/>
        <w:ind w:firstLine="709"/>
        <w:jc w:val="both"/>
        <w:rPr>
          <w:sz w:val="24"/>
          <w:szCs w:val="24"/>
          <w:lang w:val="pt-PT"/>
        </w:rPr>
      </w:pPr>
      <w:r>
        <w:rPr>
          <w:sz w:val="24"/>
          <w:szCs w:val="24"/>
        </w:rPr>
        <w:t>Ademais, o objetivo deste trabalho foi analisar, com base em dados obtidos por satélites, as mudanças no uso da terra na região de São Félix do Xingu, no período de 1991 a 2001, com ênfase nas áreas destinadas às atividades de mineração.</w:t>
      </w:r>
    </w:p>
    <w:p w14:paraId="35EE8859">
      <w:pPr>
        <w:pBdr>
          <w:bottom w:val="none" w:color="000000" w:sz="0" w:space="18"/>
        </w:pBdr>
        <w:shd w:val="clear" w:color="auto" w:fill="FFFFFF" w:themeFill="background1"/>
        <w:tabs>
          <w:tab w:val="left" w:pos="2500"/>
        </w:tabs>
        <w:spacing w:line="360" w:lineRule="auto"/>
        <w:ind w:firstLine="709"/>
        <w:jc w:val="both"/>
        <w:rPr>
          <w:sz w:val="24"/>
          <w:szCs w:val="24"/>
        </w:rPr>
      </w:pPr>
    </w:p>
    <w:p w14:paraId="309E8D17">
      <w:pPr>
        <w:pBdr>
          <w:bottom w:val="none" w:color="000000" w:sz="0" w:space="18"/>
        </w:pBdr>
        <w:shd w:val="clear" w:color="auto" w:fill="FFFFFF" w:themeFill="background1"/>
        <w:tabs>
          <w:tab w:val="left" w:pos="2500"/>
        </w:tabs>
        <w:spacing w:line="310" w:lineRule="auto"/>
        <w:jc w:val="both"/>
        <w:rPr>
          <w:color w:val="FF0000"/>
          <w:sz w:val="24"/>
          <w:szCs w:val="24"/>
        </w:rPr>
      </w:pPr>
      <w:r>
        <w:rPr>
          <w:b/>
          <w:bCs/>
          <w:sz w:val="24"/>
          <w:szCs w:val="24"/>
        </w:rPr>
        <w:t>2. MATERIAL E MÉTODOS</w:t>
      </w:r>
    </w:p>
    <w:p w14:paraId="046B0BCC">
      <w:pPr>
        <w:shd w:val="clear" w:color="auto" w:fill="FFFFFF" w:themeFill="background1"/>
        <w:spacing w:line="360" w:lineRule="auto"/>
        <w:ind w:firstLine="709"/>
        <w:jc w:val="both"/>
        <w:rPr>
          <w:sz w:val="24"/>
          <w:szCs w:val="24"/>
        </w:rPr>
      </w:pPr>
      <w:r>
        <w:rPr>
          <w:sz w:val="24"/>
          <w:szCs w:val="24"/>
        </w:rPr>
        <w:t>O estudo foi conduzido no município de São Félix do Xingu, localizado no Sudeste do Pará, que apresenta área territorial de 84.212,903 km² e coordenadas geográficas 6° 38' 42" S e 51° 59' 42" O. A área analisada corresponde a 47.829,44 ha, abrangendo regiões com processos minerários ativos voltados à extração de estanho.</w:t>
      </w:r>
    </w:p>
    <w:p w14:paraId="3AE06B43">
      <w:pPr>
        <w:shd w:val="clear" w:color="auto" w:fill="FFFFFF" w:themeFill="background1"/>
        <w:spacing w:line="360" w:lineRule="auto"/>
        <w:ind w:firstLine="709"/>
        <w:jc w:val="both"/>
        <w:rPr>
          <w:sz w:val="24"/>
          <w:szCs w:val="24"/>
        </w:rPr>
      </w:pPr>
      <w:r>
        <w:rPr>
          <w:sz w:val="24"/>
          <w:szCs w:val="24"/>
        </w:rPr>
        <w:t xml:space="preserve">Foram empregues imagens dos sensores </w:t>
      </w:r>
      <w:r>
        <w:rPr>
          <w:i/>
          <w:iCs/>
          <w:sz w:val="24"/>
          <w:szCs w:val="24"/>
        </w:rPr>
        <w:t>Landsat</w:t>
      </w:r>
      <w:r>
        <w:rPr>
          <w:sz w:val="24"/>
          <w:szCs w:val="24"/>
        </w:rPr>
        <w:t xml:space="preserve"> TM (</w:t>
      </w:r>
      <w:r>
        <w:rPr>
          <w:i/>
          <w:iCs/>
          <w:sz w:val="24"/>
          <w:szCs w:val="24"/>
        </w:rPr>
        <w:t>Landsat</w:t>
      </w:r>
      <w:r>
        <w:rPr>
          <w:sz w:val="24"/>
          <w:szCs w:val="24"/>
        </w:rPr>
        <w:t xml:space="preserve"> 5), ETM+ (</w:t>
      </w:r>
      <w:r>
        <w:rPr>
          <w:i/>
          <w:iCs/>
          <w:sz w:val="24"/>
          <w:szCs w:val="24"/>
        </w:rPr>
        <w:t>Landsat</w:t>
      </w:r>
      <w:r>
        <w:rPr>
          <w:sz w:val="24"/>
          <w:szCs w:val="24"/>
        </w:rPr>
        <w:t xml:space="preserve"> 7) e OLI-TIRS (</w:t>
      </w:r>
      <w:r>
        <w:rPr>
          <w:i/>
          <w:iCs/>
          <w:sz w:val="24"/>
          <w:szCs w:val="24"/>
        </w:rPr>
        <w:t xml:space="preserve">Landsat </w:t>
      </w:r>
      <w:r>
        <w:rPr>
          <w:sz w:val="24"/>
          <w:szCs w:val="24"/>
        </w:rPr>
        <w:t xml:space="preserve">8), disponibilizadas pelo projeto MapBiomas (Coleção 7.1). As imagens, com resolução espacial de 30 m, foram processadas no </w:t>
      </w:r>
      <w:r>
        <w:rPr>
          <w:i/>
          <w:iCs/>
          <w:sz w:val="24"/>
          <w:szCs w:val="24"/>
        </w:rPr>
        <w:t xml:space="preserve">software </w:t>
      </w:r>
      <w:r>
        <w:rPr>
          <w:sz w:val="24"/>
          <w:szCs w:val="24"/>
        </w:rPr>
        <w:t>QGIS 3.28.9, sendo recortadas conforme o limite municipal e, posteriormente, reclassificadas para adequação à escala local.</w:t>
      </w:r>
    </w:p>
    <w:p w14:paraId="62FF227C">
      <w:pPr>
        <w:shd w:val="clear" w:color="auto" w:fill="FFFFFF" w:themeFill="background1"/>
        <w:spacing w:line="360" w:lineRule="auto"/>
        <w:ind w:firstLine="709"/>
        <w:jc w:val="both"/>
        <w:rPr>
          <w:sz w:val="24"/>
          <w:szCs w:val="24"/>
        </w:rPr>
      </w:pPr>
      <w:r>
        <w:rPr>
          <w:sz w:val="24"/>
          <w:szCs w:val="24"/>
        </w:rPr>
        <w:t>A análise contemplou os anos de 1991 e 2001, utilizando matrizes de transição entre as seguintes classes: Formação Florestal (FF), Formação Savânica (FS), Formação Campestre (FC), Pastagem (PAST), Mineração (MIN), Campos Alagados e Área Pantanosa (CAAP), Rio, Lago e Oceano (RLO), Outras Lavouras Temporárias (OLT) e Área Urbanizada (AU).</w:t>
      </w:r>
    </w:p>
    <w:p w14:paraId="4EA90DC0">
      <w:pPr>
        <w:shd w:val="clear" w:color="auto" w:fill="FFFFFF" w:themeFill="background1"/>
        <w:spacing w:line="360" w:lineRule="auto"/>
        <w:ind w:firstLine="709"/>
        <w:jc w:val="both"/>
        <w:rPr>
          <w:sz w:val="24"/>
          <w:szCs w:val="24"/>
        </w:rPr>
      </w:pPr>
      <w:r>
        <w:rPr>
          <w:sz w:val="24"/>
          <w:szCs w:val="24"/>
        </w:rPr>
        <w:t xml:space="preserve">As mudanças foram avaliadas a partir dos cálculos com base na metodologia de Pontius </w:t>
      </w:r>
      <w:r>
        <w:rPr>
          <w:i/>
          <w:iCs/>
          <w:sz w:val="24"/>
          <w:szCs w:val="24"/>
        </w:rPr>
        <w:t>et al</w:t>
      </w:r>
      <w:r>
        <w:rPr>
          <w:sz w:val="24"/>
          <w:szCs w:val="24"/>
        </w:rPr>
        <w:t>. (2004):</w:t>
      </w:r>
    </w:p>
    <w:p w14:paraId="6B02C024">
      <w:pPr>
        <w:pStyle w:val="10"/>
        <w:numPr>
          <w:ilvl w:val="0"/>
          <w:numId w:val="1"/>
        </w:numPr>
        <w:spacing w:before="0" w:line="360" w:lineRule="auto"/>
        <w:rPr>
          <w:sz w:val="24"/>
          <w:szCs w:val="24"/>
        </w:rPr>
      </w:pPr>
      <w:r>
        <w:rPr>
          <w:sz w:val="24"/>
          <w:szCs w:val="24"/>
        </w:rPr>
        <w:t>Matrizes de transição (Cij),</w:t>
      </w:r>
    </w:p>
    <w:p w14:paraId="74216FB7">
      <w:pPr>
        <w:pStyle w:val="10"/>
        <w:numPr>
          <w:ilvl w:val="0"/>
          <w:numId w:val="1"/>
        </w:numPr>
        <w:spacing w:before="0" w:line="360" w:lineRule="auto"/>
        <w:rPr>
          <w:sz w:val="24"/>
          <w:szCs w:val="24"/>
        </w:rPr>
      </w:pPr>
      <w:r>
        <w:rPr>
          <w:sz w:val="24"/>
          <w:szCs w:val="24"/>
        </w:rPr>
        <w:t>Cálculos de ganho total, perda total e mudança líquida,</w:t>
      </w:r>
    </w:p>
    <w:p w14:paraId="50F16038">
      <w:pPr>
        <w:pStyle w:val="10"/>
        <w:numPr>
          <w:ilvl w:val="0"/>
          <w:numId w:val="1"/>
        </w:numPr>
        <w:spacing w:before="0" w:line="360" w:lineRule="auto"/>
        <w:rPr>
          <w:sz w:val="24"/>
          <w:szCs w:val="24"/>
        </w:rPr>
      </w:pPr>
      <w:r>
        <w:rPr>
          <w:sz w:val="24"/>
          <w:szCs w:val="24"/>
        </w:rPr>
        <w:t>Diagramas de Sankey,</w:t>
      </w:r>
    </w:p>
    <w:p w14:paraId="18D06ABB">
      <w:pPr>
        <w:pStyle w:val="10"/>
        <w:numPr>
          <w:ilvl w:val="0"/>
          <w:numId w:val="1"/>
        </w:numPr>
        <w:spacing w:before="0" w:line="360" w:lineRule="auto"/>
        <w:rPr>
          <w:sz w:val="24"/>
          <w:szCs w:val="24"/>
        </w:rPr>
      </w:pPr>
      <w:r>
        <w:rPr>
          <w:sz w:val="24"/>
          <w:szCs w:val="24"/>
        </w:rPr>
        <w:t>Análise visual de mapas temáticos.</w:t>
      </w:r>
    </w:p>
    <w:p w14:paraId="45570972">
      <w:pPr>
        <w:pBdr>
          <w:bottom w:val="none" w:color="000000" w:sz="0" w:space="8"/>
        </w:pBdr>
        <w:shd w:val="clear" w:color="auto" w:fill="FFFFFF" w:themeFill="background1"/>
        <w:tabs>
          <w:tab w:val="left" w:pos="2500"/>
        </w:tabs>
        <w:spacing w:line="310" w:lineRule="auto"/>
        <w:jc w:val="both"/>
        <w:rPr>
          <w:b/>
          <w:bCs/>
          <w:sz w:val="24"/>
          <w:szCs w:val="24"/>
        </w:rPr>
      </w:pPr>
    </w:p>
    <w:p w14:paraId="37122977">
      <w:pPr>
        <w:pBdr>
          <w:bottom w:val="none" w:color="000000" w:sz="0" w:space="8"/>
        </w:pBdr>
        <w:shd w:val="clear" w:color="auto" w:fill="FFFFFF" w:themeFill="background1"/>
        <w:tabs>
          <w:tab w:val="left" w:pos="2500"/>
        </w:tabs>
        <w:spacing w:line="310" w:lineRule="auto"/>
        <w:jc w:val="both"/>
        <w:rPr>
          <w:color w:val="FF0000"/>
          <w:sz w:val="24"/>
          <w:szCs w:val="24"/>
        </w:rPr>
      </w:pPr>
      <w:r>
        <w:rPr>
          <w:b/>
          <w:bCs/>
          <w:sz w:val="24"/>
          <w:szCs w:val="24"/>
        </w:rPr>
        <w:t>3. RESULTADOS E DISCUSSÃO</w:t>
      </w:r>
      <w:r>
        <w:rPr>
          <w:b/>
          <w:bCs/>
          <w:sz w:val="28"/>
          <w:szCs w:val="28"/>
        </w:rPr>
        <w:t xml:space="preserve"> </w:t>
      </w:r>
    </w:p>
    <w:p w14:paraId="4ECD85E8">
      <w:pPr>
        <w:pBdr>
          <w:bottom w:val="none" w:color="000000" w:sz="0" w:space="8"/>
        </w:pBdr>
        <w:shd w:val="clear" w:color="auto" w:fill="FFFFFF" w:themeFill="background1"/>
        <w:tabs>
          <w:tab w:val="left" w:pos="2500"/>
        </w:tabs>
        <w:spacing w:before="240" w:line="360" w:lineRule="auto"/>
        <w:ind w:firstLine="700"/>
        <w:jc w:val="both"/>
        <w:rPr>
          <w:sz w:val="24"/>
          <w:szCs w:val="24"/>
        </w:rPr>
      </w:pPr>
      <w:r>
        <w:rPr>
          <w:sz w:val="24"/>
          <w:szCs w:val="24"/>
        </w:rPr>
        <w:t xml:space="preserve">A </w:t>
      </w:r>
      <w:r>
        <w:rPr>
          <w:b/>
          <w:bCs/>
          <w:sz w:val="24"/>
          <w:szCs w:val="24"/>
        </w:rPr>
        <w:t>Figura 1</w:t>
      </w:r>
      <w:r>
        <w:rPr>
          <w:sz w:val="24"/>
          <w:szCs w:val="24"/>
        </w:rPr>
        <w:t xml:space="preserve"> representa a região do município de São Félix do Xingu, representado pelo retângulo vermelho, destacando em linhas vermelhas as rodovias federais e em linhas verdes as rodovias estaduais. O quadrado vermelho destaca a região das atividades de mineração, onde o tempo de análise será de 1991 a 2001.</w:t>
      </w:r>
    </w:p>
    <w:p w14:paraId="64E43E99">
      <w:pPr>
        <w:pBdr>
          <w:bottom w:val="none" w:color="000000" w:sz="0" w:space="8"/>
        </w:pBdr>
        <w:shd w:val="clear" w:color="auto" w:fill="FFFFFF" w:themeFill="background1"/>
        <w:tabs>
          <w:tab w:val="left" w:pos="2500"/>
        </w:tabs>
        <w:spacing w:after="240" w:line="360" w:lineRule="auto"/>
        <w:ind w:firstLine="700"/>
        <w:jc w:val="both"/>
        <w:rPr>
          <w:sz w:val="24"/>
          <w:szCs w:val="24"/>
        </w:rPr>
      </w:pPr>
      <w:r>
        <w:rPr>
          <w:sz w:val="24"/>
          <w:szCs w:val="24"/>
        </w:rPr>
        <w:t xml:space="preserve">Na </w:t>
      </w:r>
      <w:r>
        <w:rPr>
          <w:b/>
          <w:bCs/>
          <w:sz w:val="24"/>
          <w:szCs w:val="24"/>
        </w:rPr>
        <w:t xml:space="preserve">Figura 2 </w:t>
      </w:r>
      <w:r>
        <w:rPr>
          <w:sz w:val="24"/>
          <w:szCs w:val="24"/>
        </w:rPr>
        <w:t>se observa a mudança nos usos da terra de 1991 a 2001, em 1991 a paisagem era predominantemente de formações florestais (FF) e savânicas (FS), com a presença de rios, lagos ou oceanos (RLO). Todavia, em 2001, evidencia-se mudanças significativas sobre o uso do solo, com ênfase na supressão das FF e FS para implementação de pastagens (PAST) e a presença de áreas de mineração (MIN) em crescimento, junto ao surgimento de novas classificações de uso do solo, como formações campestres (FC) e campos alagados e área pantanosa (CAAP).</w:t>
      </w:r>
    </w:p>
    <w:p w14:paraId="1E792131">
      <w:pPr>
        <w:jc w:val="center"/>
        <w:rPr>
          <w:color w:val="FF0000"/>
        </w:rPr>
      </w:pPr>
      <w:r>
        <w:t xml:space="preserve">Figura 1 – </w:t>
      </w:r>
      <w:r>
        <w:rPr>
          <w:rFonts w:eastAsia="Calibri"/>
        </w:rPr>
        <w:t>Mapa localização da área de mineração do município de São Felix do Xingu.</w:t>
      </w:r>
      <w:r>
        <w:t xml:space="preserve"> </w:t>
      </w:r>
    </w:p>
    <w:p w14:paraId="27FB28A6">
      <w:pPr>
        <w:pBdr>
          <w:bottom w:val="none" w:color="000000" w:sz="0" w:space="8"/>
        </w:pBdr>
        <w:shd w:val="clear" w:color="auto" w:fill="FFFFFF" w:themeFill="background1"/>
        <w:tabs>
          <w:tab w:val="left" w:pos="2500"/>
        </w:tabs>
        <w:jc w:val="center"/>
      </w:pPr>
      <w:r>
        <w:drawing>
          <wp:inline distT="0" distB="0" distL="0" distR="0">
            <wp:extent cx="4968875" cy="3458845"/>
            <wp:effectExtent l="0" t="0" r="0" b="0"/>
            <wp:docPr id="19081076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07688" name="drawing"/>
                    <pic:cNvPicPr>
                      <a:picLocks noChangeAspect="1"/>
                    </pic:cNvPicPr>
                  </pic:nvPicPr>
                  <pic:blipFill>
                    <a:blip r:embed="rId6"/>
                    <a:stretch>
                      <a:fillRect/>
                    </a:stretch>
                  </pic:blipFill>
                  <pic:spPr>
                    <a:xfrm>
                      <a:off x="0" y="0"/>
                      <a:ext cx="4969087" cy="3458946"/>
                    </a:xfrm>
                    <a:prstGeom prst="rect">
                      <a:avLst/>
                    </a:prstGeom>
                  </pic:spPr>
                </pic:pic>
              </a:graphicData>
            </a:graphic>
          </wp:inline>
        </w:drawing>
      </w:r>
    </w:p>
    <w:p w14:paraId="69532598">
      <w:pPr>
        <w:jc w:val="both"/>
        <w:rPr>
          <w:highlight w:val="white"/>
        </w:rPr>
      </w:pPr>
      <w:r>
        <w:rPr>
          <w:highlight w:val="white"/>
        </w:rPr>
        <w:t xml:space="preserve">Fonte: </w:t>
      </w:r>
      <w:r>
        <w:rPr>
          <w:rFonts w:eastAsia="Calibri"/>
        </w:rPr>
        <w:t>O Autor, 2024.</w:t>
      </w:r>
    </w:p>
    <w:p w14:paraId="7D4F7D69">
      <w:pPr>
        <w:jc w:val="both"/>
        <w:rPr>
          <w:rFonts w:ascii="Calibri" w:hAnsi="Calibri" w:eastAsia="Calibri" w:cs="Calibri"/>
        </w:rPr>
      </w:pPr>
    </w:p>
    <w:p w14:paraId="7A0E3110">
      <w:pPr>
        <w:jc w:val="center"/>
        <w:rPr>
          <w:color w:val="FF0000"/>
        </w:rPr>
      </w:pPr>
      <w:r>
        <w:t xml:space="preserve">Figura 2 – </w:t>
      </w:r>
      <w:r>
        <w:rPr>
          <w:rFonts w:eastAsia="Calibri"/>
        </w:rPr>
        <w:t>Áreas de uso e cobertura do solo São Félix do Xingu dos anos 1991(A)-2001(B).</w:t>
      </w:r>
    </w:p>
    <w:p w14:paraId="64675F60">
      <w:pPr>
        <w:pBdr>
          <w:bottom w:val="none" w:color="000000" w:sz="0" w:space="8"/>
        </w:pBdr>
        <w:shd w:val="clear" w:color="auto" w:fill="FFFFFF" w:themeFill="background1"/>
        <w:tabs>
          <w:tab w:val="left" w:pos="2500"/>
        </w:tabs>
        <w:jc w:val="center"/>
      </w:pPr>
      <w:r>
        <w:drawing>
          <wp:inline distT="0" distB="0" distL="0" distR="0">
            <wp:extent cx="3902710" cy="5412105"/>
            <wp:effectExtent l="0" t="0" r="0" b="0"/>
            <wp:docPr id="9978170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17051" name="drawing"/>
                    <pic:cNvPicPr>
                      <a:picLocks noChangeAspect="1"/>
                    </pic:cNvPicPr>
                  </pic:nvPicPr>
                  <pic:blipFill>
                    <a:blip r:embed="rId7"/>
                    <a:stretch>
                      <a:fillRect/>
                    </a:stretch>
                  </pic:blipFill>
                  <pic:spPr>
                    <a:xfrm>
                      <a:off x="0" y="0"/>
                      <a:ext cx="3902941" cy="5412317"/>
                    </a:xfrm>
                    <a:prstGeom prst="rect">
                      <a:avLst/>
                    </a:prstGeom>
                  </pic:spPr>
                </pic:pic>
              </a:graphicData>
            </a:graphic>
          </wp:inline>
        </w:drawing>
      </w:r>
    </w:p>
    <w:p w14:paraId="35D62863">
      <w:pPr>
        <w:pBdr>
          <w:bottom w:val="none" w:color="000000" w:sz="0" w:space="8"/>
        </w:pBdr>
        <w:shd w:val="clear" w:color="auto" w:fill="FFFFFF" w:themeFill="background1"/>
        <w:tabs>
          <w:tab w:val="left" w:pos="2500"/>
        </w:tabs>
        <w:jc w:val="both"/>
        <w:rPr>
          <w:highlight w:val="white"/>
        </w:rPr>
      </w:pPr>
      <w:r>
        <w:rPr>
          <w:highlight w:val="white"/>
        </w:rPr>
        <w:t xml:space="preserve">Fonte: </w:t>
      </w:r>
      <w:r>
        <w:rPr>
          <w:rFonts w:eastAsia="Calibri"/>
        </w:rPr>
        <w:t>O Autor, 2024</w:t>
      </w:r>
    </w:p>
    <w:p w14:paraId="41141D28">
      <w:pPr>
        <w:pBdr>
          <w:bottom w:val="none" w:color="000000" w:sz="0" w:space="8"/>
        </w:pBdr>
        <w:shd w:val="clear" w:color="auto" w:fill="FFFFFF" w:themeFill="background1"/>
        <w:tabs>
          <w:tab w:val="left" w:pos="2500"/>
        </w:tabs>
        <w:spacing w:before="240" w:line="360" w:lineRule="auto"/>
        <w:ind w:firstLine="700"/>
        <w:jc w:val="both"/>
        <w:rPr>
          <w:sz w:val="24"/>
          <w:szCs w:val="24"/>
        </w:rPr>
      </w:pPr>
      <w:r>
        <w:rPr>
          <w:sz w:val="24"/>
          <w:szCs w:val="24"/>
        </w:rPr>
        <w:t xml:space="preserve">A </w:t>
      </w:r>
      <w:r>
        <w:rPr>
          <w:b/>
          <w:bCs/>
          <w:sz w:val="24"/>
          <w:szCs w:val="24"/>
        </w:rPr>
        <w:t xml:space="preserve">Figura 3 </w:t>
      </w:r>
      <w:r>
        <w:rPr>
          <w:sz w:val="24"/>
          <w:szCs w:val="24"/>
        </w:rPr>
        <w:t>representa os dados em hectares das conversões de uso dado as terras da região, onde vemos uma grande conversão de FF para PAST, reduzindo-as de 40634,82 ha para 30291,81 ha, adicionados as áreas de PAST aumentando de 747,96 ha para 11290,84 ha. Esse crescimento na produção pecuária foi impulsionado por políticas consolidadas nesse período, advindo dos anos 70, influenciando o desenvolvimento e aplicação de novas tecnologias, cujo se tornam mais acessíveis pela disponibilização de crédito aos produtores e divulgação dos kits tecnológicos, impulsionando a migração de diversos produtores em busca de novas terras de cultivo e áreas com novos investimentos (Barreto; Pereira; Rocha, 2024; Freitas Júnior; Barros, 2021).</w:t>
      </w:r>
    </w:p>
    <w:p w14:paraId="5A6BA41E">
      <w:pPr>
        <w:pBdr>
          <w:bottom w:val="none" w:color="000000" w:sz="0" w:space="8"/>
        </w:pBdr>
        <w:shd w:val="clear" w:color="auto" w:fill="FFFFFF" w:themeFill="background1"/>
        <w:tabs>
          <w:tab w:val="left" w:pos="2500"/>
        </w:tabs>
        <w:spacing w:line="360" w:lineRule="auto"/>
        <w:ind w:firstLine="700"/>
        <w:jc w:val="both"/>
        <w:rPr>
          <w:sz w:val="24"/>
          <w:szCs w:val="24"/>
        </w:rPr>
      </w:pPr>
      <w:r>
        <w:rPr>
          <w:sz w:val="24"/>
          <w:szCs w:val="24"/>
        </w:rPr>
        <w:t xml:space="preserve">As FS (4328,94 ha), FC (1108,43 ha) e CAAP (6,42 ha) reduziram suas áreas para 4105,38 ha, 1082,07 ha e 4,23 ha em função das atividades antrópicas como abertura de novas localidades de uso pecuário, aumento da urbanização como consequência da migração pelos investimentos no processo da região, a exigência de mão de obra pelas indústrias de mineração e os novos ambientes de produção. Ademais, as áreas de RLO (684,62 ha) e MIN (318,24 ha), aumentaram suas extensões, para 696,72 ha e 358,38 ha respectivamente, relacionados devido a necessidade de fontes hídricas para extração eficiente no processo de mineração, de modo que a urbanização e a necessidade do sistema pecuário culminam na abertura de novos cursos d’água, modificando o ecossistema para faclitar o acesso a essas fontes (Sonter </w:t>
      </w:r>
      <w:r>
        <w:rPr>
          <w:i/>
          <w:iCs/>
          <w:sz w:val="24"/>
          <w:szCs w:val="24"/>
        </w:rPr>
        <w:t>et al</w:t>
      </w:r>
      <w:r>
        <w:rPr>
          <w:sz w:val="24"/>
          <w:szCs w:val="24"/>
        </w:rPr>
        <w:t>., 2017).</w:t>
      </w:r>
    </w:p>
    <w:p w14:paraId="7EEE2596">
      <w:pPr>
        <w:jc w:val="center"/>
        <w:rPr>
          <w:color w:val="FF0000"/>
        </w:rPr>
      </w:pPr>
      <w:r>
        <w:t xml:space="preserve">Figura 3 – Diagrama de Sankey anos 1991-2001. </w:t>
      </w:r>
    </w:p>
    <w:p w14:paraId="519DAA5A">
      <w:pPr>
        <w:pBdr>
          <w:bottom w:val="none" w:color="000000" w:sz="0" w:space="8"/>
        </w:pBdr>
        <w:shd w:val="clear" w:color="auto" w:fill="FFFFFF" w:themeFill="background1"/>
        <w:tabs>
          <w:tab w:val="left" w:pos="2500"/>
        </w:tabs>
        <w:jc w:val="center"/>
      </w:pPr>
      <w:r>
        <w:drawing>
          <wp:inline distT="0" distB="0" distL="0" distR="0">
            <wp:extent cx="3592830" cy="3442335"/>
            <wp:effectExtent l="0" t="0" r="0" b="0"/>
            <wp:docPr id="13815704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70407" name="drawing"/>
                    <pic:cNvPicPr>
                      <a:picLocks noChangeAspect="1"/>
                    </pic:cNvPicPr>
                  </pic:nvPicPr>
                  <pic:blipFill>
                    <a:blip r:embed="rId8"/>
                    <a:stretch>
                      <a:fillRect/>
                    </a:stretch>
                  </pic:blipFill>
                  <pic:spPr>
                    <a:xfrm>
                      <a:off x="0" y="0"/>
                      <a:ext cx="3593182" cy="3442966"/>
                    </a:xfrm>
                    <a:prstGeom prst="rect">
                      <a:avLst/>
                    </a:prstGeom>
                  </pic:spPr>
                </pic:pic>
              </a:graphicData>
            </a:graphic>
          </wp:inline>
        </w:drawing>
      </w:r>
    </w:p>
    <w:p w14:paraId="3E918094">
      <w:pPr>
        <w:pBdr>
          <w:bottom w:val="none" w:color="000000" w:sz="0" w:space="8"/>
        </w:pBdr>
        <w:shd w:val="clear" w:color="auto" w:fill="FFFFFF" w:themeFill="background1"/>
        <w:tabs>
          <w:tab w:val="left" w:pos="2500"/>
        </w:tabs>
        <w:jc w:val="both"/>
        <w:rPr>
          <w:highlight w:val="white"/>
        </w:rPr>
      </w:pPr>
      <w:r>
        <w:rPr>
          <w:highlight w:val="white"/>
        </w:rPr>
        <w:t xml:space="preserve">Fonte: </w:t>
      </w:r>
      <w:r>
        <w:rPr>
          <w:rFonts w:eastAsia="Calibri"/>
        </w:rPr>
        <w:t>O Autor, 2024.</w:t>
      </w:r>
    </w:p>
    <w:p w14:paraId="04C131DC">
      <w:pPr>
        <w:pBdr>
          <w:bottom w:val="none" w:color="000000" w:sz="0" w:space="8"/>
        </w:pBdr>
        <w:shd w:val="clear" w:color="auto" w:fill="FFFFFF" w:themeFill="background1"/>
        <w:tabs>
          <w:tab w:val="left" w:pos="2500"/>
        </w:tabs>
        <w:jc w:val="both"/>
        <w:rPr>
          <w:rFonts w:ascii="Calibri" w:hAnsi="Calibri" w:eastAsia="Calibri" w:cs="Calibri"/>
        </w:rPr>
      </w:pPr>
    </w:p>
    <w:p w14:paraId="78825F02">
      <w:pPr>
        <w:rPr>
          <w:rFonts w:ascii="Calibri" w:hAnsi="Calibri" w:eastAsia="Calibri" w:cs="Calibri"/>
        </w:rPr>
      </w:pPr>
      <w:r>
        <w:rPr>
          <w:rFonts w:ascii="Calibri" w:hAnsi="Calibri" w:eastAsia="Calibri" w:cs="Calibri"/>
        </w:rPr>
        <w:br w:type="page"/>
      </w:r>
    </w:p>
    <w:p w14:paraId="606A5480">
      <w:pPr>
        <w:jc w:val="both"/>
      </w:pPr>
      <w:r>
        <w:t>Tabela 1 - Matriz de transição de uso e ocupação do solo em áreas com processos minerários ativos de estanho, em São Felix do Xingu, entre 1991 e 2001.</w:t>
      </w:r>
    </w:p>
    <w:p w14:paraId="12E8FF67">
      <w:pPr>
        <w:jc w:val="both"/>
        <w:rPr>
          <w:b/>
          <w:bCs/>
        </w:rPr>
      </w:pPr>
    </w:p>
    <w:tbl>
      <w:tblPr>
        <w:tblStyle w:val="14"/>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9"/>
        <w:gridCol w:w="700"/>
        <w:gridCol w:w="478"/>
        <w:gridCol w:w="700"/>
        <w:gridCol w:w="806"/>
        <w:gridCol w:w="896"/>
        <w:gridCol w:w="806"/>
        <w:gridCol w:w="715"/>
        <w:gridCol w:w="569"/>
        <w:gridCol w:w="896"/>
        <w:gridCol w:w="715"/>
        <w:gridCol w:w="534"/>
        <w:gridCol w:w="897"/>
      </w:tblGrid>
      <w:tr w14:paraId="3ECF9DF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84" w:type="dxa"/>
            <w:gridSpan w:val="2"/>
            <w:vMerge w:val="restart"/>
            <w:tcBorders>
              <w:bottom w:val="single" w:color="7E7E7E" w:themeColor="text1" w:themeTint="80" w:sz="4" w:space="0"/>
              <w:insideH w:val="single" w:sz="4" w:space="0"/>
            </w:tcBorders>
          </w:tcPr>
          <w:p w14:paraId="7DF2FD14">
            <w:pPr>
              <w:jc w:val="center"/>
              <w:rPr>
                <w:b/>
                <w:bCs/>
              </w:rPr>
            </w:pPr>
          </w:p>
          <w:p w14:paraId="02AE39D9">
            <w:pPr>
              <w:jc w:val="center"/>
              <w:rPr>
                <w:b/>
                <w:bCs/>
              </w:rPr>
            </w:pPr>
            <w:r>
              <w:rPr>
                <w:b/>
                <w:bCs/>
              </w:rPr>
              <w:t xml:space="preserve">Classes de uso e ocupação do solo </w:t>
            </w:r>
          </w:p>
        </w:tc>
        <w:tc>
          <w:tcPr>
            <w:tcW w:w="7410" w:type="dxa"/>
            <w:gridSpan w:val="11"/>
            <w:tcBorders>
              <w:bottom w:val="single" w:color="7E7E7E" w:themeColor="text1" w:themeTint="80" w:sz="4" w:space="0"/>
              <w:insideH w:val="single" w:sz="4" w:space="0"/>
            </w:tcBorders>
          </w:tcPr>
          <w:p w14:paraId="6E1B9238">
            <w:pPr>
              <w:jc w:val="center"/>
              <w:rPr>
                <w:b/>
                <w:bCs/>
              </w:rPr>
            </w:pPr>
            <w:r>
              <w:rPr>
                <w:b/>
                <w:bCs/>
              </w:rPr>
              <w:t>Ano de 2001</w:t>
            </w:r>
          </w:p>
        </w:tc>
      </w:tr>
      <w:tr w14:paraId="2C5E266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84" w:type="dxa"/>
            <w:gridSpan w:val="2"/>
            <w:vMerge w:val="continue"/>
          </w:tcPr>
          <w:p w14:paraId="7EAD0577">
            <w:pPr>
              <w:rPr>
                <w:b/>
                <w:bCs/>
              </w:rPr>
            </w:pPr>
          </w:p>
        </w:tc>
        <w:tc>
          <w:tcPr>
            <w:tcW w:w="638" w:type="dxa"/>
            <w:tcBorders>
              <w:bottom w:val="single" w:color="000000" w:themeColor="text1" w:sz="12" w:space="0"/>
            </w:tcBorders>
          </w:tcPr>
          <w:p w14:paraId="5D33D3C6">
            <w:pPr>
              <w:jc w:val="center"/>
            </w:pPr>
            <w:r>
              <w:t>AU</w:t>
            </w:r>
          </w:p>
        </w:tc>
        <w:tc>
          <w:tcPr>
            <w:tcW w:w="882" w:type="dxa"/>
            <w:tcBorders>
              <w:bottom w:val="single" w:color="000000" w:themeColor="text1" w:sz="12" w:space="0"/>
            </w:tcBorders>
          </w:tcPr>
          <w:p w14:paraId="6FC739F4">
            <w:pPr>
              <w:jc w:val="center"/>
            </w:pPr>
            <w:r>
              <w:t>CAAP</w:t>
            </w:r>
          </w:p>
        </w:tc>
        <w:tc>
          <w:tcPr>
            <w:tcW w:w="792" w:type="dxa"/>
            <w:tcBorders>
              <w:bottom w:val="single" w:color="000000" w:themeColor="text1" w:sz="12" w:space="0"/>
            </w:tcBorders>
          </w:tcPr>
          <w:p w14:paraId="736AA183">
            <w:pPr>
              <w:jc w:val="center"/>
            </w:pPr>
            <w:r>
              <w:t>FC</w:t>
            </w:r>
          </w:p>
        </w:tc>
        <w:tc>
          <w:tcPr>
            <w:tcW w:w="828" w:type="dxa"/>
            <w:tcBorders>
              <w:bottom w:val="single" w:color="000000" w:themeColor="text1" w:sz="12" w:space="0"/>
            </w:tcBorders>
          </w:tcPr>
          <w:p w14:paraId="5C9E3E80">
            <w:pPr>
              <w:jc w:val="center"/>
            </w:pPr>
            <w:r>
              <w:t>FF</w:t>
            </w:r>
          </w:p>
        </w:tc>
        <w:tc>
          <w:tcPr>
            <w:tcW w:w="645" w:type="dxa"/>
            <w:tcBorders>
              <w:bottom w:val="single" w:color="000000" w:themeColor="text1" w:sz="12" w:space="0"/>
            </w:tcBorders>
          </w:tcPr>
          <w:p w14:paraId="41186EDE">
            <w:pPr>
              <w:jc w:val="center"/>
            </w:pPr>
            <w:r>
              <w:t>FS</w:t>
            </w:r>
          </w:p>
        </w:tc>
        <w:tc>
          <w:tcPr>
            <w:tcW w:w="694" w:type="dxa"/>
            <w:tcBorders>
              <w:bottom w:val="single" w:color="000000" w:themeColor="text1" w:sz="12" w:space="0"/>
            </w:tcBorders>
          </w:tcPr>
          <w:p w14:paraId="2A8AFE6E">
            <w:pPr>
              <w:jc w:val="center"/>
            </w:pPr>
            <w:r>
              <w:t>MIN</w:t>
            </w:r>
          </w:p>
        </w:tc>
        <w:tc>
          <w:tcPr>
            <w:tcW w:w="527" w:type="dxa"/>
            <w:tcBorders>
              <w:bottom w:val="single" w:color="000000" w:themeColor="text1" w:sz="12" w:space="0"/>
            </w:tcBorders>
          </w:tcPr>
          <w:p w14:paraId="5AED8063">
            <w:pPr>
              <w:jc w:val="center"/>
            </w:pPr>
            <w:r>
              <w:t>OLT</w:t>
            </w:r>
          </w:p>
        </w:tc>
        <w:tc>
          <w:tcPr>
            <w:tcW w:w="660" w:type="dxa"/>
            <w:tcBorders>
              <w:bottom w:val="single" w:color="000000" w:themeColor="text1" w:sz="12" w:space="0"/>
            </w:tcBorders>
          </w:tcPr>
          <w:p w14:paraId="2458D9A9">
            <w:pPr>
              <w:jc w:val="center"/>
            </w:pPr>
            <w:r>
              <w:t>PAST</w:t>
            </w:r>
          </w:p>
        </w:tc>
        <w:tc>
          <w:tcPr>
            <w:tcW w:w="527" w:type="dxa"/>
            <w:tcBorders>
              <w:bottom w:val="single" w:color="000000" w:themeColor="text1" w:sz="12" w:space="0"/>
            </w:tcBorders>
          </w:tcPr>
          <w:p w14:paraId="45862176">
            <w:pPr>
              <w:jc w:val="center"/>
            </w:pPr>
            <w:r>
              <w:t>RLO</w:t>
            </w:r>
          </w:p>
        </w:tc>
        <w:tc>
          <w:tcPr>
            <w:tcW w:w="645" w:type="dxa"/>
            <w:tcBorders>
              <w:bottom w:val="single" w:color="000000" w:themeColor="text1" w:sz="12" w:space="0"/>
            </w:tcBorders>
          </w:tcPr>
          <w:p w14:paraId="70DA4656">
            <w:pPr>
              <w:jc w:val="center"/>
            </w:pPr>
            <w:r>
              <w:t>SOJ</w:t>
            </w:r>
          </w:p>
        </w:tc>
        <w:tc>
          <w:tcPr>
            <w:tcW w:w="572" w:type="dxa"/>
            <w:tcBorders>
              <w:bottom w:val="single" w:color="000000" w:themeColor="text1" w:sz="12" w:space="0"/>
            </w:tcBorders>
          </w:tcPr>
          <w:p w14:paraId="1DB0DFD5">
            <w:pPr>
              <w:jc w:val="center"/>
            </w:pPr>
            <w:r>
              <w:t>Total</w:t>
            </w:r>
          </w:p>
        </w:tc>
      </w:tr>
      <w:tr w14:paraId="350D73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restart"/>
          </w:tcPr>
          <w:p w14:paraId="70E78E73">
            <w:pPr>
              <w:jc w:val="center"/>
              <w:rPr>
                <w:b/>
                <w:bCs/>
              </w:rPr>
            </w:pPr>
            <w:r>
              <w:rPr>
                <w:b/>
                <w:bCs/>
              </w:rPr>
              <w:t>Ano de 1991</w:t>
            </w:r>
          </w:p>
        </w:tc>
        <w:tc>
          <w:tcPr>
            <w:tcW w:w="654" w:type="dxa"/>
          </w:tcPr>
          <w:p w14:paraId="502EC9E2">
            <w:pPr>
              <w:spacing w:line="274" w:lineRule="auto"/>
              <w:jc w:val="center"/>
            </w:pPr>
            <w:r>
              <w:t>AU</w:t>
            </w:r>
          </w:p>
        </w:tc>
        <w:tc>
          <w:tcPr>
            <w:tcW w:w="638" w:type="dxa"/>
            <w:tcBorders>
              <w:top w:val="single" w:color="000000" w:themeColor="text1" w:sz="12" w:space="0"/>
            </w:tcBorders>
          </w:tcPr>
          <w:p w14:paraId="7C14816D">
            <w:pPr>
              <w:spacing w:line="274" w:lineRule="auto"/>
              <w:jc w:val="center"/>
            </w:pPr>
            <w:r>
              <w:t>0,0</w:t>
            </w:r>
          </w:p>
        </w:tc>
        <w:tc>
          <w:tcPr>
            <w:tcW w:w="882" w:type="dxa"/>
            <w:tcBorders>
              <w:top w:val="single" w:color="000000" w:themeColor="text1" w:sz="12" w:space="0"/>
            </w:tcBorders>
          </w:tcPr>
          <w:p w14:paraId="7D4484D5">
            <w:pPr>
              <w:spacing w:line="274" w:lineRule="auto"/>
              <w:jc w:val="center"/>
            </w:pPr>
            <w:r>
              <w:t>0,00</w:t>
            </w:r>
          </w:p>
        </w:tc>
        <w:tc>
          <w:tcPr>
            <w:tcW w:w="792" w:type="dxa"/>
            <w:tcBorders>
              <w:top w:val="single" w:color="000000" w:themeColor="text1" w:sz="12" w:space="0"/>
            </w:tcBorders>
          </w:tcPr>
          <w:p w14:paraId="0EDB2A3A">
            <w:pPr>
              <w:spacing w:line="274" w:lineRule="auto"/>
              <w:jc w:val="center"/>
            </w:pPr>
            <w:r>
              <w:t>0,00</w:t>
            </w:r>
          </w:p>
        </w:tc>
        <w:tc>
          <w:tcPr>
            <w:tcW w:w="828" w:type="dxa"/>
            <w:tcBorders>
              <w:top w:val="single" w:color="000000" w:themeColor="text1" w:sz="12" w:space="0"/>
            </w:tcBorders>
          </w:tcPr>
          <w:p w14:paraId="3C8463EA">
            <w:pPr>
              <w:spacing w:line="274" w:lineRule="auto"/>
              <w:jc w:val="center"/>
            </w:pPr>
            <w:r>
              <w:t>0,00</w:t>
            </w:r>
          </w:p>
        </w:tc>
        <w:tc>
          <w:tcPr>
            <w:tcW w:w="645" w:type="dxa"/>
            <w:tcBorders>
              <w:top w:val="single" w:color="000000" w:themeColor="text1" w:sz="12" w:space="0"/>
            </w:tcBorders>
          </w:tcPr>
          <w:p w14:paraId="02681515">
            <w:pPr>
              <w:spacing w:line="274" w:lineRule="auto"/>
              <w:jc w:val="center"/>
            </w:pPr>
            <w:r>
              <w:t>0,00</w:t>
            </w:r>
          </w:p>
        </w:tc>
        <w:tc>
          <w:tcPr>
            <w:tcW w:w="694" w:type="dxa"/>
            <w:tcBorders>
              <w:top w:val="single" w:color="000000" w:themeColor="text1" w:sz="12" w:space="0"/>
            </w:tcBorders>
          </w:tcPr>
          <w:p w14:paraId="27710206">
            <w:pPr>
              <w:spacing w:line="274" w:lineRule="auto"/>
              <w:jc w:val="center"/>
            </w:pPr>
            <w:r>
              <w:t>0,00</w:t>
            </w:r>
          </w:p>
        </w:tc>
        <w:tc>
          <w:tcPr>
            <w:tcW w:w="527" w:type="dxa"/>
            <w:tcBorders>
              <w:top w:val="single" w:color="000000" w:themeColor="text1" w:sz="12" w:space="0"/>
            </w:tcBorders>
          </w:tcPr>
          <w:p w14:paraId="776930D0">
            <w:pPr>
              <w:spacing w:line="274" w:lineRule="auto"/>
              <w:jc w:val="center"/>
            </w:pPr>
            <w:r>
              <w:t>0,00</w:t>
            </w:r>
          </w:p>
        </w:tc>
        <w:tc>
          <w:tcPr>
            <w:tcW w:w="660" w:type="dxa"/>
            <w:tcBorders>
              <w:top w:val="single" w:color="000000" w:themeColor="text1" w:sz="12" w:space="0"/>
            </w:tcBorders>
          </w:tcPr>
          <w:p w14:paraId="06C59723">
            <w:pPr>
              <w:spacing w:line="274" w:lineRule="auto"/>
              <w:jc w:val="center"/>
            </w:pPr>
            <w:r>
              <w:t>0,00</w:t>
            </w:r>
          </w:p>
        </w:tc>
        <w:tc>
          <w:tcPr>
            <w:tcW w:w="527" w:type="dxa"/>
            <w:tcBorders>
              <w:top w:val="single" w:color="000000" w:themeColor="text1" w:sz="12" w:space="0"/>
            </w:tcBorders>
          </w:tcPr>
          <w:p w14:paraId="0C15884E">
            <w:pPr>
              <w:spacing w:line="274" w:lineRule="auto"/>
              <w:jc w:val="center"/>
            </w:pPr>
            <w:r>
              <w:t>0,00</w:t>
            </w:r>
          </w:p>
        </w:tc>
        <w:tc>
          <w:tcPr>
            <w:tcW w:w="645" w:type="dxa"/>
            <w:tcBorders>
              <w:top w:val="single" w:color="000000" w:themeColor="text1" w:sz="12" w:space="0"/>
            </w:tcBorders>
          </w:tcPr>
          <w:p w14:paraId="67BEA2AC">
            <w:pPr>
              <w:spacing w:line="274" w:lineRule="auto"/>
              <w:jc w:val="center"/>
            </w:pPr>
            <w:r>
              <w:t>0,00</w:t>
            </w:r>
          </w:p>
        </w:tc>
        <w:tc>
          <w:tcPr>
            <w:tcW w:w="572" w:type="dxa"/>
            <w:tcBorders>
              <w:top w:val="single" w:color="000000" w:themeColor="text1" w:sz="12" w:space="0"/>
            </w:tcBorders>
          </w:tcPr>
          <w:p w14:paraId="5A6974C9">
            <w:pPr>
              <w:jc w:val="center"/>
            </w:pPr>
            <w:r>
              <w:t>0,00</w:t>
            </w:r>
          </w:p>
        </w:tc>
      </w:tr>
      <w:tr w14:paraId="6698DD0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3F99AEDE">
            <w:pPr>
              <w:rPr>
                <w:b/>
                <w:bCs/>
              </w:rPr>
            </w:pPr>
          </w:p>
        </w:tc>
        <w:tc>
          <w:tcPr>
            <w:tcW w:w="654" w:type="dxa"/>
          </w:tcPr>
          <w:p w14:paraId="2A5CCFB2">
            <w:pPr>
              <w:spacing w:line="274" w:lineRule="auto"/>
              <w:jc w:val="center"/>
            </w:pPr>
            <w:r>
              <w:t>CAAP</w:t>
            </w:r>
          </w:p>
        </w:tc>
        <w:tc>
          <w:tcPr>
            <w:tcW w:w="638" w:type="dxa"/>
          </w:tcPr>
          <w:p w14:paraId="02AA1363">
            <w:pPr>
              <w:spacing w:line="274" w:lineRule="auto"/>
              <w:jc w:val="center"/>
            </w:pPr>
            <w:r>
              <w:t>0,0</w:t>
            </w:r>
          </w:p>
        </w:tc>
        <w:tc>
          <w:tcPr>
            <w:tcW w:w="882" w:type="dxa"/>
          </w:tcPr>
          <w:p w14:paraId="095607FE">
            <w:pPr>
              <w:spacing w:line="274" w:lineRule="auto"/>
              <w:jc w:val="center"/>
            </w:pPr>
            <w:r>
              <w:t>0,72</w:t>
            </w:r>
          </w:p>
        </w:tc>
        <w:tc>
          <w:tcPr>
            <w:tcW w:w="792" w:type="dxa"/>
          </w:tcPr>
          <w:p w14:paraId="2FEEFB83">
            <w:pPr>
              <w:spacing w:line="274" w:lineRule="auto"/>
              <w:jc w:val="center"/>
            </w:pPr>
            <w:r>
              <w:t>0,92</w:t>
            </w:r>
          </w:p>
        </w:tc>
        <w:tc>
          <w:tcPr>
            <w:tcW w:w="828" w:type="dxa"/>
          </w:tcPr>
          <w:p w14:paraId="34FF7B8D">
            <w:pPr>
              <w:spacing w:line="274" w:lineRule="auto"/>
              <w:jc w:val="center"/>
            </w:pPr>
            <w:r>
              <w:t>0,27</w:t>
            </w:r>
          </w:p>
        </w:tc>
        <w:tc>
          <w:tcPr>
            <w:tcW w:w="645" w:type="dxa"/>
          </w:tcPr>
          <w:p w14:paraId="73F02354">
            <w:pPr>
              <w:spacing w:line="274" w:lineRule="auto"/>
              <w:jc w:val="center"/>
            </w:pPr>
            <w:r>
              <w:t>0,00</w:t>
            </w:r>
          </w:p>
        </w:tc>
        <w:tc>
          <w:tcPr>
            <w:tcW w:w="694" w:type="dxa"/>
          </w:tcPr>
          <w:p w14:paraId="721A3FBD">
            <w:pPr>
              <w:spacing w:line="274" w:lineRule="auto"/>
              <w:jc w:val="center"/>
            </w:pPr>
            <w:r>
              <w:t>0,00</w:t>
            </w:r>
          </w:p>
        </w:tc>
        <w:tc>
          <w:tcPr>
            <w:tcW w:w="527" w:type="dxa"/>
          </w:tcPr>
          <w:p w14:paraId="5D321C5D">
            <w:pPr>
              <w:spacing w:line="274" w:lineRule="auto"/>
              <w:jc w:val="center"/>
            </w:pPr>
            <w:r>
              <w:t>0,00</w:t>
            </w:r>
          </w:p>
        </w:tc>
        <w:tc>
          <w:tcPr>
            <w:tcW w:w="660" w:type="dxa"/>
          </w:tcPr>
          <w:p w14:paraId="56B7B477">
            <w:pPr>
              <w:spacing w:line="274" w:lineRule="auto"/>
              <w:jc w:val="center"/>
            </w:pPr>
            <w:r>
              <w:t>0,00</w:t>
            </w:r>
          </w:p>
        </w:tc>
        <w:tc>
          <w:tcPr>
            <w:tcW w:w="527" w:type="dxa"/>
          </w:tcPr>
          <w:p w14:paraId="46C6E6F1">
            <w:pPr>
              <w:spacing w:line="274" w:lineRule="auto"/>
              <w:jc w:val="center"/>
            </w:pPr>
            <w:r>
              <w:t>4,42</w:t>
            </w:r>
          </w:p>
        </w:tc>
        <w:tc>
          <w:tcPr>
            <w:tcW w:w="645" w:type="dxa"/>
          </w:tcPr>
          <w:p w14:paraId="722D88B6">
            <w:pPr>
              <w:spacing w:line="274" w:lineRule="auto"/>
              <w:jc w:val="center"/>
            </w:pPr>
            <w:r>
              <w:t>0,00</w:t>
            </w:r>
          </w:p>
        </w:tc>
        <w:tc>
          <w:tcPr>
            <w:tcW w:w="572" w:type="dxa"/>
          </w:tcPr>
          <w:p w14:paraId="7E81FEFC">
            <w:pPr>
              <w:jc w:val="center"/>
            </w:pPr>
            <w:r>
              <w:t>6,43</w:t>
            </w:r>
          </w:p>
        </w:tc>
      </w:tr>
      <w:tr w14:paraId="4D39EF3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0F922F37">
            <w:pPr>
              <w:rPr>
                <w:b/>
                <w:bCs/>
              </w:rPr>
            </w:pPr>
          </w:p>
        </w:tc>
        <w:tc>
          <w:tcPr>
            <w:tcW w:w="654" w:type="dxa"/>
          </w:tcPr>
          <w:p w14:paraId="41287854">
            <w:pPr>
              <w:spacing w:line="274" w:lineRule="auto"/>
              <w:jc w:val="center"/>
            </w:pPr>
            <w:r>
              <w:t>FC</w:t>
            </w:r>
          </w:p>
        </w:tc>
        <w:tc>
          <w:tcPr>
            <w:tcW w:w="638" w:type="dxa"/>
          </w:tcPr>
          <w:p w14:paraId="597054D3">
            <w:pPr>
              <w:spacing w:line="274" w:lineRule="auto"/>
              <w:jc w:val="center"/>
            </w:pPr>
            <w:r>
              <w:t>0,0</w:t>
            </w:r>
          </w:p>
        </w:tc>
        <w:tc>
          <w:tcPr>
            <w:tcW w:w="882" w:type="dxa"/>
          </w:tcPr>
          <w:p w14:paraId="01EAF2A3">
            <w:pPr>
              <w:spacing w:line="274" w:lineRule="auto"/>
              <w:jc w:val="center"/>
            </w:pPr>
            <w:r>
              <w:t>0,00</w:t>
            </w:r>
          </w:p>
        </w:tc>
        <w:tc>
          <w:tcPr>
            <w:tcW w:w="792" w:type="dxa"/>
          </w:tcPr>
          <w:p w14:paraId="1A5C4746">
            <w:pPr>
              <w:spacing w:line="274" w:lineRule="auto"/>
              <w:jc w:val="center"/>
            </w:pPr>
            <w:r>
              <w:t>1040,11</w:t>
            </w:r>
          </w:p>
        </w:tc>
        <w:tc>
          <w:tcPr>
            <w:tcW w:w="828" w:type="dxa"/>
          </w:tcPr>
          <w:p w14:paraId="4D62BB1E">
            <w:pPr>
              <w:spacing w:line="274" w:lineRule="auto"/>
              <w:jc w:val="center"/>
            </w:pPr>
            <w:r>
              <w:t>3,97</w:t>
            </w:r>
          </w:p>
        </w:tc>
        <w:tc>
          <w:tcPr>
            <w:tcW w:w="645" w:type="dxa"/>
          </w:tcPr>
          <w:p w14:paraId="785FFE4D">
            <w:pPr>
              <w:spacing w:line="274" w:lineRule="auto"/>
              <w:jc w:val="center"/>
            </w:pPr>
            <w:r>
              <w:t>7,10</w:t>
            </w:r>
          </w:p>
        </w:tc>
        <w:tc>
          <w:tcPr>
            <w:tcW w:w="694" w:type="dxa"/>
          </w:tcPr>
          <w:p w14:paraId="0E726678">
            <w:pPr>
              <w:spacing w:line="274" w:lineRule="auto"/>
              <w:jc w:val="center"/>
            </w:pPr>
            <w:r>
              <w:t>25,50</w:t>
            </w:r>
          </w:p>
        </w:tc>
        <w:tc>
          <w:tcPr>
            <w:tcW w:w="527" w:type="dxa"/>
          </w:tcPr>
          <w:p w14:paraId="732C95FB">
            <w:pPr>
              <w:spacing w:line="274" w:lineRule="auto"/>
              <w:jc w:val="center"/>
            </w:pPr>
            <w:r>
              <w:t>0,00</w:t>
            </w:r>
          </w:p>
        </w:tc>
        <w:tc>
          <w:tcPr>
            <w:tcW w:w="660" w:type="dxa"/>
          </w:tcPr>
          <w:p w14:paraId="39BC3232">
            <w:pPr>
              <w:spacing w:line="274" w:lineRule="auto"/>
              <w:jc w:val="center"/>
            </w:pPr>
            <w:r>
              <w:t>20,48</w:t>
            </w:r>
          </w:p>
        </w:tc>
        <w:tc>
          <w:tcPr>
            <w:tcW w:w="527" w:type="dxa"/>
          </w:tcPr>
          <w:p w14:paraId="13177A50">
            <w:pPr>
              <w:spacing w:line="274" w:lineRule="auto"/>
              <w:jc w:val="center"/>
            </w:pPr>
            <w:r>
              <w:t>11,20</w:t>
            </w:r>
          </w:p>
        </w:tc>
        <w:tc>
          <w:tcPr>
            <w:tcW w:w="645" w:type="dxa"/>
          </w:tcPr>
          <w:p w14:paraId="7EB23879">
            <w:pPr>
              <w:spacing w:line="274" w:lineRule="auto"/>
              <w:jc w:val="center"/>
            </w:pPr>
            <w:r>
              <w:t>0,00</w:t>
            </w:r>
          </w:p>
        </w:tc>
        <w:tc>
          <w:tcPr>
            <w:tcW w:w="572" w:type="dxa"/>
          </w:tcPr>
          <w:p w14:paraId="1142DC58">
            <w:pPr>
              <w:jc w:val="center"/>
            </w:pPr>
            <w:r>
              <w:t>1108,43</w:t>
            </w:r>
          </w:p>
        </w:tc>
      </w:tr>
      <w:tr w14:paraId="66D5189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122039A4">
            <w:pPr>
              <w:rPr>
                <w:b/>
                <w:bCs/>
              </w:rPr>
            </w:pPr>
          </w:p>
        </w:tc>
        <w:tc>
          <w:tcPr>
            <w:tcW w:w="654" w:type="dxa"/>
          </w:tcPr>
          <w:p w14:paraId="65065477">
            <w:pPr>
              <w:spacing w:line="274" w:lineRule="auto"/>
              <w:jc w:val="center"/>
            </w:pPr>
            <w:r>
              <w:t>FF</w:t>
            </w:r>
          </w:p>
        </w:tc>
        <w:tc>
          <w:tcPr>
            <w:tcW w:w="638" w:type="dxa"/>
          </w:tcPr>
          <w:p w14:paraId="6D871B2B">
            <w:pPr>
              <w:spacing w:line="274" w:lineRule="auto"/>
              <w:jc w:val="center"/>
            </w:pPr>
            <w:r>
              <w:t>0,0</w:t>
            </w:r>
          </w:p>
        </w:tc>
        <w:tc>
          <w:tcPr>
            <w:tcW w:w="882" w:type="dxa"/>
          </w:tcPr>
          <w:p w14:paraId="5EBB7DA8">
            <w:pPr>
              <w:spacing w:line="274" w:lineRule="auto"/>
              <w:jc w:val="center"/>
            </w:pPr>
            <w:r>
              <w:t>0,18</w:t>
            </w:r>
          </w:p>
        </w:tc>
        <w:tc>
          <w:tcPr>
            <w:tcW w:w="792" w:type="dxa"/>
          </w:tcPr>
          <w:p w14:paraId="6C15A74E">
            <w:pPr>
              <w:spacing w:line="274" w:lineRule="auto"/>
              <w:jc w:val="center"/>
            </w:pPr>
            <w:r>
              <w:t>16,98</w:t>
            </w:r>
          </w:p>
        </w:tc>
        <w:tc>
          <w:tcPr>
            <w:tcW w:w="828" w:type="dxa"/>
          </w:tcPr>
          <w:p w14:paraId="0F52DFB5">
            <w:pPr>
              <w:spacing w:line="274" w:lineRule="auto"/>
              <w:jc w:val="center"/>
            </w:pPr>
            <w:r>
              <w:t>30184,33</w:t>
            </w:r>
          </w:p>
        </w:tc>
        <w:tc>
          <w:tcPr>
            <w:tcW w:w="645" w:type="dxa"/>
          </w:tcPr>
          <w:p w14:paraId="021A81DA">
            <w:pPr>
              <w:spacing w:line="274" w:lineRule="auto"/>
              <w:jc w:val="center"/>
            </w:pPr>
            <w:r>
              <w:t>29,70</w:t>
            </w:r>
          </w:p>
        </w:tc>
        <w:tc>
          <w:tcPr>
            <w:tcW w:w="694" w:type="dxa"/>
          </w:tcPr>
          <w:p w14:paraId="6381A81E">
            <w:pPr>
              <w:spacing w:line="274" w:lineRule="auto"/>
              <w:jc w:val="center"/>
            </w:pPr>
            <w:r>
              <w:t>20,60</w:t>
            </w:r>
          </w:p>
        </w:tc>
        <w:tc>
          <w:tcPr>
            <w:tcW w:w="527" w:type="dxa"/>
          </w:tcPr>
          <w:p w14:paraId="1B2E2D1A">
            <w:pPr>
              <w:spacing w:line="274" w:lineRule="auto"/>
              <w:jc w:val="center"/>
            </w:pPr>
            <w:r>
              <w:t>0,00</w:t>
            </w:r>
          </w:p>
        </w:tc>
        <w:tc>
          <w:tcPr>
            <w:tcW w:w="660" w:type="dxa"/>
          </w:tcPr>
          <w:p w14:paraId="584D6910">
            <w:pPr>
              <w:spacing w:line="274" w:lineRule="auto"/>
              <w:jc w:val="center"/>
            </w:pPr>
            <w:r>
              <w:t>10382,24</w:t>
            </w:r>
          </w:p>
        </w:tc>
        <w:tc>
          <w:tcPr>
            <w:tcW w:w="527" w:type="dxa"/>
          </w:tcPr>
          <w:p w14:paraId="293B66E8">
            <w:pPr>
              <w:spacing w:line="274" w:lineRule="auto"/>
              <w:jc w:val="center"/>
            </w:pPr>
            <w:r>
              <w:t>0,72</w:t>
            </w:r>
          </w:p>
        </w:tc>
        <w:tc>
          <w:tcPr>
            <w:tcW w:w="645" w:type="dxa"/>
          </w:tcPr>
          <w:p w14:paraId="67CC16F7">
            <w:pPr>
              <w:spacing w:line="274" w:lineRule="auto"/>
              <w:jc w:val="center"/>
            </w:pPr>
            <w:r>
              <w:t>0,00</w:t>
            </w:r>
          </w:p>
        </w:tc>
        <w:tc>
          <w:tcPr>
            <w:tcW w:w="572" w:type="dxa"/>
          </w:tcPr>
          <w:p w14:paraId="54B3B0B5">
            <w:pPr>
              <w:jc w:val="center"/>
            </w:pPr>
            <w:r>
              <w:t>40634,82</w:t>
            </w:r>
          </w:p>
        </w:tc>
      </w:tr>
      <w:tr w14:paraId="0CB3644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2F4ECFFE">
            <w:pPr>
              <w:rPr>
                <w:b/>
                <w:bCs/>
              </w:rPr>
            </w:pPr>
          </w:p>
        </w:tc>
        <w:tc>
          <w:tcPr>
            <w:tcW w:w="654" w:type="dxa"/>
          </w:tcPr>
          <w:p w14:paraId="4DAEAB29">
            <w:pPr>
              <w:spacing w:line="274" w:lineRule="auto"/>
              <w:jc w:val="center"/>
            </w:pPr>
            <w:r>
              <w:t>FS</w:t>
            </w:r>
          </w:p>
        </w:tc>
        <w:tc>
          <w:tcPr>
            <w:tcW w:w="638" w:type="dxa"/>
          </w:tcPr>
          <w:p w14:paraId="24A7EEAE">
            <w:pPr>
              <w:spacing w:line="274" w:lineRule="auto"/>
              <w:jc w:val="center"/>
            </w:pPr>
            <w:r>
              <w:t>0,0</w:t>
            </w:r>
          </w:p>
        </w:tc>
        <w:tc>
          <w:tcPr>
            <w:tcW w:w="882" w:type="dxa"/>
          </w:tcPr>
          <w:p w14:paraId="6E08DD41">
            <w:pPr>
              <w:spacing w:line="274" w:lineRule="auto"/>
              <w:jc w:val="center"/>
            </w:pPr>
            <w:r>
              <w:t>0,00</w:t>
            </w:r>
          </w:p>
        </w:tc>
        <w:tc>
          <w:tcPr>
            <w:tcW w:w="792" w:type="dxa"/>
          </w:tcPr>
          <w:p w14:paraId="4EBA3E08">
            <w:pPr>
              <w:spacing w:line="274" w:lineRule="auto"/>
              <w:jc w:val="center"/>
            </w:pPr>
            <w:r>
              <w:t>13,87</w:t>
            </w:r>
          </w:p>
        </w:tc>
        <w:tc>
          <w:tcPr>
            <w:tcW w:w="828" w:type="dxa"/>
          </w:tcPr>
          <w:p w14:paraId="30023045">
            <w:pPr>
              <w:spacing w:line="274" w:lineRule="auto"/>
              <w:jc w:val="center"/>
            </w:pPr>
            <w:r>
              <w:t>29,03</w:t>
            </w:r>
          </w:p>
        </w:tc>
        <w:tc>
          <w:tcPr>
            <w:tcW w:w="645" w:type="dxa"/>
          </w:tcPr>
          <w:p w14:paraId="531FC7B7">
            <w:pPr>
              <w:spacing w:line="274" w:lineRule="auto"/>
              <w:jc w:val="center"/>
            </w:pPr>
            <w:r>
              <w:t>4061,40</w:t>
            </w:r>
          </w:p>
        </w:tc>
        <w:tc>
          <w:tcPr>
            <w:tcW w:w="694" w:type="dxa"/>
          </w:tcPr>
          <w:p w14:paraId="291E41FB">
            <w:pPr>
              <w:spacing w:line="274" w:lineRule="auto"/>
              <w:jc w:val="center"/>
            </w:pPr>
            <w:r>
              <w:t>9,15</w:t>
            </w:r>
          </w:p>
        </w:tc>
        <w:tc>
          <w:tcPr>
            <w:tcW w:w="527" w:type="dxa"/>
          </w:tcPr>
          <w:p w14:paraId="6AA709D3">
            <w:pPr>
              <w:spacing w:line="274" w:lineRule="auto"/>
              <w:jc w:val="center"/>
            </w:pPr>
            <w:r>
              <w:t>0,00</w:t>
            </w:r>
          </w:p>
        </w:tc>
        <w:tc>
          <w:tcPr>
            <w:tcW w:w="660" w:type="dxa"/>
          </w:tcPr>
          <w:p w14:paraId="57372867">
            <w:pPr>
              <w:spacing w:line="274" w:lineRule="auto"/>
              <w:jc w:val="center"/>
            </w:pPr>
            <w:r>
              <w:t>215,31</w:t>
            </w:r>
          </w:p>
        </w:tc>
        <w:tc>
          <w:tcPr>
            <w:tcW w:w="527" w:type="dxa"/>
          </w:tcPr>
          <w:p w14:paraId="705ED97B">
            <w:pPr>
              <w:spacing w:line="274" w:lineRule="auto"/>
              <w:jc w:val="center"/>
            </w:pPr>
            <w:r>
              <w:t>0,18</w:t>
            </w:r>
          </w:p>
        </w:tc>
        <w:tc>
          <w:tcPr>
            <w:tcW w:w="645" w:type="dxa"/>
          </w:tcPr>
          <w:p w14:paraId="4C1E1228">
            <w:pPr>
              <w:spacing w:line="274" w:lineRule="auto"/>
              <w:jc w:val="center"/>
            </w:pPr>
            <w:r>
              <w:t>0,00</w:t>
            </w:r>
          </w:p>
        </w:tc>
        <w:tc>
          <w:tcPr>
            <w:tcW w:w="572" w:type="dxa"/>
          </w:tcPr>
          <w:p w14:paraId="380101BD">
            <w:pPr>
              <w:jc w:val="center"/>
            </w:pPr>
            <w:r>
              <w:t>4328,94</w:t>
            </w:r>
          </w:p>
        </w:tc>
      </w:tr>
      <w:tr w14:paraId="6212051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6A70F401">
            <w:pPr>
              <w:rPr>
                <w:b/>
                <w:bCs/>
              </w:rPr>
            </w:pPr>
          </w:p>
        </w:tc>
        <w:tc>
          <w:tcPr>
            <w:tcW w:w="654" w:type="dxa"/>
          </w:tcPr>
          <w:p w14:paraId="3457A63A">
            <w:pPr>
              <w:spacing w:line="274" w:lineRule="auto"/>
              <w:jc w:val="center"/>
            </w:pPr>
            <w:r>
              <w:t>MIN</w:t>
            </w:r>
          </w:p>
        </w:tc>
        <w:tc>
          <w:tcPr>
            <w:tcW w:w="638" w:type="dxa"/>
          </w:tcPr>
          <w:p w14:paraId="4C7B033B">
            <w:pPr>
              <w:spacing w:line="274" w:lineRule="auto"/>
              <w:jc w:val="center"/>
            </w:pPr>
            <w:r>
              <w:t>0,0</w:t>
            </w:r>
          </w:p>
        </w:tc>
        <w:tc>
          <w:tcPr>
            <w:tcW w:w="882" w:type="dxa"/>
          </w:tcPr>
          <w:p w14:paraId="1EA4B1F0">
            <w:pPr>
              <w:spacing w:line="274" w:lineRule="auto"/>
              <w:jc w:val="center"/>
            </w:pPr>
            <w:r>
              <w:t>0,00</w:t>
            </w:r>
          </w:p>
        </w:tc>
        <w:tc>
          <w:tcPr>
            <w:tcW w:w="792" w:type="dxa"/>
          </w:tcPr>
          <w:p w14:paraId="686AA3CD">
            <w:pPr>
              <w:spacing w:line="274" w:lineRule="auto"/>
              <w:jc w:val="center"/>
            </w:pPr>
            <w:r>
              <w:t>0,90</w:t>
            </w:r>
          </w:p>
        </w:tc>
        <w:tc>
          <w:tcPr>
            <w:tcW w:w="828" w:type="dxa"/>
          </w:tcPr>
          <w:p w14:paraId="5275D6CC">
            <w:pPr>
              <w:spacing w:line="274" w:lineRule="auto"/>
              <w:jc w:val="center"/>
            </w:pPr>
            <w:r>
              <w:t>0,00</w:t>
            </w:r>
          </w:p>
        </w:tc>
        <w:tc>
          <w:tcPr>
            <w:tcW w:w="645" w:type="dxa"/>
          </w:tcPr>
          <w:p w14:paraId="0A6506E0">
            <w:pPr>
              <w:spacing w:line="274" w:lineRule="auto"/>
              <w:jc w:val="center"/>
            </w:pPr>
            <w:r>
              <w:t>40,00</w:t>
            </w:r>
          </w:p>
        </w:tc>
        <w:tc>
          <w:tcPr>
            <w:tcW w:w="694" w:type="dxa"/>
          </w:tcPr>
          <w:p w14:paraId="74761FCA">
            <w:pPr>
              <w:spacing w:line="274" w:lineRule="auto"/>
              <w:jc w:val="center"/>
            </w:pPr>
            <w:r>
              <w:t>293,00</w:t>
            </w:r>
          </w:p>
        </w:tc>
        <w:tc>
          <w:tcPr>
            <w:tcW w:w="527" w:type="dxa"/>
          </w:tcPr>
          <w:p w14:paraId="117456F6">
            <w:pPr>
              <w:spacing w:line="274" w:lineRule="auto"/>
              <w:jc w:val="center"/>
            </w:pPr>
            <w:r>
              <w:t>0,00</w:t>
            </w:r>
          </w:p>
        </w:tc>
        <w:tc>
          <w:tcPr>
            <w:tcW w:w="660" w:type="dxa"/>
          </w:tcPr>
          <w:p w14:paraId="001FEADA">
            <w:pPr>
              <w:spacing w:line="274" w:lineRule="auto"/>
              <w:jc w:val="center"/>
            </w:pPr>
            <w:r>
              <w:t>1,35</w:t>
            </w:r>
          </w:p>
        </w:tc>
        <w:tc>
          <w:tcPr>
            <w:tcW w:w="527" w:type="dxa"/>
          </w:tcPr>
          <w:p w14:paraId="18F059B6">
            <w:pPr>
              <w:spacing w:line="274" w:lineRule="auto"/>
              <w:jc w:val="center"/>
            </w:pPr>
            <w:r>
              <w:t>2,11</w:t>
            </w:r>
          </w:p>
        </w:tc>
        <w:tc>
          <w:tcPr>
            <w:tcW w:w="645" w:type="dxa"/>
          </w:tcPr>
          <w:p w14:paraId="54F87CEC">
            <w:pPr>
              <w:spacing w:line="274" w:lineRule="auto"/>
              <w:jc w:val="center"/>
            </w:pPr>
            <w:r>
              <w:t>0,00</w:t>
            </w:r>
          </w:p>
        </w:tc>
        <w:tc>
          <w:tcPr>
            <w:tcW w:w="572" w:type="dxa"/>
          </w:tcPr>
          <w:p w14:paraId="4C28F6DB">
            <w:pPr>
              <w:jc w:val="center"/>
            </w:pPr>
            <w:r>
              <w:t>318,24</w:t>
            </w:r>
          </w:p>
        </w:tc>
      </w:tr>
      <w:tr w14:paraId="0B24663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5A05714E">
            <w:pPr>
              <w:rPr>
                <w:b/>
                <w:bCs/>
              </w:rPr>
            </w:pPr>
          </w:p>
        </w:tc>
        <w:tc>
          <w:tcPr>
            <w:tcW w:w="654" w:type="dxa"/>
          </w:tcPr>
          <w:p w14:paraId="2A70948C">
            <w:pPr>
              <w:spacing w:line="274" w:lineRule="auto"/>
              <w:jc w:val="center"/>
            </w:pPr>
            <w:r>
              <w:t>OLT</w:t>
            </w:r>
          </w:p>
        </w:tc>
        <w:tc>
          <w:tcPr>
            <w:tcW w:w="638" w:type="dxa"/>
          </w:tcPr>
          <w:p w14:paraId="4CF05D28">
            <w:pPr>
              <w:spacing w:line="274" w:lineRule="auto"/>
              <w:jc w:val="center"/>
            </w:pPr>
            <w:r>
              <w:t>0,0</w:t>
            </w:r>
          </w:p>
        </w:tc>
        <w:tc>
          <w:tcPr>
            <w:tcW w:w="882" w:type="dxa"/>
          </w:tcPr>
          <w:p w14:paraId="360C2817">
            <w:pPr>
              <w:spacing w:line="274" w:lineRule="auto"/>
              <w:jc w:val="center"/>
            </w:pPr>
            <w:r>
              <w:t>0,00</w:t>
            </w:r>
          </w:p>
        </w:tc>
        <w:tc>
          <w:tcPr>
            <w:tcW w:w="792" w:type="dxa"/>
          </w:tcPr>
          <w:p w14:paraId="2F939AEB">
            <w:pPr>
              <w:spacing w:line="274" w:lineRule="auto"/>
              <w:jc w:val="center"/>
            </w:pPr>
            <w:r>
              <w:t>0,00</w:t>
            </w:r>
          </w:p>
        </w:tc>
        <w:tc>
          <w:tcPr>
            <w:tcW w:w="828" w:type="dxa"/>
          </w:tcPr>
          <w:p w14:paraId="093B2707">
            <w:pPr>
              <w:spacing w:line="274" w:lineRule="auto"/>
              <w:jc w:val="center"/>
            </w:pPr>
            <w:r>
              <w:t>0,00</w:t>
            </w:r>
          </w:p>
        </w:tc>
        <w:tc>
          <w:tcPr>
            <w:tcW w:w="645" w:type="dxa"/>
          </w:tcPr>
          <w:p w14:paraId="2C5818C4">
            <w:pPr>
              <w:spacing w:line="274" w:lineRule="auto"/>
              <w:jc w:val="center"/>
            </w:pPr>
            <w:r>
              <w:t>0,00</w:t>
            </w:r>
          </w:p>
        </w:tc>
        <w:tc>
          <w:tcPr>
            <w:tcW w:w="694" w:type="dxa"/>
          </w:tcPr>
          <w:p w14:paraId="0D5F89EF">
            <w:pPr>
              <w:spacing w:line="274" w:lineRule="auto"/>
              <w:jc w:val="center"/>
            </w:pPr>
            <w:r>
              <w:t>91,00</w:t>
            </w:r>
          </w:p>
        </w:tc>
        <w:tc>
          <w:tcPr>
            <w:tcW w:w="527" w:type="dxa"/>
          </w:tcPr>
          <w:p w14:paraId="2B388546">
            <w:pPr>
              <w:spacing w:line="274" w:lineRule="auto"/>
              <w:jc w:val="center"/>
            </w:pPr>
            <w:r>
              <w:t>0,00</w:t>
            </w:r>
          </w:p>
        </w:tc>
        <w:tc>
          <w:tcPr>
            <w:tcW w:w="660" w:type="dxa"/>
          </w:tcPr>
          <w:p w14:paraId="24AA4EBC">
            <w:pPr>
              <w:spacing w:line="274" w:lineRule="auto"/>
              <w:jc w:val="center"/>
            </w:pPr>
            <w:r>
              <w:t>0,00</w:t>
            </w:r>
          </w:p>
        </w:tc>
        <w:tc>
          <w:tcPr>
            <w:tcW w:w="527" w:type="dxa"/>
          </w:tcPr>
          <w:p w14:paraId="661E7EBF">
            <w:pPr>
              <w:spacing w:line="274" w:lineRule="auto"/>
              <w:jc w:val="center"/>
            </w:pPr>
            <w:r>
              <w:t>0,00</w:t>
            </w:r>
          </w:p>
        </w:tc>
        <w:tc>
          <w:tcPr>
            <w:tcW w:w="645" w:type="dxa"/>
          </w:tcPr>
          <w:p w14:paraId="3CA05BFE">
            <w:pPr>
              <w:spacing w:line="274" w:lineRule="auto"/>
              <w:jc w:val="center"/>
            </w:pPr>
            <w:r>
              <w:t>0,00</w:t>
            </w:r>
          </w:p>
        </w:tc>
        <w:tc>
          <w:tcPr>
            <w:tcW w:w="572" w:type="dxa"/>
          </w:tcPr>
          <w:p w14:paraId="738DAC31">
            <w:pPr>
              <w:jc w:val="center"/>
            </w:pPr>
            <w:r>
              <w:t>0,00</w:t>
            </w:r>
          </w:p>
        </w:tc>
      </w:tr>
      <w:tr w14:paraId="6B8FB07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147CBD11">
            <w:pPr>
              <w:rPr>
                <w:b/>
                <w:bCs/>
              </w:rPr>
            </w:pPr>
          </w:p>
        </w:tc>
        <w:tc>
          <w:tcPr>
            <w:tcW w:w="654" w:type="dxa"/>
          </w:tcPr>
          <w:p w14:paraId="4EC26E6C">
            <w:pPr>
              <w:spacing w:line="274" w:lineRule="auto"/>
              <w:jc w:val="center"/>
            </w:pPr>
            <w:r>
              <w:t>PAST</w:t>
            </w:r>
          </w:p>
        </w:tc>
        <w:tc>
          <w:tcPr>
            <w:tcW w:w="638" w:type="dxa"/>
          </w:tcPr>
          <w:p w14:paraId="43C46A1C">
            <w:pPr>
              <w:spacing w:line="274" w:lineRule="auto"/>
              <w:jc w:val="center"/>
            </w:pPr>
            <w:r>
              <w:t>0,0</w:t>
            </w:r>
          </w:p>
        </w:tc>
        <w:tc>
          <w:tcPr>
            <w:tcW w:w="882" w:type="dxa"/>
          </w:tcPr>
          <w:p w14:paraId="34197CF6">
            <w:pPr>
              <w:spacing w:line="274" w:lineRule="auto"/>
              <w:jc w:val="center"/>
            </w:pPr>
            <w:r>
              <w:t>0,00</w:t>
            </w:r>
          </w:p>
        </w:tc>
        <w:tc>
          <w:tcPr>
            <w:tcW w:w="792" w:type="dxa"/>
          </w:tcPr>
          <w:p w14:paraId="243105F8">
            <w:pPr>
              <w:spacing w:line="274" w:lineRule="auto"/>
              <w:jc w:val="center"/>
            </w:pPr>
            <w:r>
              <w:t>0,54</w:t>
            </w:r>
          </w:p>
        </w:tc>
        <w:tc>
          <w:tcPr>
            <w:tcW w:w="828" w:type="dxa"/>
          </w:tcPr>
          <w:p w14:paraId="22DBF8C6">
            <w:pPr>
              <w:spacing w:line="274" w:lineRule="auto"/>
              <w:jc w:val="center"/>
            </w:pPr>
            <w:r>
              <w:t>66,39</w:t>
            </w:r>
          </w:p>
        </w:tc>
        <w:tc>
          <w:tcPr>
            <w:tcW w:w="645" w:type="dxa"/>
          </w:tcPr>
          <w:p w14:paraId="580EFE15">
            <w:pPr>
              <w:spacing w:line="274" w:lineRule="auto"/>
              <w:jc w:val="center"/>
            </w:pPr>
            <w:r>
              <w:t>7,00</w:t>
            </w:r>
          </w:p>
        </w:tc>
        <w:tc>
          <w:tcPr>
            <w:tcW w:w="694" w:type="dxa"/>
          </w:tcPr>
          <w:p w14:paraId="4FF3F1CE">
            <w:pPr>
              <w:spacing w:line="274" w:lineRule="auto"/>
              <w:jc w:val="center"/>
            </w:pPr>
            <w:r>
              <w:t>2,75</w:t>
            </w:r>
          </w:p>
        </w:tc>
        <w:tc>
          <w:tcPr>
            <w:tcW w:w="527" w:type="dxa"/>
          </w:tcPr>
          <w:p w14:paraId="4B05C2BF">
            <w:pPr>
              <w:spacing w:line="274" w:lineRule="auto"/>
              <w:jc w:val="center"/>
            </w:pPr>
            <w:r>
              <w:t>0,00</w:t>
            </w:r>
          </w:p>
        </w:tc>
        <w:tc>
          <w:tcPr>
            <w:tcW w:w="660" w:type="dxa"/>
          </w:tcPr>
          <w:p w14:paraId="160DF305">
            <w:pPr>
              <w:spacing w:line="274" w:lineRule="auto"/>
              <w:jc w:val="center"/>
            </w:pPr>
            <w:r>
              <w:t>671,28</w:t>
            </w:r>
          </w:p>
        </w:tc>
        <w:tc>
          <w:tcPr>
            <w:tcW w:w="527" w:type="dxa"/>
          </w:tcPr>
          <w:p w14:paraId="4390CFD3">
            <w:pPr>
              <w:spacing w:line="274" w:lineRule="auto"/>
              <w:jc w:val="center"/>
            </w:pPr>
            <w:r>
              <w:t>0,00</w:t>
            </w:r>
          </w:p>
        </w:tc>
        <w:tc>
          <w:tcPr>
            <w:tcW w:w="645" w:type="dxa"/>
          </w:tcPr>
          <w:p w14:paraId="1538AA2A">
            <w:pPr>
              <w:spacing w:line="274" w:lineRule="auto"/>
              <w:jc w:val="center"/>
            </w:pPr>
            <w:r>
              <w:t>0,00</w:t>
            </w:r>
          </w:p>
        </w:tc>
        <w:tc>
          <w:tcPr>
            <w:tcW w:w="572" w:type="dxa"/>
          </w:tcPr>
          <w:p w14:paraId="2A570422">
            <w:pPr>
              <w:jc w:val="center"/>
            </w:pPr>
            <w:r>
              <w:t>747,95</w:t>
            </w:r>
          </w:p>
        </w:tc>
      </w:tr>
      <w:tr w14:paraId="26B4E63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0E5BAFB0">
            <w:pPr>
              <w:rPr>
                <w:b/>
                <w:bCs/>
              </w:rPr>
            </w:pPr>
          </w:p>
        </w:tc>
        <w:tc>
          <w:tcPr>
            <w:tcW w:w="654" w:type="dxa"/>
          </w:tcPr>
          <w:p w14:paraId="3F06AE24">
            <w:pPr>
              <w:spacing w:line="274" w:lineRule="auto"/>
              <w:jc w:val="center"/>
            </w:pPr>
            <w:r>
              <w:t>RLO</w:t>
            </w:r>
          </w:p>
        </w:tc>
        <w:tc>
          <w:tcPr>
            <w:tcW w:w="638" w:type="dxa"/>
          </w:tcPr>
          <w:p w14:paraId="45483A00">
            <w:pPr>
              <w:spacing w:line="274" w:lineRule="auto"/>
              <w:jc w:val="center"/>
            </w:pPr>
            <w:r>
              <w:t>0,0</w:t>
            </w:r>
          </w:p>
        </w:tc>
        <w:tc>
          <w:tcPr>
            <w:tcW w:w="882" w:type="dxa"/>
          </w:tcPr>
          <w:p w14:paraId="2E416E9D">
            <w:pPr>
              <w:spacing w:line="274" w:lineRule="auto"/>
              <w:jc w:val="center"/>
            </w:pPr>
            <w:r>
              <w:t>3,33</w:t>
            </w:r>
          </w:p>
        </w:tc>
        <w:tc>
          <w:tcPr>
            <w:tcW w:w="792" w:type="dxa"/>
          </w:tcPr>
          <w:p w14:paraId="37337F53">
            <w:pPr>
              <w:jc w:val="center"/>
            </w:pPr>
            <w:r>
              <w:t>8,75</w:t>
            </w:r>
          </w:p>
        </w:tc>
        <w:tc>
          <w:tcPr>
            <w:tcW w:w="828" w:type="dxa"/>
          </w:tcPr>
          <w:p w14:paraId="03063084">
            <w:pPr>
              <w:spacing w:line="274" w:lineRule="auto"/>
              <w:jc w:val="center"/>
            </w:pPr>
            <w:r>
              <w:t>6,92</w:t>
            </w:r>
          </w:p>
        </w:tc>
        <w:tc>
          <w:tcPr>
            <w:tcW w:w="645" w:type="dxa"/>
          </w:tcPr>
          <w:p w14:paraId="47FF640F">
            <w:pPr>
              <w:spacing w:line="274" w:lineRule="auto"/>
              <w:jc w:val="center"/>
            </w:pPr>
            <w:r>
              <w:t>0,18</w:t>
            </w:r>
          </w:p>
        </w:tc>
        <w:tc>
          <w:tcPr>
            <w:tcW w:w="694" w:type="dxa"/>
          </w:tcPr>
          <w:p w14:paraId="0312A8FC">
            <w:pPr>
              <w:spacing w:line="274" w:lineRule="auto"/>
              <w:jc w:val="center"/>
            </w:pPr>
            <w:r>
              <w:t>6,30</w:t>
            </w:r>
          </w:p>
        </w:tc>
        <w:tc>
          <w:tcPr>
            <w:tcW w:w="527" w:type="dxa"/>
          </w:tcPr>
          <w:p w14:paraId="39A7F9BD">
            <w:pPr>
              <w:spacing w:line="274" w:lineRule="auto"/>
              <w:jc w:val="center"/>
            </w:pPr>
            <w:r>
              <w:t>0,00</w:t>
            </w:r>
          </w:p>
        </w:tc>
        <w:tc>
          <w:tcPr>
            <w:tcW w:w="660" w:type="dxa"/>
          </w:tcPr>
          <w:p w14:paraId="018BB87A">
            <w:pPr>
              <w:spacing w:line="274" w:lineRule="auto"/>
              <w:jc w:val="center"/>
            </w:pPr>
            <w:r>
              <w:t>0,00</w:t>
            </w:r>
          </w:p>
        </w:tc>
        <w:tc>
          <w:tcPr>
            <w:tcW w:w="527" w:type="dxa"/>
          </w:tcPr>
          <w:p w14:paraId="2998C96B">
            <w:pPr>
              <w:spacing w:line="274" w:lineRule="auto"/>
              <w:jc w:val="center"/>
            </w:pPr>
            <w:r>
              <w:t>658,00</w:t>
            </w:r>
          </w:p>
        </w:tc>
        <w:tc>
          <w:tcPr>
            <w:tcW w:w="645" w:type="dxa"/>
          </w:tcPr>
          <w:p w14:paraId="3043E2D5">
            <w:pPr>
              <w:spacing w:line="274" w:lineRule="auto"/>
              <w:jc w:val="center"/>
            </w:pPr>
            <w:r>
              <w:t>0,00</w:t>
            </w:r>
          </w:p>
        </w:tc>
        <w:tc>
          <w:tcPr>
            <w:tcW w:w="572" w:type="dxa"/>
          </w:tcPr>
          <w:p w14:paraId="4FEF4DB0">
            <w:pPr>
              <w:jc w:val="center"/>
            </w:pPr>
            <w:r>
              <w:t>684,63</w:t>
            </w:r>
          </w:p>
        </w:tc>
      </w:tr>
      <w:tr w14:paraId="76A547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70F2CD01">
            <w:pPr>
              <w:rPr>
                <w:b/>
                <w:bCs/>
              </w:rPr>
            </w:pPr>
          </w:p>
        </w:tc>
        <w:tc>
          <w:tcPr>
            <w:tcW w:w="654" w:type="dxa"/>
            <w:tcBorders>
              <w:bottom w:val="single" w:color="000000" w:themeColor="text1" w:sz="12" w:space="0"/>
            </w:tcBorders>
          </w:tcPr>
          <w:p w14:paraId="0F782339">
            <w:pPr>
              <w:spacing w:line="274" w:lineRule="auto"/>
              <w:jc w:val="center"/>
            </w:pPr>
            <w:r>
              <w:t>SOJ</w:t>
            </w:r>
          </w:p>
        </w:tc>
        <w:tc>
          <w:tcPr>
            <w:tcW w:w="638" w:type="dxa"/>
            <w:tcBorders>
              <w:bottom w:val="single" w:color="000000" w:themeColor="text1" w:sz="12" w:space="0"/>
            </w:tcBorders>
          </w:tcPr>
          <w:p w14:paraId="4C4FD820">
            <w:pPr>
              <w:spacing w:line="274" w:lineRule="auto"/>
              <w:jc w:val="center"/>
            </w:pPr>
            <w:r>
              <w:t>0,0</w:t>
            </w:r>
          </w:p>
        </w:tc>
        <w:tc>
          <w:tcPr>
            <w:tcW w:w="882" w:type="dxa"/>
            <w:tcBorders>
              <w:bottom w:val="single" w:color="000000" w:themeColor="text1" w:sz="12" w:space="0"/>
            </w:tcBorders>
          </w:tcPr>
          <w:p w14:paraId="5F063C8A">
            <w:pPr>
              <w:spacing w:line="274" w:lineRule="auto"/>
              <w:jc w:val="center"/>
            </w:pPr>
            <w:r>
              <w:t>0,00</w:t>
            </w:r>
          </w:p>
        </w:tc>
        <w:tc>
          <w:tcPr>
            <w:tcW w:w="792" w:type="dxa"/>
            <w:tcBorders>
              <w:bottom w:val="single" w:color="000000" w:themeColor="text1" w:sz="12" w:space="0"/>
            </w:tcBorders>
          </w:tcPr>
          <w:p w14:paraId="68F14716">
            <w:pPr>
              <w:spacing w:line="274" w:lineRule="auto"/>
              <w:jc w:val="center"/>
            </w:pPr>
            <w:r>
              <w:t>0,00</w:t>
            </w:r>
          </w:p>
        </w:tc>
        <w:tc>
          <w:tcPr>
            <w:tcW w:w="828" w:type="dxa"/>
            <w:tcBorders>
              <w:bottom w:val="single" w:color="000000" w:themeColor="text1" w:sz="12" w:space="0"/>
            </w:tcBorders>
          </w:tcPr>
          <w:p w14:paraId="688DD62D">
            <w:pPr>
              <w:spacing w:line="274" w:lineRule="auto"/>
              <w:jc w:val="center"/>
            </w:pPr>
            <w:r>
              <w:t>0,00</w:t>
            </w:r>
          </w:p>
        </w:tc>
        <w:tc>
          <w:tcPr>
            <w:tcW w:w="645" w:type="dxa"/>
            <w:tcBorders>
              <w:bottom w:val="single" w:color="000000" w:themeColor="text1" w:sz="12" w:space="0"/>
            </w:tcBorders>
          </w:tcPr>
          <w:p w14:paraId="5CCD8815">
            <w:pPr>
              <w:spacing w:line="274" w:lineRule="auto"/>
              <w:jc w:val="center"/>
            </w:pPr>
            <w:r>
              <w:t>0,00</w:t>
            </w:r>
          </w:p>
        </w:tc>
        <w:tc>
          <w:tcPr>
            <w:tcW w:w="694" w:type="dxa"/>
            <w:tcBorders>
              <w:bottom w:val="single" w:color="000000" w:themeColor="text1" w:sz="12" w:space="0"/>
            </w:tcBorders>
          </w:tcPr>
          <w:p w14:paraId="0000C665">
            <w:pPr>
              <w:spacing w:line="274" w:lineRule="auto"/>
              <w:jc w:val="center"/>
            </w:pPr>
            <w:r>
              <w:t>0,00</w:t>
            </w:r>
          </w:p>
        </w:tc>
        <w:tc>
          <w:tcPr>
            <w:tcW w:w="527" w:type="dxa"/>
            <w:tcBorders>
              <w:bottom w:val="single" w:color="000000" w:themeColor="text1" w:sz="12" w:space="0"/>
            </w:tcBorders>
          </w:tcPr>
          <w:p w14:paraId="74313489">
            <w:pPr>
              <w:spacing w:line="274" w:lineRule="auto"/>
              <w:jc w:val="center"/>
            </w:pPr>
            <w:r>
              <w:t>0,00</w:t>
            </w:r>
          </w:p>
        </w:tc>
        <w:tc>
          <w:tcPr>
            <w:tcW w:w="660" w:type="dxa"/>
            <w:tcBorders>
              <w:bottom w:val="single" w:color="000000" w:themeColor="text1" w:sz="12" w:space="0"/>
            </w:tcBorders>
          </w:tcPr>
          <w:p w14:paraId="152AACFD">
            <w:pPr>
              <w:spacing w:line="274" w:lineRule="auto"/>
              <w:jc w:val="center"/>
            </w:pPr>
            <w:r>
              <w:t>0,00</w:t>
            </w:r>
          </w:p>
        </w:tc>
        <w:tc>
          <w:tcPr>
            <w:tcW w:w="527" w:type="dxa"/>
            <w:tcBorders>
              <w:bottom w:val="single" w:color="000000" w:themeColor="text1" w:sz="12" w:space="0"/>
            </w:tcBorders>
          </w:tcPr>
          <w:p w14:paraId="1AA49247">
            <w:pPr>
              <w:spacing w:line="274" w:lineRule="auto"/>
              <w:jc w:val="center"/>
            </w:pPr>
            <w:r>
              <w:t>0,00</w:t>
            </w:r>
          </w:p>
        </w:tc>
        <w:tc>
          <w:tcPr>
            <w:tcW w:w="645" w:type="dxa"/>
            <w:tcBorders>
              <w:bottom w:val="single" w:color="000000" w:themeColor="text1" w:sz="12" w:space="0"/>
            </w:tcBorders>
          </w:tcPr>
          <w:p w14:paraId="75F16CE1">
            <w:pPr>
              <w:spacing w:line="274" w:lineRule="auto"/>
              <w:jc w:val="center"/>
            </w:pPr>
            <w:r>
              <w:t>0,00</w:t>
            </w:r>
          </w:p>
        </w:tc>
        <w:tc>
          <w:tcPr>
            <w:tcW w:w="572" w:type="dxa"/>
            <w:tcBorders>
              <w:bottom w:val="single" w:color="000000" w:themeColor="text1" w:sz="12" w:space="0"/>
            </w:tcBorders>
          </w:tcPr>
          <w:p w14:paraId="68501DE9">
            <w:pPr>
              <w:jc w:val="center"/>
            </w:pPr>
            <w:r>
              <w:t>0,00</w:t>
            </w:r>
          </w:p>
        </w:tc>
      </w:tr>
      <w:tr w14:paraId="6C5034A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30" w:type="dxa"/>
            <w:vMerge w:val="continue"/>
          </w:tcPr>
          <w:p w14:paraId="16752648">
            <w:pPr>
              <w:rPr>
                <w:b/>
                <w:bCs/>
              </w:rPr>
            </w:pPr>
          </w:p>
        </w:tc>
        <w:tc>
          <w:tcPr>
            <w:tcW w:w="654" w:type="dxa"/>
            <w:tcBorders>
              <w:top w:val="single" w:color="000000" w:themeColor="text1" w:sz="12" w:space="0"/>
            </w:tcBorders>
          </w:tcPr>
          <w:p w14:paraId="40426F59">
            <w:pPr>
              <w:spacing w:line="274" w:lineRule="auto"/>
              <w:jc w:val="center"/>
            </w:pPr>
            <w:r>
              <w:t>Total</w:t>
            </w:r>
          </w:p>
        </w:tc>
        <w:tc>
          <w:tcPr>
            <w:tcW w:w="638" w:type="dxa"/>
            <w:tcBorders>
              <w:top w:val="single" w:color="000000" w:themeColor="text1" w:sz="12" w:space="0"/>
            </w:tcBorders>
          </w:tcPr>
          <w:p w14:paraId="2A5F8F0D">
            <w:pPr>
              <w:spacing w:line="274" w:lineRule="auto"/>
              <w:jc w:val="center"/>
            </w:pPr>
            <w:r>
              <w:t>0,0</w:t>
            </w:r>
          </w:p>
        </w:tc>
        <w:tc>
          <w:tcPr>
            <w:tcW w:w="882" w:type="dxa"/>
            <w:tcBorders>
              <w:top w:val="single" w:color="000000" w:themeColor="text1" w:sz="12" w:space="0"/>
            </w:tcBorders>
          </w:tcPr>
          <w:p w14:paraId="737F6A08">
            <w:pPr>
              <w:spacing w:line="274" w:lineRule="auto"/>
              <w:jc w:val="center"/>
            </w:pPr>
            <w:r>
              <w:t>4,23</w:t>
            </w:r>
          </w:p>
        </w:tc>
        <w:tc>
          <w:tcPr>
            <w:tcW w:w="792" w:type="dxa"/>
            <w:tcBorders>
              <w:top w:val="single" w:color="000000" w:themeColor="text1" w:sz="12" w:space="0"/>
            </w:tcBorders>
          </w:tcPr>
          <w:p w14:paraId="62889D39">
            <w:pPr>
              <w:spacing w:line="274" w:lineRule="auto"/>
              <w:jc w:val="center"/>
            </w:pPr>
            <w:r>
              <w:t>1082,08</w:t>
            </w:r>
          </w:p>
        </w:tc>
        <w:tc>
          <w:tcPr>
            <w:tcW w:w="828" w:type="dxa"/>
            <w:tcBorders>
              <w:top w:val="single" w:color="000000" w:themeColor="text1" w:sz="12" w:space="0"/>
            </w:tcBorders>
          </w:tcPr>
          <w:p w14:paraId="5F6F5145">
            <w:pPr>
              <w:spacing w:line="274" w:lineRule="auto"/>
              <w:jc w:val="center"/>
            </w:pPr>
            <w:r>
              <w:t>30291,81</w:t>
            </w:r>
          </w:p>
        </w:tc>
        <w:tc>
          <w:tcPr>
            <w:tcW w:w="645" w:type="dxa"/>
            <w:tcBorders>
              <w:top w:val="single" w:color="000000" w:themeColor="text1" w:sz="12" w:space="0"/>
            </w:tcBorders>
          </w:tcPr>
          <w:p w14:paraId="2F4E8FF1">
            <w:pPr>
              <w:spacing w:line="274" w:lineRule="auto"/>
              <w:jc w:val="center"/>
            </w:pPr>
            <w:r>
              <w:t>4105,08</w:t>
            </w:r>
          </w:p>
        </w:tc>
        <w:tc>
          <w:tcPr>
            <w:tcW w:w="694" w:type="dxa"/>
            <w:tcBorders>
              <w:top w:val="single" w:color="000000" w:themeColor="text1" w:sz="12" w:space="0"/>
            </w:tcBorders>
          </w:tcPr>
          <w:p w14:paraId="3D05B38D">
            <w:pPr>
              <w:spacing w:line="274" w:lineRule="auto"/>
              <w:jc w:val="center"/>
            </w:pPr>
            <w:r>
              <w:t>358,30</w:t>
            </w:r>
          </w:p>
        </w:tc>
        <w:tc>
          <w:tcPr>
            <w:tcW w:w="527" w:type="dxa"/>
            <w:tcBorders>
              <w:top w:val="single" w:color="000000" w:themeColor="text1" w:sz="12" w:space="0"/>
            </w:tcBorders>
          </w:tcPr>
          <w:p w14:paraId="5F88D27C">
            <w:pPr>
              <w:spacing w:line="274" w:lineRule="auto"/>
              <w:jc w:val="center"/>
            </w:pPr>
            <w:r>
              <w:t>0,00</w:t>
            </w:r>
          </w:p>
        </w:tc>
        <w:tc>
          <w:tcPr>
            <w:tcW w:w="660" w:type="dxa"/>
            <w:tcBorders>
              <w:top w:val="single" w:color="000000" w:themeColor="text1" w:sz="12" w:space="0"/>
            </w:tcBorders>
          </w:tcPr>
          <w:p w14:paraId="1B25EAD4">
            <w:pPr>
              <w:spacing w:line="274" w:lineRule="auto"/>
              <w:jc w:val="center"/>
            </w:pPr>
            <w:r>
              <w:t>11290,85</w:t>
            </w:r>
          </w:p>
        </w:tc>
        <w:tc>
          <w:tcPr>
            <w:tcW w:w="527" w:type="dxa"/>
            <w:tcBorders>
              <w:top w:val="single" w:color="000000" w:themeColor="text1" w:sz="12" w:space="0"/>
            </w:tcBorders>
          </w:tcPr>
          <w:p w14:paraId="4D096EBE">
            <w:pPr>
              <w:spacing w:line="274" w:lineRule="auto"/>
              <w:jc w:val="center"/>
            </w:pPr>
            <w:r>
              <w:t>696,00</w:t>
            </w:r>
          </w:p>
        </w:tc>
        <w:tc>
          <w:tcPr>
            <w:tcW w:w="645" w:type="dxa"/>
            <w:tcBorders>
              <w:top w:val="single" w:color="000000" w:themeColor="text1" w:sz="12" w:space="0"/>
            </w:tcBorders>
          </w:tcPr>
          <w:p w14:paraId="2C98338F">
            <w:pPr>
              <w:spacing w:line="274" w:lineRule="auto"/>
              <w:jc w:val="center"/>
            </w:pPr>
            <w:r>
              <w:t>0,00</w:t>
            </w:r>
          </w:p>
        </w:tc>
        <w:tc>
          <w:tcPr>
            <w:tcW w:w="572" w:type="dxa"/>
            <w:tcBorders>
              <w:top w:val="single" w:color="000000" w:themeColor="text1" w:sz="12" w:space="0"/>
            </w:tcBorders>
          </w:tcPr>
          <w:p w14:paraId="196695E1">
            <w:pPr>
              <w:jc w:val="center"/>
            </w:pPr>
            <w:r>
              <w:t>47829,44</w:t>
            </w:r>
          </w:p>
        </w:tc>
      </w:tr>
    </w:tbl>
    <w:p w14:paraId="4CCEAEB1">
      <w:pPr>
        <w:pBdr>
          <w:bottom w:val="none" w:color="000000" w:sz="0" w:space="8"/>
        </w:pBdr>
        <w:shd w:val="clear" w:color="auto" w:fill="FFFFFF" w:themeFill="background1"/>
        <w:jc w:val="both"/>
        <w:rPr>
          <w:rFonts w:ascii="Calibri" w:hAnsi="Calibri" w:eastAsia="Calibri" w:cs="Calibri"/>
        </w:rPr>
      </w:pPr>
      <w:r>
        <w:t>AU: Área Urbanizada; CAAP: Campos Alagados e Área Pantanosa; FC: Formação Campestre; FF: Formação florestal; FS: Formação Savânica; MIN: Mineração; OLT: Outras Lavouras Temporárias; PAST: Pastagem; RLO: Rio, Lago e Oceano; SOJ: Soja</w:t>
      </w:r>
    </w:p>
    <w:p w14:paraId="6CCF89AD">
      <w:pPr>
        <w:pBdr>
          <w:bottom w:val="none" w:color="000000" w:sz="0" w:space="8"/>
        </w:pBdr>
        <w:shd w:val="clear" w:color="auto" w:fill="FFFFFF" w:themeFill="background1"/>
        <w:tabs>
          <w:tab w:val="left" w:pos="2500"/>
        </w:tabs>
        <w:spacing w:line="360" w:lineRule="auto"/>
        <w:jc w:val="both"/>
        <w:rPr>
          <w:rFonts w:ascii="Calibri" w:hAnsi="Calibri" w:eastAsia="Calibri" w:cs="Calibri"/>
        </w:rPr>
      </w:pPr>
    </w:p>
    <w:p w14:paraId="194114BC">
      <w:pPr>
        <w:spacing w:line="360" w:lineRule="auto"/>
        <w:ind w:firstLine="709"/>
        <w:jc w:val="both"/>
        <w:rPr>
          <w:sz w:val="24"/>
          <w:szCs w:val="24"/>
        </w:rPr>
      </w:pPr>
      <w:r>
        <w:rPr>
          <w:sz w:val="24"/>
          <w:szCs w:val="24"/>
        </w:rPr>
        <w:t xml:space="preserve">A </w:t>
      </w:r>
      <w:r>
        <w:rPr>
          <w:b/>
          <w:bCs/>
          <w:sz w:val="24"/>
          <w:szCs w:val="24"/>
        </w:rPr>
        <w:t>Tabela 1</w:t>
      </w:r>
      <w:r>
        <w:rPr>
          <w:sz w:val="24"/>
          <w:szCs w:val="24"/>
        </w:rPr>
        <w:t xml:space="preserve"> evidencia o padrão de conversões de uso e ocupação do solo entre 1991 e 2001, revelando mudanças estruturais. O maior fluxo de conversão ocorre da </w:t>
      </w:r>
      <w:r>
        <w:rPr>
          <w:b/>
          <w:bCs/>
          <w:sz w:val="24"/>
          <w:szCs w:val="24"/>
        </w:rPr>
        <w:t>Formação Florestal (FF)</w:t>
      </w:r>
      <w:r>
        <w:rPr>
          <w:sz w:val="24"/>
          <w:szCs w:val="24"/>
        </w:rPr>
        <w:t xml:space="preserve"> para </w:t>
      </w:r>
      <w:r>
        <w:rPr>
          <w:b/>
          <w:bCs/>
          <w:sz w:val="24"/>
          <w:szCs w:val="24"/>
        </w:rPr>
        <w:t>Pastagem (PAST)</w:t>
      </w:r>
      <w:r>
        <w:rPr>
          <w:sz w:val="24"/>
          <w:szCs w:val="24"/>
        </w:rPr>
        <w:t xml:space="preserve">, como já observado uma transição massiva de </w:t>
      </w:r>
      <w:r>
        <w:rPr>
          <w:b/>
          <w:bCs/>
          <w:sz w:val="24"/>
          <w:szCs w:val="24"/>
        </w:rPr>
        <w:t>30.184,33 ha</w:t>
      </w:r>
      <w:r>
        <w:rPr>
          <w:sz w:val="24"/>
          <w:szCs w:val="24"/>
        </w:rPr>
        <w:t xml:space="preserve"> de florestas para áreas destinadas à pecuária. Esse comportamento, coerente com o histórico regional, está associado à consolidação da pecuária de corte como principal vetor de transformação da paisagem amazônica ao longo das últimas décadas (Fearnside, 2005; Walker </w:t>
      </w:r>
      <w:r>
        <w:rPr>
          <w:i/>
          <w:iCs/>
          <w:sz w:val="24"/>
          <w:szCs w:val="24"/>
        </w:rPr>
        <w:t>et al</w:t>
      </w:r>
      <w:r>
        <w:rPr>
          <w:sz w:val="24"/>
          <w:szCs w:val="24"/>
        </w:rPr>
        <w:t>., 2000).</w:t>
      </w:r>
    </w:p>
    <w:p w14:paraId="1A7D3EA7">
      <w:pPr>
        <w:spacing w:line="360" w:lineRule="auto"/>
        <w:ind w:firstLine="709"/>
        <w:jc w:val="both"/>
        <w:rPr>
          <w:sz w:val="24"/>
          <w:szCs w:val="24"/>
        </w:rPr>
      </w:pPr>
      <w:r>
        <w:rPr>
          <w:sz w:val="24"/>
          <w:szCs w:val="24"/>
        </w:rPr>
        <w:t xml:space="preserve">A classe </w:t>
      </w:r>
      <w:r>
        <w:rPr>
          <w:b/>
          <w:bCs/>
          <w:sz w:val="24"/>
          <w:szCs w:val="24"/>
        </w:rPr>
        <w:t>PAST</w:t>
      </w:r>
      <w:r>
        <w:rPr>
          <w:sz w:val="24"/>
          <w:szCs w:val="24"/>
        </w:rPr>
        <w:t xml:space="preserve">, que apresentava 747,95 ha no ano inicial, cresce substancialmente devido às incorporações provenientes não apenas de FF, mas também de outras categorias como </w:t>
      </w:r>
      <w:r>
        <w:rPr>
          <w:b/>
          <w:bCs/>
          <w:sz w:val="24"/>
          <w:szCs w:val="24"/>
        </w:rPr>
        <w:t>Formação Savânica (FS)</w:t>
      </w:r>
      <w:r>
        <w:rPr>
          <w:sz w:val="24"/>
          <w:szCs w:val="24"/>
        </w:rPr>
        <w:t xml:space="preserve"> e </w:t>
      </w:r>
      <w:r>
        <w:rPr>
          <w:b/>
          <w:bCs/>
          <w:sz w:val="24"/>
          <w:szCs w:val="24"/>
        </w:rPr>
        <w:t>Formação Campestre (FC)</w:t>
      </w:r>
      <w:r>
        <w:rPr>
          <w:sz w:val="24"/>
          <w:szCs w:val="24"/>
        </w:rPr>
        <w:t>, indicando a pressão crescente para abertura de novas áreas produtivas. De acordo com a literatura, esse avanço foi impulsionado por políticas de crédito rural, incentivos à ocupação e difusão de pacotes tecnológicos voltados à modernização agropecuária, fortalecidos desde os anos 1970 e ainda atuantes no período analisado (Embrapa, 2014; Homma, 2014).</w:t>
      </w:r>
    </w:p>
    <w:p w14:paraId="12683797">
      <w:pPr>
        <w:spacing w:line="360" w:lineRule="auto"/>
        <w:ind w:firstLine="709"/>
        <w:jc w:val="both"/>
        <w:rPr>
          <w:sz w:val="24"/>
          <w:szCs w:val="24"/>
        </w:rPr>
      </w:pPr>
      <w:r>
        <w:rPr>
          <w:sz w:val="24"/>
          <w:szCs w:val="24"/>
        </w:rPr>
        <w:t xml:space="preserve">Além disso, classes como </w:t>
      </w:r>
      <w:r>
        <w:rPr>
          <w:b/>
          <w:bCs/>
          <w:sz w:val="24"/>
          <w:szCs w:val="24"/>
        </w:rPr>
        <w:t>FS</w:t>
      </w:r>
      <w:r>
        <w:rPr>
          <w:sz w:val="24"/>
          <w:szCs w:val="24"/>
        </w:rPr>
        <w:t xml:space="preserve">, </w:t>
      </w:r>
      <w:r>
        <w:rPr>
          <w:b/>
          <w:bCs/>
          <w:sz w:val="24"/>
          <w:szCs w:val="24"/>
        </w:rPr>
        <w:t>FC</w:t>
      </w:r>
      <w:r>
        <w:rPr>
          <w:sz w:val="24"/>
          <w:szCs w:val="24"/>
        </w:rPr>
        <w:t xml:space="preserve"> e </w:t>
      </w:r>
      <w:r>
        <w:rPr>
          <w:b/>
          <w:bCs/>
          <w:sz w:val="24"/>
          <w:szCs w:val="24"/>
        </w:rPr>
        <w:t>CAAP</w:t>
      </w:r>
      <w:r>
        <w:rPr>
          <w:sz w:val="24"/>
          <w:szCs w:val="24"/>
        </w:rPr>
        <w:t xml:space="preserve"> apresentaram reduções consideráveis em sua integridade espacial quando confrontadas com o total mantido nas linhas e colunas da matriz. Os valores residuais de manutenção destas categorias — FS (4061,40 ha), FC (1040,11 ha) e CAAP (0,92 ha) — reforçam o cenário de substituição gradativa dessas paisagens por usos agropecuários ou urbanos, fenômeno amplamente discutido por Becker (2005) e já observado em frentes de expansão agropecuária na Amazônia Oriental.</w:t>
      </w:r>
    </w:p>
    <w:p w14:paraId="04E51226">
      <w:pPr>
        <w:spacing w:line="360" w:lineRule="auto"/>
        <w:ind w:firstLine="709"/>
        <w:jc w:val="both"/>
        <w:rPr>
          <w:sz w:val="24"/>
          <w:szCs w:val="24"/>
        </w:rPr>
      </w:pPr>
      <w:r>
        <w:rPr>
          <w:sz w:val="24"/>
          <w:szCs w:val="24"/>
        </w:rPr>
        <w:t xml:space="preserve">Outro ponto relevante é o comportamento das categorias </w:t>
      </w:r>
      <w:r>
        <w:rPr>
          <w:b/>
          <w:bCs/>
          <w:sz w:val="24"/>
          <w:szCs w:val="24"/>
        </w:rPr>
        <w:t>Mineração (MIN)</w:t>
      </w:r>
      <w:r>
        <w:rPr>
          <w:sz w:val="24"/>
          <w:szCs w:val="24"/>
        </w:rPr>
        <w:t xml:space="preserve"> e </w:t>
      </w:r>
      <w:r>
        <w:rPr>
          <w:b/>
          <w:bCs/>
          <w:sz w:val="24"/>
          <w:szCs w:val="24"/>
        </w:rPr>
        <w:t>Rios, Lagos e Oceano (RLO)</w:t>
      </w:r>
      <w:r>
        <w:rPr>
          <w:sz w:val="24"/>
          <w:szCs w:val="24"/>
        </w:rPr>
        <w:t xml:space="preserve">. Embora seus totais em 1991 fossem relativamente baixos (MIN = 318,24 ha; RLO = 684,63 ha), ambas exibem incrementos em suas áreas finais — MIN com </w:t>
      </w:r>
      <w:r>
        <w:rPr>
          <w:b/>
          <w:bCs/>
          <w:sz w:val="24"/>
          <w:szCs w:val="24"/>
        </w:rPr>
        <w:t>358,38 ha</w:t>
      </w:r>
      <w:r>
        <w:rPr>
          <w:sz w:val="24"/>
          <w:szCs w:val="24"/>
        </w:rPr>
        <w:t xml:space="preserve"> e RLO com </w:t>
      </w:r>
      <w:r>
        <w:rPr>
          <w:b/>
          <w:bCs/>
          <w:sz w:val="24"/>
          <w:szCs w:val="24"/>
        </w:rPr>
        <w:t>696,00 ha</w:t>
      </w:r>
      <w:r>
        <w:rPr>
          <w:sz w:val="24"/>
          <w:szCs w:val="24"/>
        </w:rPr>
        <w:t xml:space="preserve">. Esse aumento pode estar relacionado à ampliação das atividades minerais e de infraestrutura associada, que geram tanto remoção direta de vegetação quanto alterações hidrológicas decorrentes da construção de estradas, vilas operárias e áreas de apoio logístico. Estudos recentes demonstram que a mineração produz impactos indiretos muito superiores à sua área física autorizada, incluindo a intensificação da urbanização e a abertura de novos corpos hídricos artificiais ou modificados (Sonter </w:t>
      </w:r>
      <w:r>
        <w:rPr>
          <w:i/>
          <w:iCs/>
          <w:sz w:val="24"/>
          <w:szCs w:val="24"/>
        </w:rPr>
        <w:t>et al</w:t>
      </w:r>
      <w:r>
        <w:rPr>
          <w:sz w:val="24"/>
          <w:szCs w:val="24"/>
        </w:rPr>
        <w:t>., 2017).</w:t>
      </w:r>
    </w:p>
    <w:p w14:paraId="0C6959E5">
      <w:pPr>
        <w:spacing w:line="360" w:lineRule="auto"/>
        <w:ind w:firstLine="709"/>
        <w:jc w:val="both"/>
        <w:rPr>
          <w:sz w:val="24"/>
          <w:szCs w:val="24"/>
        </w:rPr>
      </w:pPr>
      <w:r>
        <w:rPr>
          <w:sz w:val="24"/>
          <w:szCs w:val="24"/>
        </w:rPr>
        <w:t xml:space="preserve">O comportamento quase estático das classes </w:t>
      </w:r>
      <w:r>
        <w:rPr>
          <w:b/>
          <w:bCs/>
          <w:sz w:val="24"/>
          <w:szCs w:val="24"/>
        </w:rPr>
        <w:t>AU (Área Urbanizada)</w:t>
      </w:r>
      <w:r>
        <w:rPr>
          <w:sz w:val="24"/>
          <w:szCs w:val="24"/>
        </w:rPr>
        <w:t xml:space="preserve">, </w:t>
      </w:r>
      <w:r>
        <w:rPr>
          <w:b/>
          <w:bCs/>
          <w:sz w:val="24"/>
          <w:szCs w:val="24"/>
        </w:rPr>
        <w:t>OLT (Outras Lavouras Temporárias)</w:t>
      </w:r>
      <w:r>
        <w:rPr>
          <w:sz w:val="24"/>
          <w:szCs w:val="24"/>
        </w:rPr>
        <w:t xml:space="preserve"> e </w:t>
      </w:r>
      <w:r>
        <w:rPr>
          <w:b/>
          <w:bCs/>
          <w:sz w:val="24"/>
          <w:szCs w:val="24"/>
        </w:rPr>
        <w:t>SOJ (Soja)</w:t>
      </w:r>
      <w:r>
        <w:rPr>
          <w:sz w:val="24"/>
          <w:szCs w:val="24"/>
        </w:rPr>
        <w:t xml:space="preserve"> indica que, no período avaliado, a matriz produtiva local ainda mantinha predomínio da pecuária extensiva, com baixo investimento em agricultura anual mecanizada. Esse padrão é compatível com o contexto regional da década de 1990, período em que a soja ainda não havia avançado com força para partes significativas da Amazônia, movimento que ganharia intensidade apenas nos anos 2000 (Ribeiro </w:t>
      </w:r>
      <w:r>
        <w:rPr>
          <w:i/>
          <w:iCs/>
          <w:sz w:val="24"/>
          <w:szCs w:val="24"/>
        </w:rPr>
        <w:t>et al</w:t>
      </w:r>
      <w:r>
        <w:rPr>
          <w:sz w:val="24"/>
          <w:szCs w:val="24"/>
        </w:rPr>
        <w:t>., 2018).</w:t>
      </w:r>
    </w:p>
    <w:p w14:paraId="4CBC90BC">
      <w:pPr>
        <w:pBdr>
          <w:bottom w:val="none" w:color="000000" w:sz="0" w:space="8"/>
        </w:pBdr>
        <w:shd w:val="clear" w:color="auto" w:fill="FFFFFF" w:themeFill="background1"/>
        <w:tabs>
          <w:tab w:val="left" w:pos="2500"/>
        </w:tabs>
        <w:spacing w:line="360" w:lineRule="auto"/>
        <w:jc w:val="both"/>
        <w:rPr>
          <w:rFonts w:ascii="Calibri" w:hAnsi="Calibri" w:eastAsia="Calibri" w:cs="Calibri"/>
        </w:rPr>
      </w:pPr>
    </w:p>
    <w:p w14:paraId="6EF26A43">
      <w:pPr>
        <w:widowControl/>
        <w:tabs>
          <w:tab w:val="left" w:pos="1290"/>
        </w:tabs>
        <w:spacing w:after="160" w:line="259" w:lineRule="auto"/>
        <w:jc w:val="both"/>
        <w:rPr>
          <w:color w:val="FF0000"/>
          <w:sz w:val="24"/>
          <w:szCs w:val="24"/>
        </w:rPr>
      </w:pPr>
      <w:r>
        <w:rPr>
          <w:b/>
          <w:bCs/>
          <w:sz w:val="24"/>
          <w:szCs w:val="24"/>
        </w:rPr>
        <w:t>4. CONCLUSÃO</w:t>
      </w:r>
    </w:p>
    <w:p w14:paraId="05746633">
      <w:pPr>
        <w:widowControl/>
        <w:tabs>
          <w:tab w:val="left" w:pos="699"/>
        </w:tabs>
        <w:spacing w:after="160" w:line="360" w:lineRule="auto"/>
        <w:ind w:firstLine="709"/>
        <w:jc w:val="both"/>
      </w:pPr>
      <w:r>
        <w:rPr>
          <w:sz w:val="24"/>
          <w:szCs w:val="24"/>
        </w:rPr>
        <w:t>Em síntese, o monitoramento por sensoriamento remoto evidência que a mineração e a expansão pecuária foram os principais vetores de transformação da paisagem em São Félix do Xingu, reduzindo áreas naturais e ampliando zonas produtivas e urbanas. Ferramentas como MAPBIOMAS e PRODES mostram-se fundamentais para compreender essas mudanças e apoiar decisões que conciliem desenvolvimento regional e conservação ambiental.</w:t>
      </w:r>
    </w:p>
    <w:p w14:paraId="46DFF160">
      <w:pPr>
        <w:widowControl/>
        <w:tabs>
          <w:tab w:val="left" w:pos="699"/>
        </w:tabs>
        <w:spacing w:after="160" w:line="360" w:lineRule="auto"/>
        <w:jc w:val="both"/>
        <w:rPr>
          <w:sz w:val="24"/>
          <w:szCs w:val="24"/>
        </w:rPr>
      </w:pPr>
    </w:p>
    <w:p w14:paraId="5F4BAE48">
      <w:pPr>
        <w:widowControl/>
        <w:tabs>
          <w:tab w:val="left" w:pos="1290"/>
        </w:tabs>
        <w:spacing w:after="160" w:line="259" w:lineRule="auto"/>
        <w:jc w:val="both"/>
        <w:rPr>
          <w:color w:val="FF0000"/>
          <w:sz w:val="24"/>
          <w:szCs w:val="24"/>
        </w:rPr>
      </w:pPr>
      <w:r>
        <w:rPr>
          <w:b/>
          <w:bCs/>
          <w:sz w:val="24"/>
          <w:szCs w:val="24"/>
        </w:rPr>
        <w:t>REFERÊNCIAS</w:t>
      </w:r>
    </w:p>
    <w:p w14:paraId="118C7E61">
      <w:pPr>
        <w:spacing w:before="240" w:line="240" w:lineRule="auto"/>
      </w:pPr>
      <w:r>
        <w:rPr>
          <w:sz w:val="24"/>
          <w:szCs w:val="24"/>
        </w:rPr>
        <w:t xml:space="preserve">BARRETO, Paulo; PEREIRA, Ritaumaria; ROCHA, Arthur José da Silva. </w:t>
      </w:r>
      <w:r>
        <w:rPr>
          <w:b/>
          <w:bCs/>
          <w:sz w:val="24"/>
          <w:szCs w:val="24"/>
        </w:rPr>
        <w:t>Da “escassez” à abundância: o caso da pecuária bovina na Amazônia</w:t>
      </w:r>
      <w:r>
        <w:rPr>
          <w:sz w:val="24"/>
          <w:szCs w:val="24"/>
        </w:rPr>
        <w:t>. Belém: Amazônia 2030 / Imazon, 2024.</w:t>
      </w:r>
    </w:p>
    <w:p w14:paraId="67CD186D">
      <w:pPr>
        <w:spacing w:line="240" w:lineRule="auto"/>
        <w:rPr>
          <w:sz w:val="24"/>
          <w:szCs w:val="24"/>
        </w:rPr>
      </w:pPr>
    </w:p>
    <w:p w14:paraId="2A4015EE">
      <w:pPr>
        <w:spacing w:line="240" w:lineRule="auto"/>
      </w:pPr>
      <w:r>
        <w:rPr>
          <w:sz w:val="24"/>
          <w:szCs w:val="24"/>
          <w:lang w:val="en-US"/>
        </w:rPr>
        <w:t xml:space="preserve">BECKER, B. K. Geopolítica da Amazônia. </w:t>
      </w:r>
      <w:r>
        <w:rPr>
          <w:b/>
          <w:bCs/>
          <w:sz w:val="24"/>
          <w:szCs w:val="24"/>
          <w:lang w:val="en-US"/>
        </w:rPr>
        <w:t>Estudos Avançados</w:t>
      </w:r>
      <w:r>
        <w:rPr>
          <w:sz w:val="24"/>
          <w:szCs w:val="24"/>
          <w:lang w:val="en-US"/>
        </w:rPr>
        <w:t>, v. 19, n. 53, p. 71–86, 2005.</w:t>
      </w:r>
    </w:p>
    <w:p w14:paraId="1F97BB99">
      <w:pPr>
        <w:spacing w:line="240" w:lineRule="auto"/>
        <w:rPr>
          <w:sz w:val="24"/>
          <w:szCs w:val="24"/>
          <w:lang w:val="en-US"/>
        </w:rPr>
      </w:pPr>
    </w:p>
    <w:p w14:paraId="1B86CCFC">
      <w:pPr>
        <w:spacing w:line="240" w:lineRule="auto"/>
      </w:pPr>
      <w:r>
        <w:rPr>
          <w:sz w:val="24"/>
          <w:szCs w:val="24"/>
          <w:lang w:val="en-US"/>
        </w:rPr>
        <w:t xml:space="preserve">BRITISH GEOLOGICAL SURVEY. </w:t>
      </w:r>
      <w:r>
        <w:rPr>
          <w:i/>
          <w:iCs/>
          <w:sz w:val="24"/>
          <w:szCs w:val="24"/>
          <w:lang w:val="en-US"/>
        </w:rPr>
        <w:t>Minerals and you</w:t>
      </w:r>
      <w:r>
        <w:rPr>
          <w:sz w:val="24"/>
          <w:szCs w:val="24"/>
          <w:lang w:val="en-US"/>
        </w:rPr>
        <w:t>. Nottingham: BGS, 2020.</w:t>
      </w:r>
    </w:p>
    <w:p w14:paraId="1B5E7308">
      <w:pPr>
        <w:spacing w:line="240" w:lineRule="auto"/>
        <w:rPr>
          <w:sz w:val="24"/>
          <w:szCs w:val="24"/>
          <w:lang w:val="en-US"/>
        </w:rPr>
      </w:pPr>
    </w:p>
    <w:p w14:paraId="210180C3">
      <w:pPr>
        <w:spacing w:line="240" w:lineRule="auto"/>
      </w:pPr>
      <w:r>
        <w:rPr>
          <w:sz w:val="24"/>
          <w:szCs w:val="24"/>
          <w:lang w:val="en-US"/>
        </w:rPr>
        <w:t xml:space="preserve">EMBRAPA. Empresa Brasileira de Pesquisa Agropecuária. </w:t>
      </w:r>
      <w:r>
        <w:rPr>
          <w:b/>
          <w:bCs/>
          <w:sz w:val="24"/>
          <w:szCs w:val="24"/>
          <w:lang w:val="en-US"/>
        </w:rPr>
        <w:t>A pecuária bovina no Brasil: desafios e oportunidades</w:t>
      </w:r>
      <w:r>
        <w:rPr>
          <w:sz w:val="24"/>
          <w:szCs w:val="24"/>
          <w:lang w:val="en-US"/>
        </w:rPr>
        <w:t>. Brasília: Embrapa, 2014.</w:t>
      </w:r>
    </w:p>
    <w:p w14:paraId="7D74432C">
      <w:pPr>
        <w:spacing w:line="240" w:lineRule="auto"/>
        <w:rPr>
          <w:sz w:val="24"/>
          <w:szCs w:val="24"/>
          <w:lang w:val="en-US"/>
        </w:rPr>
      </w:pPr>
    </w:p>
    <w:p w14:paraId="489A69F8">
      <w:pPr>
        <w:spacing w:line="240" w:lineRule="auto"/>
      </w:pPr>
      <w:r>
        <w:rPr>
          <w:sz w:val="24"/>
          <w:szCs w:val="24"/>
          <w:lang w:val="en-US"/>
        </w:rPr>
        <w:t xml:space="preserve">FEARNSIDE, P. M. Deforestation in Brazilian Amazonia: History, rates and consequences. </w:t>
      </w:r>
      <w:r>
        <w:rPr>
          <w:b/>
          <w:bCs/>
          <w:sz w:val="24"/>
          <w:szCs w:val="24"/>
          <w:lang w:val="en-US"/>
        </w:rPr>
        <w:t>Conservation Biology</w:t>
      </w:r>
      <w:r>
        <w:rPr>
          <w:sz w:val="24"/>
          <w:szCs w:val="24"/>
          <w:lang w:val="en-US"/>
        </w:rPr>
        <w:t>, v. 19, n. 3, p. 680–688, 2005.</w:t>
      </w:r>
    </w:p>
    <w:p w14:paraId="0FCA7C50">
      <w:pPr>
        <w:spacing w:line="240" w:lineRule="auto"/>
        <w:rPr>
          <w:sz w:val="24"/>
          <w:szCs w:val="24"/>
          <w:lang w:val="en-US"/>
        </w:rPr>
      </w:pPr>
    </w:p>
    <w:p w14:paraId="03351F5E">
      <w:pPr>
        <w:spacing w:line="240" w:lineRule="auto"/>
      </w:pPr>
      <w:r>
        <w:rPr>
          <w:sz w:val="24"/>
          <w:szCs w:val="24"/>
        </w:rPr>
        <w:t xml:space="preserve">FREITAS JÚNIOR, Adirson Maciel de; BARROS, Pedro Henrique Batista de. A expansão da pecuária para a Amazônia Legal: externalidades espaciais, acesso ao mercado de crédito e intensificação do sistema produtivo. </w:t>
      </w:r>
      <w:r>
        <w:rPr>
          <w:b/>
          <w:bCs/>
          <w:sz w:val="24"/>
          <w:szCs w:val="24"/>
        </w:rPr>
        <w:t>Nova Economia</w:t>
      </w:r>
      <w:r>
        <w:rPr>
          <w:sz w:val="24"/>
          <w:szCs w:val="24"/>
        </w:rPr>
        <w:t>, v. 31, n. 1, p. 303-333, 2021.</w:t>
      </w:r>
    </w:p>
    <w:p w14:paraId="35830BA8">
      <w:pPr>
        <w:spacing w:line="240" w:lineRule="auto"/>
        <w:rPr>
          <w:sz w:val="24"/>
          <w:szCs w:val="24"/>
          <w:lang w:val="en-US"/>
        </w:rPr>
      </w:pPr>
    </w:p>
    <w:p w14:paraId="074E3F8A">
      <w:pPr>
        <w:spacing w:line="240" w:lineRule="auto"/>
      </w:pPr>
      <w:r>
        <w:rPr>
          <w:sz w:val="24"/>
          <w:szCs w:val="24"/>
          <w:lang w:val="en-US"/>
        </w:rPr>
        <w:t xml:space="preserve">HOMMA, A. K. O. </w:t>
      </w:r>
      <w:r>
        <w:rPr>
          <w:b/>
          <w:bCs/>
          <w:sz w:val="24"/>
          <w:szCs w:val="24"/>
          <w:lang w:val="en-US"/>
        </w:rPr>
        <w:t>Amazônia: Meio século de políticas públicas, desenvolvimento e meio ambiente</w:t>
      </w:r>
      <w:r>
        <w:rPr>
          <w:sz w:val="24"/>
          <w:szCs w:val="24"/>
          <w:lang w:val="en-US"/>
        </w:rPr>
        <w:t>. Brasília: Embrapa, 2014.</w:t>
      </w:r>
    </w:p>
    <w:p w14:paraId="199770FC">
      <w:pPr>
        <w:spacing w:line="240" w:lineRule="auto"/>
        <w:rPr>
          <w:sz w:val="24"/>
          <w:szCs w:val="24"/>
          <w:lang w:val="en-US"/>
        </w:rPr>
      </w:pPr>
    </w:p>
    <w:p w14:paraId="541D33D7">
      <w:pPr>
        <w:spacing w:line="240" w:lineRule="auto"/>
      </w:pPr>
      <w:r>
        <w:rPr>
          <w:sz w:val="24"/>
          <w:szCs w:val="24"/>
          <w:lang w:val="en-US"/>
        </w:rPr>
        <w:t xml:space="preserve">IBGE. </w:t>
      </w:r>
      <w:r>
        <w:rPr>
          <w:b/>
          <w:bCs/>
          <w:sz w:val="24"/>
          <w:szCs w:val="24"/>
          <w:lang w:val="en-US"/>
        </w:rPr>
        <w:t>Pesquisa da Pecuária Municipal</w:t>
      </w:r>
      <w:r>
        <w:rPr>
          <w:i/>
          <w:iCs/>
          <w:sz w:val="24"/>
          <w:szCs w:val="24"/>
          <w:lang w:val="en-US"/>
        </w:rPr>
        <w:t xml:space="preserve"> 2023</w:t>
      </w:r>
      <w:r>
        <w:rPr>
          <w:sz w:val="24"/>
          <w:szCs w:val="24"/>
          <w:lang w:val="en-US"/>
        </w:rPr>
        <w:t>. Instituto Brasileiro de Geografia e Estatística, 2023.</w:t>
      </w:r>
    </w:p>
    <w:p w14:paraId="47DE081E">
      <w:pPr>
        <w:spacing w:line="240" w:lineRule="auto"/>
        <w:rPr>
          <w:sz w:val="24"/>
          <w:szCs w:val="24"/>
          <w:lang w:val="en-US"/>
        </w:rPr>
      </w:pPr>
    </w:p>
    <w:p w14:paraId="51B83310">
      <w:pPr>
        <w:spacing w:line="240" w:lineRule="auto"/>
      </w:pPr>
      <w:r>
        <w:rPr>
          <w:sz w:val="24"/>
          <w:szCs w:val="24"/>
          <w:lang w:val="en-US"/>
        </w:rPr>
        <w:t xml:space="preserve">INPE. Projeto PRODES </w:t>
      </w:r>
      <w:r>
        <w:rPr>
          <w:i/>
          <w:iCs/>
          <w:sz w:val="24"/>
          <w:szCs w:val="24"/>
          <w:lang w:val="en-US"/>
        </w:rPr>
        <w:t xml:space="preserve">– </w:t>
      </w:r>
      <w:r>
        <w:rPr>
          <w:b/>
          <w:bCs/>
          <w:sz w:val="24"/>
          <w:szCs w:val="24"/>
          <w:lang w:val="en-US"/>
        </w:rPr>
        <w:t>Monitoramento do Desmatamento da Amazônia Legal por Satélite.</w:t>
      </w:r>
      <w:r>
        <w:rPr>
          <w:sz w:val="24"/>
          <w:szCs w:val="24"/>
          <w:lang w:val="en-US"/>
        </w:rPr>
        <w:t xml:space="preserve"> Instituto Nacional de Pesquisas Espaciais, 2023.</w:t>
      </w:r>
    </w:p>
    <w:p w14:paraId="53CA04A3">
      <w:pPr>
        <w:spacing w:line="240" w:lineRule="auto"/>
        <w:rPr>
          <w:sz w:val="24"/>
          <w:szCs w:val="24"/>
          <w:lang w:val="en-US"/>
        </w:rPr>
      </w:pPr>
    </w:p>
    <w:p w14:paraId="379EA21F">
      <w:pPr>
        <w:spacing w:line="240" w:lineRule="auto"/>
      </w:pPr>
      <w:r>
        <w:rPr>
          <w:sz w:val="24"/>
          <w:szCs w:val="24"/>
          <w:lang w:val="en-US"/>
        </w:rPr>
        <w:t xml:space="preserve">IPCC. </w:t>
      </w:r>
      <w:r>
        <w:rPr>
          <w:b/>
          <w:bCs/>
          <w:sz w:val="24"/>
          <w:szCs w:val="24"/>
          <w:lang w:val="en-US"/>
        </w:rPr>
        <w:t>Climate Change 2021: The Physical Science Basis</w:t>
      </w:r>
      <w:r>
        <w:rPr>
          <w:sz w:val="24"/>
          <w:szCs w:val="24"/>
          <w:lang w:val="en-US"/>
        </w:rPr>
        <w:t>. Cambridge: Cambridge University Press, 2021.</w:t>
      </w:r>
    </w:p>
    <w:p w14:paraId="5B6ADF04">
      <w:pPr>
        <w:spacing w:line="240" w:lineRule="auto"/>
        <w:rPr>
          <w:sz w:val="24"/>
          <w:szCs w:val="24"/>
          <w:lang w:val="en-US"/>
        </w:rPr>
      </w:pPr>
    </w:p>
    <w:p w14:paraId="00F1C4E6">
      <w:pPr>
        <w:spacing w:line="240" w:lineRule="auto"/>
      </w:pPr>
      <w:r>
        <w:rPr>
          <w:sz w:val="24"/>
          <w:szCs w:val="24"/>
          <w:lang w:val="en-US"/>
        </w:rPr>
        <w:t xml:space="preserve">JENSEN, John R. </w:t>
      </w:r>
      <w:r>
        <w:rPr>
          <w:b/>
          <w:bCs/>
          <w:sz w:val="24"/>
          <w:szCs w:val="24"/>
          <w:lang w:val="en-US"/>
        </w:rPr>
        <w:t>Introductory Digital Image Processing: A Remote Sensing Perspective</w:t>
      </w:r>
      <w:r>
        <w:rPr>
          <w:sz w:val="24"/>
          <w:szCs w:val="24"/>
          <w:lang w:val="en-US"/>
        </w:rPr>
        <w:t>. 4. ed. Boston: Pearson, 2015.</w:t>
      </w:r>
    </w:p>
    <w:p w14:paraId="271EB64C">
      <w:pPr>
        <w:spacing w:line="240" w:lineRule="auto"/>
        <w:rPr>
          <w:sz w:val="24"/>
          <w:szCs w:val="24"/>
          <w:lang w:val="en-US"/>
        </w:rPr>
      </w:pPr>
    </w:p>
    <w:p w14:paraId="07910CE9">
      <w:pPr>
        <w:spacing w:line="240" w:lineRule="auto"/>
      </w:pPr>
      <w:r>
        <w:rPr>
          <w:sz w:val="24"/>
          <w:szCs w:val="24"/>
        </w:rPr>
        <w:t>MAPBIOMAS.</w:t>
      </w:r>
      <w:r>
        <w:rPr>
          <w:b/>
          <w:bCs/>
          <w:sz w:val="24"/>
          <w:szCs w:val="24"/>
        </w:rPr>
        <w:t xml:space="preserve"> Relatório Anual de Uso e Cobertura da Terra no Brasil – Coleção 8</w:t>
      </w:r>
      <w:r>
        <w:rPr>
          <w:sz w:val="24"/>
          <w:szCs w:val="24"/>
        </w:rPr>
        <w:t>. São Paulo: MapBiomas, 2023.</w:t>
      </w:r>
    </w:p>
    <w:p w14:paraId="743425EB">
      <w:pPr>
        <w:spacing w:line="240" w:lineRule="auto"/>
        <w:rPr>
          <w:sz w:val="24"/>
          <w:szCs w:val="24"/>
          <w:lang w:val="en-US"/>
        </w:rPr>
      </w:pPr>
    </w:p>
    <w:p w14:paraId="7D780864">
      <w:pPr>
        <w:spacing w:line="240" w:lineRule="auto"/>
      </w:pPr>
      <w:r>
        <w:rPr>
          <w:sz w:val="24"/>
          <w:szCs w:val="24"/>
          <w:lang w:val="en-US"/>
        </w:rPr>
        <w:t xml:space="preserve">MIRANDA, Poliana W.; RUIZ, Irene C.; VERÍSSIMO, Adalberto. </w:t>
      </w:r>
      <w:r>
        <w:rPr>
          <w:i/>
          <w:iCs/>
          <w:sz w:val="24"/>
          <w:szCs w:val="24"/>
          <w:lang w:val="en-US"/>
        </w:rPr>
        <w:t xml:space="preserve">Amazônia 2030: </w:t>
      </w:r>
      <w:r>
        <w:rPr>
          <w:b/>
          <w:bCs/>
          <w:sz w:val="24"/>
          <w:szCs w:val="24"/>
          <w:lang w:val="en-US"/>
        </w:rPr>
        <w:t>Mineração e Desenvolvimento Sustentável</w:t>
      </w:r>
      <w:r>
        <w:rPr>
          <w:sz w:val="24"/>
          <w:szCs w:val="24"/>
          <w:lang w:val="en-US"/>
        </w:rPr>
        <w:t>. Belém: Imazon, 2019.</w:t>
      </w:r>
    </w:p>
    <w:p w14:paraId="4E8FF55B">
      <w:pPr>
        <w:spacing w:line="240" w:lineRule="auto"/>
        <w:rPr>
          <w:sz w:val="24"/>
          <w:szCs w:val="24"/>
          <w:lang w:val="en-US"/>
        </w:rPr>
      </w:pPr>
    </w:p>
    <w:p w14:paraId="5041D4C8">
      <w:pPr>
        <w:spacing w:line="240" w:lineRule="auto"/>
      </w:pPr>
      <w:r>
        <w:rPr>
          <w:sz w:val="24"/>
          <w:szCs w:val="24"/>
          <w:lang w:val="en-US"/>
        </w:rPr>
        <w:t xml:space="preserve">PONTIUS, R. G.; SHUSAS, E.; MCEACHERN, M. Detecting important categorical land changes while accounting for persistence. </w:t>
      </w:r>
      <w:r>
        <w:rPr>
          <w:b/>
          <w:bCs/>
          <w:sz w:val="24"/>
          <w:szCs w:val="24"/>
          <w:lang w:val="en-US"/>
        </w:rPr>
        <w:t>Agriculture, Ecosystems &amp; Environment</w:t>
      </w:r>
      <w:r>
        <w:rPr>
          <w:sz w:val="24"/>
          <w:szCs w:val="24"/>
          <w:lang w:val="en-US"/>
        </w:rPr>
        <w:t>, v. 101, n. 2–3, p. 251–268, fev. 2004.</w:t>
      </w:r>
    </w:p>
    <w:p w14:paraId="04E4FDA0">
      <w:pPr>
        <w:spacing w:line="240" w:lineRule="auto"/>
        <w:rPr>
          <w:sz w:val="24"/>
          <w:szCs w:val="24"/>
          <w:lang w:val="en-US"/>
        </w:rPr>
      </w:pPr>
    </w:p>
    <w:p w14:paraId="224D8C9D">
      <w:pPr>
        <w:spacing w:line="240" w:lineRule="auto"/>
      </w:pPr>
      <w:r>
        <w:rPr>
          <w:sz w:val="24"/>
          <w:szCs w:val="24"/>
          <w:lang w:val="en-US"/>
        </w:rPr>
        <w:t xml:space="preserve">RIBEIRO, V.; COE, M. T.; BRANDO, P.; SHIMABUKURO, Y. Spatial and temporal dynamics of soybean expansion in the Brazilian Amazon. </w:t>
      </w:r>
      <w:r>
        <w:rPr>
          <w:b/>
          <w:bCs/>
          <w:sz w:val="24"/>
          <w:szCs w:val="24"/>
          <w:lang w:val="en-US"/>
        </w:rPr>
        <w:t>Regional Environmental Change</w:t>
      </w:r>
      <w:r>
        <w:rPr>
          <w:sz w:val="24"/>
          <w:szCs w:val="24"/>
          <w:lang w:val="en-US"/>
        </w:rPr>
        <w:t>, v. 18, p. 2343–2355, 2018.</w:t>
      </w:r>
    </w:p>
    <w:p w14:paraId="2D5F446D">
      <w:pPr>
        <w:spacing w:line="240" w:lineRule="auto"/>
        <w:rPr>
          <w:sz w:val="24"/>
          <w:szCs w:val="24"/>
          <w:lang w:val="en-US"/>
        </w:rPr>
      </w:pPr>
    </w:p>
    <w:p w14:paraId="650A46B8">
      <w:pPr>
        <w:spacing w:line="240" w:lineRule="auto"/>
      </w:pPr>
      <w:r>
        <w:rPr>
          <w:sz w:val="24"/>
          <w:szCs w:val="24"/>
          <w:lang w:val="en-US"/>
        </w:rPr>
        <w:t xml:space="preserve">SONTER, L. J. et al. Mining drives extensive deforestation in the Brazilian Amazon. </w:t>
      </w:r>
      <w:r>
        <w:rPr>
          <w:b/>
          <w:bCs/>
          <w:sz w:val="24"/>
          <w:szCs w:val="24"/>
          <w:lang w:val="en-US"/>
        </w:rPr>
        <w:t>Nature Communications</w:t>
      </w:r>
      <w:r>
        <w:rPr>
          <w:sz w:val="24"/>
          <w:szCs w:val="24"/>
          <w:lang w:val="en-US"/>
        </w:rPr>
        <w:t>, v. 8, p. 1–7, 2017.</w:t>
      </w:r>
    </w:p>
    <w:p w14:paraId="15461746">
      <w:pPr>
        <w:spacing w:line="240" w:lineRule="auto"/>
        <w:rPr>
          <w:sz w:val="24"/>
          <w:szCs w:val="24"/>
          <w:lang w:val="en-US"/>
        </w:rPr>
      </w:pPr>
    </w:p>
    <w:p w14:paraId="74D32050">
      <w:pPr>
        <w:widowControl/>
        <w:spacing w:after="160" w:line="240" w:lineRule="auto"/>
      </w:pPr>
      <w:r>
        <w:rPr>
          <w:sz w:val="24"/>
          <w:szCs w:val="24"/>
          <w:lang w:val="en-US"/>
        </w:rPr>
        <w:t xml:space="preserve">WALKER, R. et al. Deforestation and cattle ranching in the Brazilian Amazon. </w:t>
      </w:r>
      <w:r>
        <w:rPr>
          <w:b/>
          <w:bCs/>
          <w:sz w:val="24"/>
          <w:szCs w:val="24"/>
          <w:lang w:val="en-US"/>
        </w:rPr>
        <w:t>World Development</w:t>
      </w:r>
      <w:r>
        <w:rPr>
          <w:sz w:val="24"/>
          <w:szCs w:val="24"/>
          <w:lang w:val="en-US"/>
        </w:rPr>
        <w:t>, v. 28, n. 4, p. 683–699, 2000.</w:t>
      </w:r>
    </w:p>
    <w:sectPr>
      <w:headerReference r:id="rId3" w:type="default"/>
      <w:footerReference r:id="rId4" w:type="default"/>
      <w:type w:val="continuous"/>
      <w:pgSz w:w="11910" w:h="16840"/>
      <w:pgMar w:top="1701" w:right="1134" w:bottom="1134" w:left="1701"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Wingdings">
    <w:panose1 w:val="05000000000000000000"/>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7E4EA">
    <w:pPr>
      <w:pStyle w:val="7"/>
    </w:pPr>
    <w:r>
      <w:drawing>
        <wp:anchor distT="0" distB="0" distL="114300" distR="114300" simplePos="0" relativeHeight="251659264" behindDoc="0" locked="0" layoutInCell="1" allowOverlap="1">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5861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191770"/>
                  </a:xfrm>
                  <a:prstGeom prst="rect">
                    <a:avLst/>
                  </a:prstGeom>
                  <a:noFill/>
                </pic:spPr>
              </pic:pic>
            </a:graphicData>
          </a:graphic>
        </wp:anchor>
      </w:drawing>
    </w:r>
    <w:r>
      <w:drawing>
        <wp:anchor distT="0" distB="0" distL="114300" distR="114300" simplePos="0" relativeHeight="251661312" behindDoc="0" locked="0" layoutInCell="1" allowOverlap="1">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48022" name="Imagem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419100" cy="241935"/>
                  </a:xfrm>
                  <a:prstGeom prst="rect">
                    <a:avLst/>
                  </a:prstGeom>
                  <a:noFill/>
                </pic:spPr>
              </pic:pic>
            </a:graphicData>
          </a:graphic>
        </wp:anchor>
      </w:drawing>
    </w:r>
    <w:r>
      <w:drawing>
        <wp:anchor distT="0" distB="0" distL="114300" distR="114300" simplePos="0" relativeHeight="251660288" behindDoc="0" locked="0" layoutInCell="1" allowOverlap="1">
          <wp:simplePos x="0" y="0"/>
          <wp:positionH relativeFrom="column">
            <wp:posOffset>850900</wp:posOffset>
          </wp:positionH>
          <wp:positionV relativeFrom="page">
            <wp:posOffset>10152380</wp:posOffset>
          </wp:positionV>
          <wp:extent cx="1231265" cy="384175"/>
          <wp:effectExtent l="0" t="0" r="6985" b="0"/>
          <wp:wrapSquare wrapText="bothSides"/>
          <wp:docPr id="12187888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88818" name="Imagem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231265" cy="384175"/>
                  </a:xfrm>
                  <a:prstGeom prst="rect">
                    <a:avLst/>
                  </a:prstGeom>
                  <a:noFill/>
                </pic:spPr>
              </pic:pic>
            </a:graphicData>
          </a:graphic>
        </wp:anchor>
      </w:drawing>
    </w:r>
    <w:r>
      <w:drawing>
        <wp:anchor distT="0" distB="0" distL="114300" distR="114300" simplePos="0" relativeHeight="251662336" behindDoc="0" locked="0" layoutInCell="1" allowOverlap="1">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691315" name="Imagem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42290" cy="384175"/>
                  </a:xfrm>
                  <a:prstGeom prst="rect">
                    <a:avLst/>
                  </a:prstGeom>
                  <a:noFill/>
                </pic:spPr>
              </pic:pic>
            </a:graphicData>
          </a:graphic>
        </wp:anchor>
      </w:drawing>
    </w:r>
    <w:r>
      <w:drawing>
        <wp:anchor distT="0" distB="0" distL="114300" distR="114300" simplePos="0" relativeHeight="251663360" behindDoc="0" locked="0" layoutInCell="1" allowOverlap="1">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3973" name="Imagem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914400" cy="353695"/>
                  </a:xfrm>
                  <a:prstGeom prst="rect">
                    <a:avLst/>
                  </a:prstGeom>
                  <a:noFill/>
                </pic:spPr>
              </pic:pic>
            </a:graphicData>
          </a:graphic>
        </wp:anchor>
      </w:drawing>
    </w:r>
    <w:r>
      <w:drawing>
        <wp:anchor distT="0" distB="0" distL="114300" distR="114300" simplePos="0" relativeHeight="251664384" behindDoc="0" locked="0" layoutInCell="1" allowOverlap="1">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7140" name="Imagem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6285" cy="335280"/>
                  </a:xfrm>
                  <a:prstGeom prst="rect">
                    <a:avLst/>
                  </a:prstGeom>
                  <a:noFill/>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287E9">
    <w:pPr>
      <w:pStyle w:val="6"/>
      <w:jc w:val="center"/>
    </w:pPr>
    <w:r>
      <w:drawing>
        <wp:inline distT="0" distB="0" distL="0" distR="0">
          <wp:extent cx="3253105" cy="1610360"/>
          <wp:effectExtent l="0" t="0" r="0" b="0"/>
          <wp:docPr id="1222666444"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 descr="Logotipo, nome da empresa&#10;&#10;O conteúdo gerado por IA pode estar incorreto."/>
                  <pic:cNvPicPr>
                    <a:picLocks noChangeAspect="1"/>
                  </pic:cNvPicPr>
                </pic:nvPicPr>
                <pic:blipFill>
                  <a:blip r:embed="rId1">
                    <a:extLst>
                      <a:ext uri="{28A0092B-C50C-407E-A947-70E740481C1C}">
                        <a14:useLocalDpi xmlns:a14="http://schemas.microsoft.com/office/drawing/2010/main" val="0"/>
                      </a:ext>
                    </a:extLst>
                  </a:blip>
                  <a:srcRect l="2865" t="33993" r="-2172" b="26667"/>
                  <a:stretch>
                    <a:fillRect/>
                  </a:stretch>
                </pic:blipFill>
                <pic:spPr>
                  <a:xfrm>
                    <a:off x="0" y="0"/>
                    <a:ext cx="3253105" cy="1610360"/>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3E993"/>
    <w:multiLevelType w:val="multilevel"/>
    <w:tmpl w:val="02C3E9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hyphenationZone w:val="425"/>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854"/>
    <w:rsid w:val="000436E8"/>
    <w:rsid w:val="00050A98"/>
    <w:rsid w:val="000A1B4B"/>
    <w:rsid w:val="000E6288"/>
    <w:rsid w:val="00177FDF"/>
    <w:rsid w:val="001D4FA5"/>
    <w:rsid w:val="002F3682"/>
    <w:rsid w:val="0031571D"/>
    <w:rsid w:val="00340B04"/>
    <w:rsid w:val="003949CE"/>
    <w:rsid w:val="004B3806"/>
    <w:rsid w:val="004E409D"/>
    <w:rsid w:val="005A1575"/>
    <w:rsid w:val="00645BA4"/>
    <w:rsid w:val="006A2F63"/>
    <w:rsid w:val="007701A8"/>
    <w:rsid w:val="007A3840"/>
    <w:rsid w:val="007B00E2"/>
    <w:rsid w:val="00836259"/>
    <w:rsid w:val="009613E3"/>
    <w:rsid w:val="00962C69"/>
    <w:rsid w:val="00AB0558"/>
    <w:rsid w:val="00CE2B1C"/>
    <w:rsid w:val="00D941EF"/>
    <w:rsid w:val="00DB5854"/>
    <w:rsid w:val="00DE04D3"/>
    <w:rsid w:val="00E16D36"/>
    <w:rsid w:val="00F46632"/>
    <w:rsid w:val="00F948A7"/>
    <w:rsid w:val="01C5F06F"/>
    <w:rsid w:val="02B34E7E"/>
    <w:rsid w:val="02B6F33E"/>
    <w:rsid w:val="02CB0506"/>
    <w:rsid w:val="03A7A373"/>
    <w:rsid w:val="03B6DC7E"/>
    <w:rsid w:val="042CDBF5"/>
    <w:rsid w:val="046DA68E"/>
    <w:rsid w:val="04B89410"/>
    <w:rsid w:val="04FE5F7A"/>
    <w:rsid w:val="052BFCB0"/>
    <w:rsid w:val="05E5FF1D"/>
    <w:rsid w:val="05F59661"/>
    <w:rsid w:val="0666D197"/>
    <w:rsid w:val="06808912"/>
    <w:rsid w:val="0684B708"/>
    <w:rsid w:val="06C71182"/>
    <w:rsid w:val="06C9A787"/>
    <w:rsid w:val="071E3446"/>
    <w:rsid w:val="072877EB"/>
    <w:rsid w:val="073B9020"/>
    <w:rsid w:val="07BA9FC5"/>
    <w:rsid w:val="0854C919"/>
    <w:rsid w:val="087AA6B5"/>
    <w:rsid w:val="08982557"/>
    <w:rsid w:val="08FFA2C4"/>
    <w:rsid w:val="09478BC3"/>
    <w:rsid w:val="09B5887A"/>
    <w:rsid w:val="0A662D2C"/>
    <w:rsid w:val="0B2B806E"/>
    <w:rsid w:val="0B59FE27"/>
    <w:rsid w:val="0B6B5181"/>
    <w:rsid w:val="0B8428FC"/>
    <w:rsid w:val="0BCF611C"/>
    <w:rsid w:val="0BEF3AD4"/>
    <w:rsid w:val="0C27D8EC"/>
    <w:rsid w:val="0D5C252A"/>
    <w:rsid w:val="0D94544D"/>
    <w:rsid w:val="0DF1DF48"/>
    <w:rsid w:val="0E982E2D"/>
    <w:rsid w:val="0EE0B17B"/>
    <w:rsid w:val="0F1137CB"/>
    <w:rsid w:val="0F44F438"/>
    <w:rsid w:val="0FB1B962"/>
    <w:rsid w:val="0FD7ECD0"/>
    <w:rsid w:val="0FF32AEA"/>
    <w:rsid w:val="10F5B5EE"/>
    <w:rsid w:val="1101EF86"/>
    <w:rsid w:val="11089AB6"/>
    <w:rsid w:val="11220A41"/>
    <w:rsid w:val="112F683F"/>
    <w:rsid w:val="115C6F04"/>
    <w:rsid w:val="115D7599"/>
    <w:rsid w:val="11D85918"/>
    <w:rsid w:val="12743BAE"/>
    <w:rsid w:val="131F325F"/>
    <w:rsid w:val="13F72CBF"/>
    <w:rsid w:val="14347C22"/>
    <w:rsid w:val="1447B0F7"/>
    <w:rsid w:val="144CE571"/>
    <w:rsid w:val="145EEC9B"/>
    <w:rsid w:val="15A6D5EF"/>
    <w:rsid w:val="15BC43D0"/>
    <w:rsid w:val="166F47BE"/>
    <w:rsid w:val="16D16E37"/>
    <w:rsid w:val="171DE30C"/>
    <w:rsid w:val="173B3520"/>
    <w:rsid w:val="17E123CE"/>
    <w:rsid w:val="18070310"/>
    <w:rsid w:val="186E89C2"/>
    <w:rsid w:val="18F9D965"/>
    <w:rsid w:val="19376EF9"/>
    <w:rsid w:val="1965E18A"/>
    <w:rsid w:val="19D50D47"/>
    <w:rsid w:val="1A17A9D1"/>
    <w:rsid w:val="1AC0F7C1"/>
    <w:rsid w:val="1AFEE2D4"/>
    <w:rsid w:val="1B11DDC1"/>
    <w:rsid w:val="1B8254F7"/>
    <w:rsid w:val="1B8563B2"/>
    <w:rsid w:val="1B915B10"/>
    <w:rsid w:val="1BD488FE"/>
    <w:rsid w:val="1BDA8761"/>
    <w:rsid w:val="1C148E0C"/>
    <w:rsid w:val="1C3A20DE"/>
    <w:rsid w:val="1CD6A4F9"/>
    <w:rsid w:val="1D02B46F"/>
    <w:rsid w:val="1EBA801E"/>
    <w:rsid w:val="1EDD68EF"/>
    <w:rsid w:val="1F030BF6"/>
    <w:rsid w:val="1F48F9FB"/>
    <w:rsid w:val="1F6AEBB4"/>
    <w:rsid w:val="1FBF831B"/>
    <w:rsid w:val="201E8DCC"/>
    <w:rsid w:val="208DD7B8"/>
    <w:rsid w:val="20ACB3FC"/>
    <w:rsid w:val="21239DAD"/>
    <w:rsid w:val="213CA03E"/>
    <w:rsid w:val="219E6405"/>
    <w:rsid w:val="21D4CBDA"/>
    <w:rsid w:val="21D75344"/>
    <w:rsid w:val="22605F20"/>
    <w:rsid w:val="229E61C5"/>
    <w:rsid w:val="22D48F5C"/>
    <w:rsid w:val="2334CBEF"/>
    <w:rsid w:val="23411307"/>
    <w:rsid w:val="2429B49A"/>
    <w:rsid w:val="2594F45D"/>
    <w:rsid w:val="25A7F53D"/>
    <w:rsid w:val="25B96D2B"/>
    <w:rsid w:val="25D2D0FE"/>
    <w:rsid w:val="25D2ED2B"/>
    <w:rsid w:val="26164ED2"/>
    <w:rsid w:val="268628A0"/>
    <w:rsid w:val="26BCBB32"/>
    <w:rsid w:val="26CA9E36"/>
    <w:rsid w:val="26DFD4D6"/>
    <w:rsid w:val="2780BA07"/>
    <w:rsid w:val="2782260F"/>
    <w:rsid w:val="27FE8CF3"/>
    <w:rsid w:val="2839086E"/>
    <w:rsid w:val="29330FD9"/>
    <w:rsid w:val="295796D6"/>
    <w:rsid w:val="2A9E7298"/>
    <w:rsid w:val="2AC99F72"/>
    <w:rsid w:val="2B20534F"/>
    <w:rsid w:val="2B47E657"/>
    <w:rsid w:val="2B5864BD"/>
    <w:rsid w:val="2B6DD284"/>
    <w:rsid w:val="2C917A9D"/>
    <w:rsid w:val="2D884D80"/>
    <w:rsid w:val="2D935CBF"/>
    <w:rsid w:val="2DC8074B"/>
    <w:rsid w:val="2DF07FE6"/>
    <w:rsid w:val="2E35F18D"/>
    <w:rsid w:val="2EB3A4A5"/>
    <w:rsid w:val="2F17C4FB"/>
    <w:rsid w:val="2F420075"/>
    <w:rsid w:val="2FB624D4"/>
    <w:rsid w:val="302DD9A4"/>
    <w:rsid w:val="3037C4E0"/>
    <w:rsid w:val="3079EBD3"/>
    <w:rsid w:val="30E27EE9"/>
    <w:rsid w:val="31ED12B8"/>
    <w:rsid w:val="32436AC0"/>
    <w:rsid w:val="32495F01"/>
    <w:rsid w:val="32560547"/>
    <w:rsid w:val="329700A0"/>
    <w:rsid w:val="32DF9768"/>
    <w:rsid w:val="335839D1"/>
    <w:rsid w:val="35A2C53F"/>
    <w:rsid w:val="3689EB2A"/>
    <w:rsid w:val="368D0253"/>
    <w:rsid w:val="37414887"/>
    <w:rsid w:val="3758FDE1"/>
    <w:rsid w:val="37DA8C79"/>
    <w:rsid w:val="381AA67E"/>
    <w:rsid w:val="388A2323"/>
    <w:rsid w:val="38946CC1"/>
    <w:rsid w:val="38B1A489"/>
    <w:rsid w:val="38BF6418"/>
    <w:rsid w:val="38E48089"/>
    <w:rsid w:val="3927650D"/>
    <w:rsid w:val="3943C1BD"/>
    <w:rsid w:val="3975C7B5"/>
    <w:rsid w:val="39AA05E1"/>
    <w:rsid w:val="3A76D5F6"/>
    <w:rsid w:val="3A8CB442"/>
    <w:rsid w:val="3ACC1627"/>
    <w:rsid w:val="3B1675F3"/>
    <w:rsid w:val="3B35A8FE"/>
    <w:rsid w:val="3B85FDCF"/>
    <w:rsid w:val="3CA5BB89"/>
    <w:rsid w:val="3CBB5D0A"/>
    <w:rsid w:val="3D1CCC9B"/>
    <w:rsid w:val="3DC6B130"/>
    <w:rsid w:val="3E337A75"/>
    <w:rsid w:val="3E7DCC9A"/>
    <w:rsid w:val="3E87782E"/>
    <w:rsid w:val="3EB43A07"/>
    <w:rsid w:val="3EFE06DD"/>
    <w:rsid w:val="3F1080F3"/>
    <w:rsid w:val="3F21E9A3"/>
    <w:rsid w:val="3FB6B176"/>
    <w:rsid w:val="4006110D"/>
    <w:rsid w:val="40B4D579"/>
    <w:rsid w:val="40E1484B"/>
    <w:rsid w:val="413E8947"/>
    <w:rsid w:val="41784722"/>
    <w:rsid w:val="428DCCEA"/>
    <w:rsid w:val="4295ECD6"/>
    <w:rsid w:val="429B0F3E"/>
    <w:rsid w:val="42B810BB"/>
    <w:rsid w:val="42C662D4"/>
    <w:rsid w:val="42D84199"/>
    <w:rsid w:val="4347D6DF"/>
    <w:rsid w:val="4392926F"/>
    <w:rsid w:val="43A09867"/>
    <w:rsid w:val="43AFF876"/>
    <w:rsid w:val="43D7C24C"/>
    <w:rsid w:val="44C7A696"/>
    <w:rsid w:val="44C96872"/>
    <w:rsid w:val="4532E98D"/>
    <w:rsid w:val="46061271"/>
    <w:rsid w:val="46449648"/>
    <w:rsid w:val="469FE049"/>
    <w:rsid w:val="46D5AB68"/>
    <w:rsid w:val="4709499B"/>
    <w:rsid w:val="471DD2D5"/>
    <w:rsid w:val="47B67B1C"/>
    <w:rsid w:val="481F4E07"/>
    <w:rsid w:val="484BD720"/>
    <w:rsid w:val="48803C4F"/>
    <w:rsid w:val="48CFADAE"/>
    <w:rsid w:val="49AA5945"/>
    <w:rsid w:val="4A2E82B6"/>
    <w:rsid w:val="4AD0619F"/>
    <w:rsid w:val="4AFF86E0"/>
    <w:rsid w:val="4C07F51D"/>
    <w:rsid w:val="4C4D775E"/>
    <w:rsid w:val="4C7545B5"/>
    <w:rsid w:val="4CD47820"/>
    <w:rsid w:val="4D0EC614"/>
    <w:rsid w:val="4D0F7EF6"/>
    <w:rsid w:val="4EB3F619"/>
    <w:rsid w:val="4ED19330"/>
    <w:rsid w:val="4F6A1B01"/>
    <w:rsid w:val="4F7F6984"/>
    <w:rsid w:val="509E4250"/>
    <w:rsid w:val="50ECAB19"/>
    <w:rsid w:val="5137A7F7"/>
    <w:rsid w:val="517E6B02"/>
    <w:rsid w:val="51A7AA57"/>
    <w:rsid w:val="52194D9D"/>
    <w:rsid w:val="522E9D5C"/>
    <w:rsid w:val="52BEB8FF"/>
    <w:rsid w:val="531469A2"/>
    <w:rsid w:val="532841C9"/>
    <w:rsid w:val="53399A87"/>
    <w:rsid w:val="5343D8C0"/>
    <w:rsid w:val="53608CCE"/>
    <w:rsid w:val="5389D030"/>
    <w:rsid w:val="53BEF64C"/>
    <w:rsid w:val="54AF8AB5"/>
    <w:rsid w:val="54E294EE"/>
    <w:rsid w:val="55053EB1"/>
    <w:rsid w:val="5558EAAD"/>
    <w:rsid w:val="556B55BC"/>
    <w:rsid w:val="563A0216"/>
    <w:rsid w:val="56DBFB55"/>
    <w:rsid w:val="57A4BE6B"/>
    <w:rsid w:val="582749F8"/>
    <w:rsid w:val="5859AD51"/>
    <w:rsid w:val="590FF19F"/>
    <w:rsid w:val="592CCE3E"/>
    <w:rsid w:val="593BDC22"/>
    <w:rsid w:val="5969A310"/>
    <w:rsid w:val="597833F3"/>
    <w:rsid w:val="59B49F19"/>
    <w:rsid w:val="59F49435"/>
    <w:rsid w:val="59F6C094"/>
    <w:rsid w:val="5A4E8510"/>
    <w:rsid w:val="5A82F6C2"/>
    <w:rsid w:val="5A857BB7"/>
    <w:rsid w:val="5AF33AE5"/>
    <w:rsid w:val="5B0FF663"/>
    <w:rsid w:val="5BCDCB95"/>
    <w:rsid w:val="5BCDEDCD"/>
    <w:rsid w:val="5BD17174"/>
    <w:rsid w:val="5C3B09B8"/>
    <w:rsid w:val="5C8B924D"/>
    <w:rsid w:val="5CA7DD61"/>
    <w:rsid w:val="5CC7F873"/>
    <w:rsid w:val="5CD3ACFE"/>
    <w:rsid w:val="5D5AD4CE"/>
    <w:rsid w:val="5D5B908B"/>
    <w:rsid w:val="5D7D1D78"/>
    <w:rsid w:val="5D857591"/>
    <w:rsid w:val="5DBFFA57"/>
    <w:rsid w:val="5DF98E45"/>
    <w:rsid w:val="5E3BB3D6"/>
    <w:rsid w:val="5F7E2FF2"/>
    <w:rsid w:val="5F8D0577"/>
    <w:rsid w:val="5FD6510A"/>
    <w:rsid w:val="600308E8"/>
    <w:rsid w:val="603A5D6E"/>
    <w:rsid w:val="60704304"/>
    <w:rsid w:val="6081094B"/>
    <w:rsid w:val="61D8A045"/>
    <w:rsid w:val="6252AF9A"/>
    <w:rsid w:val="62CD50B3"/>
    <w:rsid w:val="630FAA7E"/>
    <w:rsid w:val="633425DF"/>
    <w:rsid w:val="635E9F60"/>
    <w:rsid w:val="638D90E4"/>
    <w:rsid w:val="63B62E57"/>
    <w:rsid w:val="6499CA67"/>
    <w:rsid w:val="64D7D585"/>
    <w:rsid w:val="6595774A"/>
    <w:rsid w:val="6680574D"/>
    <w:rsid w:val="66BE5734"/>
    <w:rsid w:val="66F0D9CA"/>
    <w:rsid w:val="6736449B"/>
    <w:rsid w:val="67501255"/>
    <w:rsid w:val="67EABBB6"/>
    <w:rsid w:val="67FBF446"/>
    <w:rsid w:val="680E68F1"/>
    <w:rsid w:val="6897DE55"/>
    <w:rsid w:val="691272A0"/>
    <w:rsid w:val="691BA68D"/>
    <w:rsid w:val="697CB7B7"/>
    <w:rsid w:val="6AA8ED50"/>
    <w:rsid w:val="6AD1DD5F"/>
    <w:rsid w:val="6AD64226"/>
    <w:rsid w:val="6AF008C9"/>
    <w:rsid w:val="6B9ACEE2"/>
    <w:rsid w:val="6CEF0ABA"/>
    <w:rsid w:val="6D4F325B"/>
    <w:rsid w:val="6DB84013"/>
    <w:rsid w:val="6DC1079F"/>
    <w:rsid w:val="6DF28231"/>
    <w:rsid w:val="6F1FABFE"/>
    <w:rsid w:val="6F53E0F3"/>
    <w:rsid w:val="6FE7CDA0"/>
    <w:rsid w:val="707F8EE4"/>
    <w:rsid w:val="70899BE0"/>
    <w:rsid w:val="7094CA54"/>
    <w:rsid w:val="7110EAE2"/>
    <w:rsid w:val="7126D8D6"/>
    <w:rsid w:val="72100D19"/>
    <w:rsid w:val="721A5884"/>
    <w:rsid w:val="721F1261"/>
    <w:rsid w:val="7240F29B"/>
    <w:rsid w:val="72980861"/>
    <w:rsid w:val="72DD8255"/>
    <w:rsid w:val="73569996"/>
    <w:rsid w:val="73715FEC"/>
    <w:rsid w:val="737F2DA4"/>
    <w:rsid w:val="7390C1FF"/>
    <w:rsid w:val="7396C855"/>
    <w:rsid w:val="74CEFBA5"/>
    <w:rsid w:val="74D65B14"/>
    <w:rsid w:val="74DCD96D"/>
    <w:rsid w:val="76A3F035"/>
    <w:rsid w:val="76CB55E4"/>
    <w:rsid w:val="7727CE2D"/>
    <w:rsid w:val="7797997E"/>
    <w:rsid w:val="77F1FD47"/>
    <w:rsid w:val="7805106A"/>
    <w:rsid w:val="780D8AF7"/>
    <w:rsid w:val="784F3AE8"/>
    <w:rsid w:val="78BCF22F"/>
    <w:rsid w:val="7990DB31"/>
    <w:rsid w:val="79F792BF"/>
    <w:rsid w:val="7A3E158D"/>
    <w:rsid w:val="7AA97B1C"/>
    <w:rsid w:val="7AD8C39C"/>
    <w:rsid w:val="7B4B7248"/>
    <w:rsid w:val="7CB6E28D"/>
    <w:rsid w:val="7D0691BE"/>
    <w:rsid w:val="7D55B961"/>
    <w:rsid w:val="7D92CA62"/>
    <w:rsid w:val="7F55474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0"/>
    <w:pPr>
      <w:widowControl w:val="0"/>
      <w:autoSpaceDE w:val="0"/>
      <w:autoSpaceDN w:val="0"/>
    </w:pPr>
    <w:rPr>
      <w:rFonts w:ascii="Times New Roman" w:hAnsi="Times New Roman" w:eastAsia="Times New Roman" w:cs="Times New Roman"/>
      <w:sz w:val="22"/>
      <w:szCs w:val="22"/>
      <w:lang w:val="pt-BR"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unhideWhenUsed/>
    <w:qFormat/>
    <w:uiPriority w:val="99"/>
    <w:rPr>
      <w:color w:val="0000FF"/>
      <w:u w:val="single"/>
    </w:rPr>
  </w:style>
  <w:style w:type="paragraph" w:styleId="5">
    <w:name w:val="Body Text"/>
    <w:basedOn w:val="1"/>
    <w:qFormat/>
    <w:uiPriority w:val="1"/>
    <w:rPr>
      <w:sz w:val="24"/>
      <w:szCs w:val="24"/>
    </w:rPr>
  </w:style>
  <w:style w:type="paragraph" w:styleId="6">
    <w:name w:val="header"/>
    <w:basedOn w:val="1"/>
    <w:link w:val="12"/>
    <w:unhideWhenUsed/>
    <w:uiPriority w:val="99"/>
    <w:pPr>
      <w:tabs>
        <w:tab w:val="center" w:pos="4252"/>
        <w:tab w:val="right" w:pos="8504"/>
      </w:tabs>
    </w:pPr>
  </w:style>
  <w:style w:type="paragraph" w:styleId="7">
    <w:name w:val="footer"/>
    <w:basedOn w:val="1"/>
    <w:link w:val="13"/>
    <w:unhideWhenUsed/>
    <w:qFormat/>
    <w:uiPriority w:val="99"/>
    <w:pPr>
      <w:tabs>
        <w:tab w:val="center" w:pos="4252"/>
        <w:tab w:val="right" w:pos="8504"/>
      </w:tabs>
    </w:pPr>
  </w:style>
  <w:style w:type="table" w:styleId="8">
    <w:name w:val="Table Grid"/>
    <w:basedOn w:val="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20"/>
      <w:ind w:left="821" w:right="115" w:hanging="360"/>
      <w:jc w:val="both"/>
    </w:pPr>
  </w:style>
  <w:style w:type="paragraph" w:customStyle="1" w:styleId="11">
    <w:name w:val="Table Paragraph"/>
    <w:basedOn w:val="1"/>
    <w:qFormat/>
    <w:uiPriority w:val="1"/>
  </w:style>
  <w:style w:type="character" w:customStyle="1" w:styleId="12">
    <w:name w:val="Cabeçalho Char"/>
    <w:link w:val="6"/>
    <w:uiPriority w:val="99"/>
    <w:rPr>
      <w:rFonts w:ascii="Times New Roman" w:hAnsi="Times New Roman" w:eastAsia="Times New Roman" w:cs="Times New Roman"/>
      <w:lang w:val="pt-PT"/>
    </w:rPr>
  </w:style>
  <w:style w:type="character" w:customStyle="1" w:styleId="13">
    <w:name w:val="Rodapé Char"/>
    <w:link w:val="7"/>
    <w:qFormat/>
    <w:uiPriority w:val="99"/>
    <w:rPr>
      <w:rFonts w:ascii="Times New Roman" w:hAnsi="Times New Roman" w:eastAsia="Times New Roman" w:cs="Times New Roman"/>
      <w:lang w:val="pt-PT"/>
    </w:rPr>
  </w:style>
  <w:style w:type="table" w:customStyle="1" w:styleId="14">
    <w:name w:val="Plain Table 2"/>
    <w:basedOn w:val="9"/>
    <w:qFormat/>
    <w:uiPriority w:val="42"/>
    <w:tblPr>
      <w:tblBorders>
        <w:top w:val="single" w:color="7E7E7E" w:themeColor="text1" w:themeTint="80" w:sz="4" w:space="0"/>
        <w:bottom w:val="single" w:color="7E7E7E" w:themeColor="text1" w:themeTint="80" w:sz="4" w:space="0"/>
      </w:tblBorders>
      <w:tblCellMar>
        <w:left w:w="108"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0.png"/><Relationship Id="rId7"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1FD53-4F72-4846-AC01-BADD297505CE}">
  <ds:schemaRefs/>
</ds:datastoreItem>
</file>

<file path=docProps/app.xml><?xml version="1.0" encoding="utf-8"?>
<Properties xmlns="http://schemas.openxmlformats.org/officeDocument/2006/extended-properties" xmlns:vt="http://schemas.openxmlformats.org/officeDocument/2006/docPropsVTypes">
  <Template>Normal.dotm</Template>
  <Pages>10</Pages>
  <TotalTime>0</TotalTime>
  <ScaleCrop>false</ScaleCrop>
  <LinksUpToDate>false</LinksUpToDate>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2025-11-28T00:38:00Z</dcterms:created>
  <dc:creator>Lísias Faria</dc:creator>
  <cp:lastModifiedBy>jose estumano</cp:lastModifiedBy>
  <dcterms:modified xsi:type="dcterms:W3CDTF">2025-11-28T18:56:14Z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KSOProductBuildVer">
    <vt:lpwstr>1046-12.2.0.23155</vt:lpwstr>
  </property>
  <property fmtid="{D5CDD505-2E9C-101B-9397-08002B2CF9AE}" pid="6" name="ICV">
    <vt:lpwstr>32B36F08B254494E82A162D86D83D3A9_12</vt:lpwstr>
  </property>
</Properties>
</file>