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B8B38" w14:textId="6F35D385" w:rsidR="0035150E" w:rsidRPr="00E22DDD" w:rsidRDefault="009D0168" w:rsidP="00E22DDD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B62118A" wp14:editId="7C47E812">
            <wp:extent cx="5400040" cy="1350010"/>
            <wp:effectExtent l="0" t="0" r="0" b="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28D04A" w14:textId="77777777" w:rsidR="0035150E" w:rsidRDefault="009D016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MATEMÁTICA INCLUSIVA: CONTRIBUIÇÕES DO SIMULADOR PHET CONSTRUTOR DE ÁREAS PARA A APRENDIZAGEM DA GEOMETRIA</w:t>
      </w:r>
    </w:p>
    <w:p w14:paraId="30B143E6" w14:textId="77777777" w:rsidR="0035150E" w:rsidRDefault="0035150E" w:rsidP="00E22DD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86893A" w14:textId="77777777" w:rsidR="0035150E" w:rsidRDefault="009D016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Telmo Rosa Nogueira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</w:p>
    <w:p w14:paraId="134B322A" w14:textId="77777777" w:rsidR="0035150E" w:rsidRDefault="009D016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Mestrando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UEMG</w:t>
      </w:r>
    </w:p>
    <w:p w14:paraId="46D042A9" w14:textId="77777777" w:rsidR="0035150E" w:rsidRDefault="009D016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E-mail: telmo.nogueira.uemg.t5@gmail.com</w:t>
      </w:r>
    </w:p>
    <w:p w14:paraId="3E9A1939" w14:textId="77777777" w:rsidR="0035150E" w:rsidRPr="00E22DDD" w:rsidRDefault="009D016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22DDD">
        <w:rPr>
          <w:rFonts w:ascii="Times New Roman" w:eastAsia="Times New Roman" w:hAnsi="Times New Roman" w:cs="Times New Roman"/>
          <w:sz w:val="24"/>
          <w:szCs w:val="24"/>
          <w:lang w:val="en-US"/>
        </w:rPr>
        <w:t>Lattes: http://lattes.cnpq.br/8573954741511646</w:t>
      </w:r>
    </w:p>
    <w:p w14:paraId="38C672A7" w14:textId="77777777" w:rsidR="0035150E" w:rsidRPr="00E22DDD" w:rsidRDefault="0035150E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0294D6E" w14:textId="77777777" w:rsidR="0035150E" w:rsidRDefault="009D016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Fernanda de Jesus Costa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</w:p>
    <w:p w14:paraId="3B8C49DB" w14:textId="77777777" w:rsidR="0035150E" w:rsidRDefault="009D016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Mestrado em Educação Inclusiva - PROFEI – UEMG</w:t>
      </w:r>
    </w:p>
    <w:p w14:paraId="0FFA28AF" w14:textId="77777777" w:rsidR="0035150E" w:rsidRDefault="009D016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E-mail: fernanda.costa@uemg.br</w:t>
      </w:r>
    </w:p>
    <w:p w14:paraId="0AF7780D" w14:textId="77777777" w:rsidR="0035150E" w:rsidRPr="00E22DDD" w:rsidRDefault="009D016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22DDD">
        <w:rPr>
          <w:rFonts w:ascii="Times New Roman" w:eastAsia="Times New Roman" w:hAnsi="Times New Roman" w:cs="Times New Roman"/>
          <w:sz w:val="24"/>
          <w:szCs w:val="24"/>
          <w:lang w:val="en-US"/>
        </w:rPr>
        <w:t>Lattes: http://lattes.cnpq.br/938775268829</w:t>
      </w:r>
    </w:p>
    <w:p w14:paraId="52C54038" w14:textId="77777777" w:rsidR="0035150E" w:rsidRDefault="009D0168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Eixo 1. Educação Inclusiva, Acessibilidade e Tecnologias Assistivas.</w:t>
      </w:r>
    </w:p>
    <w:p w14:paraId="743D98B4" w14:textId="77777777" w:rsidR="0035150E" w:rsidRDefault="0035150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1834F6" w14:textId="77777777" w:rsidR="0035150E" w:rsidRDefault="009D0168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Palavras-chave: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educação inclusiva; tecnologias digitais; geometria; matemática; formação docente.</w:t>
      </w:r>
    </w:p>
    <w:p w14:paraId="0DB4C013" w14:textId="77777777" w:rsidR="0035150E" w:rsidRDefault="009D0168">
      <w:pPr>
        <w:spacing w:before="240" w:after="24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6A39525F" w14:textId="77777777" w:rsidR="0035150E" w:rsidRDefault="009D016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ensino de Geometria é essencial para o raciocínio lógico e a resolução de problemas, mas apresenta altos índices de dificuldades, devido à predominância de metodologias expositivas e à fragilidade na formação docente (SANTOS, 2014). Isso leva a práticas centradas na memorização, pouco eficazes para aprendizagens significativas.</w:t>
      </w:r>
    </w:p>
    <w:p w14:paraId="61953949" w14:textId="78ECEDD9" w:rsidR="0035150E" w:rsidRDefault="009D016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perspectiva inclusiva exige considerar a heterogeneidade dos estudantes, compreendendo inclusão como equidade de acesso, permanência e sucesso (MANTOAN, 2015; CARVALHO, 2010). Nesse cenário, tecnologias digitais como os simuladores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oferecem alternativas que estimulam protagonismo e engajamento. O Construtor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de Áreas permite manipular figuras geométricas virtuais, visualizar relações e construir conceitos de forma ativa (VELASCO, 2024).</w:t>
      </w:r>
      <w:r w:rsidR="00E22D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 estudo busca responder: como o uso do simulador Construtor de Áreas pode favorecer a aprendizagem de conceitos geométricos em uma perspectiva inclusiva? Para isso, analisa suas contribuições para o ensino da Geometria, verificando impactos na compreensão conceitual, na motivação e na formação docente no uso de tecnologias digitais.</w:t>
      </w:r>
    </w:p>
    <w:p w14:paraId="34C391B8" w14:textId="77777777" w:rsidR="0035150E" w:rsidRDefault="009D0168">
      <w:pPr>
        <w:pStyle w:val="Ttulo4"/>
        <w:keepNext w:val="0"/>
        <w:keepLines w:val="0"/>
        <w:spacing w:line="360" w:lineRule="auto"/>
        <w:rPr>
          <w:rFonts w:ascii="Times New Roman" w:eastAsia="Times New Roman" w:hAnsi="Times New Roman" w:cs="Times New Roman"/>
        </w:rPr>
      </w:pPr>
      <w:bookmarkStart w:id="0" w:name="_heading=h.4wk54a2383ql" w:colFirst="0" w:colLast="0"/>
      <w:bookmarkEnd w:id="0"/>
      <w:r>
        <w:rPr>
          <w:rFonts w:ascii="Times New Roman" w:eastAsia="Times New Roman" w:hAnsi="Times New Roman" w:cs="Times New Roman"/>
        </w:rPr>
        <w:t>FUNDAMENTOS TEÓRICOS</w:t>
      </w:r>
    </w:p>
    <w:p w14:paraId="7361CF51" w14:textId="699FD042" w:rsidR="0035150E" w:rsidRDefault="009D016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educação inclusiva, entendida como paradigma que valoriza a diversidade e assegura escolarização de qualidade, exige transformações pedagógicas e sólida formação docente (MANTOAN, 2015; GLAT, 2007; CARVALHO, 2010). No Brasil, políticas como a PNEE-EI (2008) e a LBI (2015) reforçam esse compromisso.</w:t>
      </w:r>
      <w:r w:rsidR="00E22D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Metodologias ativas associadas a tecnologias digitais permitem transformar conteúdos abstratos em experiências interativas, favorecendo a aprendizagem (FERREIRA, 2024). Os simuladores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exemplificam essa abordagem, oferecendo manipulação de variáveis e construção de conceitos de modo visual e dinâmico. Estudos mostram benefícios em contextos inclusivos, como maior autonomia e confiança de estudantes com TEA (SILVA et al., 2024).</w:t>
      </w:r>
    </w:p>
    <w:p w14:paraId="6D9B6A49" w14:textId="6EE8ACB0" w:rsidR="0035150E" w:rsidRDefault="009D016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Vygotsky (1998) destaca o papel mediador das ferramentas culturais,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Ausubel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(2003) evidencia a importância dos conhecimentos prévios e Moran (2012) ressalta o potencial dos recursos digitais para experiências diversificadas. Para eficácia, entretanto, tais recursos devem integrar sequências didáticas estruturadas (HOMA; GROENWALD, 2016). Nesse sentido, a Engenharia Didática (BROUSSEAU, 1997; ARTIGUE, 1992) fornece bases metodológicas para alinhar teoria e prática, adaptando-se a diferentes perfis estudantis (SAMPAIO; BITTENCOURT, 2024).</w:t>
      </w:r>
      <w:r w:rsidR="00E22D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Assim, o Construtor de Áreas pode atuar como ferramenta mediadora da aprendizagem significativa e da construção social do conhecimento, consolidando-se como estratégia eficaz para o ensino de Geometria inclusiva.</w:t>
      </w:r>
    </w:p>
    <w:p w14:paraId="7E49551F" w14:textId="77777777" w:rsidR="0035150E" w:rsidRDefault="009D0168">
      <w:pPr>
        <w:pStyle w:val="Ttulo4"/>
        <w:keepNext w:val="0"/>
        <w:keepLines w:val="0"/>
        <w:spacing w:line="360" w:lineRule="auto"/>
        <w:jc w:val="both"/>
        <w:rPr>
          <w:rFonts w:ascii="Times New Roman" w:eastAsia="Times New Roman" w:hAnsi="Times New Roman" w:cs="Times New Roman"/>
        </w:rPr>
      </w:pPr>
      <w:bookmarkStart w:id="1" w:name="_heading=h.1yblbx8jvpu" w:colFirst="0" w:colLast="0"/>
      <w:bookmarkEnd w:id="1"/>
      <w:r>
        <w:rPr>
          <w:rFonts w:ascii="Times New Roman" w:eastAsia="Times New Roman" w:hAnsi="Times New Roman" w:cs="Times New Roman"/>
        </w:rPr>
        <w:t>METODOLOGIA</w:t>
      </w:r>
    </w:p>
    <w:p w14:paraId="52FB20FE" w14:textId="0DDEC872" w:rsidR="0035150E" w:rsidRDefault="009D0168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Trata-se de uma pesquisa aplicada, qualitativa e propositiva, com foco na elaboração de um guia metodológico para professores de Matemática. A metodologia incluiu revisão bibliográfica nacional e internacional sobre ensino de Geometria, inclusão e tecnologias digitais (SANTOS, 2014; VELASCO, 2024), além da análise do simulador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Construtor de Áreas como recurso central.</w:t>
      </w:r>
      <w:r w:rsidR="00E22D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 simulador, gratuito e online, oferece os ambientes “Explorar”, para construção de figuras a partir de blocos virtuais, e “Jogo”, com desafios progressivos em formato lúdico. A mediação docente orienta desde construções simples até comparações entre figuras com mesma área e diferentes perímetros, estimulando formulação de hipóteses e definição de regras gerais.</w:t>
      </w:r>
      <w:r w:rsidR="00E22D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 recurso mostrou-se especialmente útil para estudantes com deficiência intelectual e TEA, por favorecer autonomia, motivação e aprendizagem significativa. O guia proposto inclui etapas como diagnóstico inicial, exploração orientada e atividades adaptadas com recursos visuais e digitais.</w:t>
      </w:r>
    </w:p>
    <w:sdt>
      <w:sdtPr>
        <w:tag w:val="goog_rdk_0"/>
        <w:id w:val="-1975926282"/>
        <w:lock w:val="contentLocked"/>
      </w:sdtPr>
      <w:sdtEndPr/>
      <w:sdtContent>
        <w:tbl>
          <w:tblPr>
            <w:tblStyle w:val="a2"/>
            <w:tblW w:w="8504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8504"/>
          </w:tblGrid>
          <w:tr w:rsidR="0035150E" w14:paraId="77DC1A6E" w14:textId="77777777">
            <w:tc>
              <w:tcPr>
                <w:tcW w:w="8504" w:type="dxa"/>
                <w:tcBorders>
                  <w:top w:val="single" w:sz="8" w:space="0" w:color="FFFFFF"/>
                  <w:left w:val="single" w:sz="8" w:space="0" w:color="FFFFFF"/>
                  <w:bottom w:val="single" w:sz="8" w:space="0" w:color="FFFFFF"/>
                  <w:righ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2D81E0" w14:textId="77777777" w:rsidR="0035150E" w:rsidRDefault="009D016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</w:rPr>
                  <w:drawing>
                    <wp:inline distT="114300" distB="114300" distL="114300" distR="114300" wp14:anchorId="6D9EEE00" wp14:editId="051D72C2">
                      <wp:extent cx="3777827" cy="1802433"/>
                      <wp:effectExtent l="0" t="0" r="0" b="0"/>
                      <wp:docPr id="9" name="image2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jp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77827" cy="1802433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35150E" w14:paraId="55141FF0" w14:textId="77777777">
            <w:tc>
              <w:tcPr>
                <w:tcW w:w="8504" w:type="dxa"/>
                <w:tcBorders>
                  <w:top w:val="single" w:sz="8" w:space="0" w:color="FFFFFF"/>
                  <w:left w:val="single" w:sz="8" w:space="0" w:color="FFFFFF"/>
                  <w:bottom w:val="single" w:sz="8" w:space="0" w:color="FFFFFF"/>
                  <w:righ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EEE6AB" w14:textId="77777777" w:rsidR="0035150E" w:rsidRDefault="009D016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Figura 1. Escolha do nível com Construtor de Área</w:t>
                </w:r>
              </w:p>
            </w:tc>
          </w:tr>
        </w:tbl>
      </w:sdtContent>
    </w:sdt>
    <w:p w14:paraId="001A10A9" w14:textId="77777777" w:rsidR="0035150E" w:rsidRDefault="0035150E">
      <w:pPr>
        <w:shd w:val="clear" w:color="auto" w:fill="FFFFFF"/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tag w:val="goog_rdk_1"/>
        <w:id w:val="1263661981"/>
        <w:lock w:val="contentLocked"/>
      </w:sdtPr>
      <w:sdtEndPr/>
      <w:sdtContent>
        <w:tbl>
          <w:tblPr>
            <w:tblStyle w:val="a3"/>
            <w:tblW w:w="8504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8504"/>
          </w:tblGrid>
          <w:tr w:rsidR="0035150E" w14:paraId="5CEFD44A" w14:textId="77777777">
            <w:trPr>
              <w:jc w:val="center"/>
            </w:trPr>
            <w:tc>
              <w:tcPr>
                <w:tcW w:w="8504" w:type="dxa"/>
                <w:tcBorders>
                  <w:top w:val="single" w:sz="8" w:space="0" w:color="FFFFFF"/>
                  <w:left w:val="single" w:sz="8" w:space="0" w:color="FFFFFF"/>
                  <w:bottom w:val="single" w:sz="8" w:space="0" w:color="FFFFFF"/>
                  <w:righ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FDC80A" w14:textId="77777777" w:rsidR="0035150E" w:rsidRDefault="009D016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</w:rPr>
                  <w:drawing>
                    <wp:inline distT="114300" distB="114300" distL="114300" distR="114300" wp14:anchorId="55C84096" wp14:editId="7E629899">
                      <wp:extent cx="4152278" cy="2408321"/>
                      <wp:effectExtent l="0" t="0" r="0" b="0"/>
                      <wp:docPr id="8" name="image1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jp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152278" cy="2408321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35150E" w14:paraId="37EF11F7" w14:textId="77777777">
            <w:trPr>
              <w:jc w:val="center"/>
            </w:trPr>
            <w:tc>
              <w:tcPr>
                <w:tcW w:w="8504" w:type="dxa"/>
                <w:tcBorders>
                  <w:top w:val="single" w:sz="8" w:space="0" w:color="FFFFFF"/>
                  <w:left w:val="single" w:sz="8" w:space="0" w:color="FFFFFF"/>
                  <w:bottom w:val="single" w:sz="8" w:space="0" w:color="FFFFFF"/>
                  <w:righ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B00CFC" w14:textId="77777777" w:rsidR="0035150E" w:rsidRDefault="009D0168">
                <w:pPr>
                  <w:widowControl w:val="0"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Figura 2. Construtor de Área dando feedback.</w:t>
                </w:r>
              </w:p>
            </w:tc>
          </w:tr>
        </w:tbl>
      </w:sdtContent>
    </w:sdt>
    <w:p w14:paraId="6990F24A" w14:textId="77777777" w:rsidR="0035150E" w:rsidRDefault="0035150E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tag w:val="goog_rdk_2"/>
        <w:id w:val="688816031"/>
        <w:lock w:val="contentLocked"/>
      </w:sdtPr>
      <w:sdtEndPr/>
      <w:sdtContent>
        <w:tbl>
          <w:tblPr>
            <w:tblStyle w:val="a4"/>
            <w:tblW w:w="8504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8504"/>
          </w:tblGrid>
          <w:tr w:rsidR="0035150E" w14:paraId="79539EEE" w14:textId="77777777">
            <w:trPr>
              <w:jc w:val="center"/>
            </w:trPr>
            <w:tc>
              <w:tcPr>
                <w:tcW w:w="8504" w:type="dxa"/>
                <w:tcBorders>
                  <w:top w:val="single" w:sz="8" w:space="0" w:color="FFFFFF"/>
                  <w:left w:val="single" w:sz="8" w:space="0" w:color="FFFFFF"/>
                  <w:bottom w:val="single" w:sz="8" w:space="0" w:color="FFFFFF"/>
                  <w:righ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ABFE9C" w14:textId="77777777" w:rsidR="0035150E" w:rsidRDefault="009D016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</w:rPr>
                  <w:drawing>
                    <wp:inline distT="114300" distB="114300" distL="114300" distR="114300" wp14:anchorId="27852B2E" wp14:editId="3AD65875">
                      <wp:extent cx="4304801" cy="2492701"/>
                      <wp:effectExtent l="0" t="0" r="0" b="0"/>
                      <wp:docPr id="10" name="image3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3.jp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04801" cy="2492701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35150E" w14:paraId="12B0FA4A" w14:textId="77777777">
            <w:trPr>
              <w:jc w:val="center"/>
            </w:trPr>
            <w:tc>
              <w:tcPr>
                <w:tcW w:w="8504" w:type="dxa"/>
                <w:tcBorders>
                  <w:top w:val="single" w:sz="8" w:space="0" w:color="FFFFFF"/>
                  <w:left w:val="single" w:sz="8" w:space="0" w:color="FFFFFF"/>
                  <w:bottom w:val="single" w:sz="8" w:space="0" w:color="FFFFFF"/>
                  <w:righ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804FED5" w14:textId="77777777" w:rsidR="0035150E" w:rsidRDefault="009D0168">
                <w:pPr>
                  <w:widowControl w:val="0"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Figura 3. Construtor de Área explorando cálculo mental.</w:t>
                </w:r>
              </w:p>
            </w:tc>
          </w:tr>
        </w:tbl>
      </w:sdtContent>
    </w:sdt>
    <w:p w14:paraId="2A7E923F" w14:textId="77777777" w:rsidR="0035150E" w:rsidRDefault="0035150E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63DE07" w14:textId="77777777" w:rsidR="0035150E" w:rsidRDefault="009D0168">
      <w:pPr>
        <w:pStyle w:val="Ttulo4"/>
        <w:keepNext w:val="0"/>
        <w:keepLines w:val="0"/>
        <w:spacing w:line="360" w:lineRule="auto"/>
        <w:jc w:val="both"/>
        <w:rPr>
          <w:rFonts w:ascii="Times New Roman" w:eastAsia="Times New Roman" w:hAnsi="Times New Roman" w:cs="Times New Roman"/>
        </w:rPr>
      </w:pPr>
      <w:bookmarkStart w:id="2" w:name="_heading=h.734lpb2b37ga" w:colFirst="0" w:colLast="0"/>
      <w:bookmarkEnd w:id="2"/>
      <w:r>
        <w:rPr>
          <w:rFonts w:ascii="Times New Roman" w:eastAsia="Times New Roman" w:hAnsi="Times New Roman" w:cs="Times New Roman"/>
        </w:rPr>
        <w:t>ANÁLISE DE DADOS</w:t>
      </w:r>
    </w:p>
    <w:p w14:paraId="1D496712" w14:textId="77777777" w:rsidR="0035150E" w:rsidRDefault="009D016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resultados indicam que o Construtor de Áreas favorece a compreensão de conceitos geométricos e amplia o engajamento. A exploração inicial destacou-se pelo caráter lúdico, descrito pelos alunos como “aprender brincando”. Nas tarefas orientadas, houve maior facilidade em relacionar unidades de medida, compor figuras complexas e calcular áreas, confirmando a relevância da aprendizagem significativa (AUSUBEL, 2003).</w:t>
      </w:r>
    </w:p>
    <w:p w14:paraId="435C2245" w14:textId="4F162749" w:rsidR="0035150E" w:rsidRDefault="009D016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Estudantes com dificuldades avançaram em seu próprio ritmo, corrigindo erros e validando hipóteses, o que remete à zona de desenvolvimento proximal (VYGOTSKY, 1998). Nos jogos digitais, destacou-se a clareza na diferenciação entre área e perímetro e o incentivo ao trabalho colaborativo, que fortaleceu a dimensão social da aprendizagem.</w:t>
      </w:r>
      <w:r w:rsidR="00E22D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 ponto de vista inclusivo, o simulador atendeu a diferentes estilos de aprendizagem, reforçando autonomia discente e o papel mediador do professor. Assim, confirma-se o potencial dos recursos digitais, quando planejados intencionalmente, como aliados no ensino de Geometria inclusiva.</w:t>
      </w:r>
    </w:p>
    <w:p w14:paraId="409B8489" w14:textId="77777777" w:rsidR="0035150E" w:rsidRDefault="009D0168">
      <w:pPr>
        <w:pStyle w:val="Ttulo4"/>
        <w:keepNext w:val="0"/>
        <w:keepLines w:val="0"/>
        <w:spacing w:line="360" w:lineRule="auto"/>
        <w:jc w:val="both"/>
        <w:rPr>
          <w:rFonts w:ascii="Times New Roman" w:eastAsia="Times New Roman" w:hAnsi="Times New Roman" w:cs="Times New Roman"/>
        </w:rPr>
      </w:pPr>
      <w:bookmarkStart w:id="3" w:name="_heading=h.9tv2p2knlu9n" w:colFirst="0" w:colLast="0"/>
      <w:bookmarkEnd w:id="3"/>
      <w:r>
        <w:rPr>
          <w:rFonts w:ascii="Times New Roman" w:eastAsia="Times New Roman" w:hAnsi="Times New Roman" w:cs="Times New Roman"/>
        </w:rPr>
        <w:t>CONCLUSÕES</w:t>
      </w:r>
    </w:p>
    <w:p w14:paraId="76CAB5A9" w14:textId="250F4C1C" w:rsidR="0035150E" w:rsidRDefault="009D0168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Conclui-se que o Construtor de Áreas constitui estratégia pedagógica eficaz, ao favorecer a compreensão conceitual, estimular motivação e apoiar práticas inclusivas. O recurso contribuiu para reduzir a ansiedade em relação à Matemática e atendeu a diferentes estilos de aprendizagem, reafirmando o princípio da equidade escolar.</w:t>
      </w:r>
      <w:r w:rsidR="00E22D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Os resultados, contudo, têm caráter ilustrativo, pois baseiam-se em proposta metodológica sem coleta empírica. Recomenda-se a realização de pesquisas futuras que validem e ampliem as evidências em diferentes níveis de ensino e contextos.</w:t>
      </w:r>
      <w:r w:rsidR="00E22D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Destaca-se a necessidade de formação docente que integre criticamente tecnologias digitais, ampliando seu potencial para inclusão e aprendizagem significativa. Sugere-se também investigar simuladores em outros conteúdos matemáticos e perfis de estudantes, consolidando práticas inovadoras para a escola contemporânea.</w:t>
      </w:r>
    </w:p>
    <w:p w14:paraId="59A8102D" w14:textId="77777777" w:rsidR="0035150E" w:rsidRPr="00E22DDD" w:rsidRDefault="009D0168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22DD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REFERÊNCIAS</w:t>
      </w:r>
    </w:p>
    <w:p w14:paraId="1F816AE3" w14:textId="77777777" w:rsidR="0035150E" w:rsidRPr="00E22DDD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22D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ARTIGUE, Michèle. </w:t>
      </w:r>
      <w:r w:rsidRPr="00E22DD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Didactic engineering</w:t>
      </w:r>
      <w:r w:rsidRPr="00E22D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In: DOUADY, R.; MERCIER, A. (Eds.). </w:t>
      </w:r>
      <w:r w:rsidRPr="00E22DD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Research in </w:t>
      </w:r>
      <w:proofErr w:type="spellStart"/>
      <w:r w:rsidRPr="00E22DD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didactique</w:t>
      </w:r>
      <w:proofErr w:type="spellEnd"/>
      <w:r w:rsidRPr="00E22DD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of mathematics: selected papers</w:t>
      </w:r>
      <w:r w:rsidRPr="00E22D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Grenoble: La Pensée </w:t>
      </w:r>
      <w:proofErr w:type="spellStart"/>
      <w:r w:rsidRPr="00E22DDD">
        <w:rPr>
          <w:rFonts w:ascii="Times New Roman" w:eastAsia="Times New Roman" w:hAnsi="Times New Roman" w:cs="Times New Roman"/>
          <w:sz w:val="24"/>
          <w:szCs w:val="24"/>
          <w:lang w:val="en-US"/>
        </w:rPr>
        <w:t>Sauvage</w:t>
      </w:r>
      <w:proofErr w:type="spellEnd"/>
      <w:r w:rsidRPr="00E22DDD">
        <w:rPr>
          <w:rFonts w:ascii="Times New Roman" w:eastAsia="Times New Roman" w:hAnsi="Times New Roman" w:cs="Times New Roman"/>
          <w:sz w:val="24"/>
          <w:szCs w:val="24"/>
          <w:lang w:val="en-US"/>
        </w:rPr>
        <w:t>, 1992. p. 41-65.</w:t>
      </w:r>
    </w:p>
    <w:p w14:paraId="42EE4674" w14:textId="77777777" w:rsidR="0035150E" w:rsidRPr="00BA2E17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AUSUBEL, David Paul.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Aquisição e retenção de conhecimentos: uma perspectiva cognitiva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A2E17">
        <w:rPr>
          <w:rFonts w:ascii="Times New Roman" w:eastAsia="Times New Roman" w:hAnsi="Times New Roman" w:cs="Times New Roman"/>
          <w:sz w:val="24"/>
          <w:szCs w:val="24"/>
        </w:rPr>
        <w:t>Lisboa: Plátano, 2003.</w:t>
      </w:r>
    </w:p>
    <w:p w14:paraId="4A11AEA0" w14:textId="77777777" w:rsidR="0035150E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00BA2E17">
        <w:rPr>
          <w:rFonts w:ascii="Times New Roman" w:eastAsia="Times New Roman" w:hAnsi="Times New Roman" w:cs="Times New Roman"/>
          <w:sz w:val="24"/>
          <w:szCs w:val="24"/>
        </w:rPr>
        <w:t xml:space="preserve">BROUSSEAU, Guy. </w:t>
      </w:r>
      <w:r w:rsidRPr="00E22DD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Theory of didactical situations in mathematics: </w:t>
      </w:r>
      <w:proofErr w:type="spellStart"/>
      <w:r w:rsidRPr="00E22DD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didactique</w:t>
      </w:r>
      <w:proofErr w:type="spellEnd"/>
      <w:r w:rsidRPr="00E22DD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des </w:t>
      </w:r>
      <w:proofErr w:type="spellStart"/>
      <w:r w:rsidRPr="00E22DD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mathématiques</w:t>
      </w:r>
      <w:proofErr w:type="spellEnd"/>
      <w:r w:rsidRPr="00E22DDD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, 1970–1990</w:t>
      </w:r>
      <w:r w:rsidRPr="00E22D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Dordrecht: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Kluwer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Academic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Publishers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1997.</w:t>
      </w:r>
    </w:p>
    <w:p w14:paraId="7683F72B" w14:textId="77777777" w:rsidR="0035150E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CARVALHO, Rosita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Educação inclusiva: com os pingos nos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Porto Alegre: Mediação, 2010.</w:t>
      </w:r>
    </w:p>
    <w:p w14:paraId="3FAE1213" w14:textId="77777777" w:rsidR="0035150E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GLAT, Rosana.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Educação inclusiva: cultura e cotidiano escolar</w:t>
      </w:r>
      <w:r>
        <w:rPr>
          <w:rFonts w:ascii="Times New Roman" w:eastAsia="Times New Roman" w:hAnsi="Times New Roman" w:cs="Times New Roman"/>
          <w:sz w:val="24"/>
          <w:szCs w:val="24"/>
        </w:rPr>
        <w:t>. Rio de Janeiro: 7 Letras, 2007.</w:t>
      </w:r>
    </w:p>
    <w:p w14:paraId="13F83AA5" w14:textId="77777777" w:rsidR="0035150E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HOMA, Ana Inês R.; GROENWALD, Cláudia L. O. Área de figuras planas com objetos de aprendizagem 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Geogebra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Revista Brasileira de Ensino de Ciência e Tecnologia</w:t>
      </w:r>
      <w:r>
        <w:rPr>
          <w:rFonts w:ascii="Times New Roman" w:eastAsia="Times New Roman" w:hAnsi="Times New Roman" w:cs="Times New Roman"/>
          <w:sz w:val="24"/>
          <w:szCs w:val="24"/>
        </w:rPr>
        <w:t>, Ponta Grossa, v. 9, n. 1, p. 123-147, jan./abr. 2016.</w:t>
      </w:r>
    </w:p>
    <w:p w14:paraId="34EE9A51" w14:textId="77777777" w:rsidR="0035150E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MANTOAN, Maria Teresa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Égler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Inclusão escolar: pontos e contrapontos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São Paulo: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Summus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2015.</w:t>
      </w:r>
    </w:p>
    <w:p w14:paraId="40A2EF1D" w14:textId="77777777" w:rsidR="0035150E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MORAN, José Manuel.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 educação que desejamos: novos desafios e como chegar lá</w:t>
      </w:r>
      <w:r>
        <w:rPr>
          <w:rFonts w:ascii="Times New Roman" w:eastAsia="Times New Roman" w:hAnsi="Times New Roman" w:cs="Times New Roman"/>
          <w:sz w:val="24"/>
          <w:szCs w:val="24"/>
        </w:rPr>
        <w:t>. Campinas: Papirus, 2012.</w:t>
      </w:r>
    </w:p>
    <w:p w14:paraId="45BC15A2" w14:textId="77777777" w:rsidR="0035150E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PHET INTERACTIVE SIMULATIONS.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University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Colorado Boulder</w:t>
      </w:r>
      <w:r>
        <w:rPr>
          <w:rFonts w:ascii="Times New Roman" w:eastAsia="Times New Roman" w:hAnsi="Times New Roman" w:cs="Times New Roman"/>
          <w:sz w:val="24"/>
          <w:szCs w:val="24"/>
        </w:rPr>
        <w:t>. Disponível em:</w:t>
      </w:r>
      <w:hyperlink r:id="rId9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https://phet.colorado.edu/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Acesso em: 1 set. 2025.</w:t>
      </w:r>
    </w:p>
    <w:p w14:paraId="5B96C97B" w14:textId="77777777" w:rsidR="0035150E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SAMPAIO, Jéssica dos Santos; BITTENCOURT, Vinicius Souza. Engenharia didática na Educação Matemática: uma revisão de artigos do portal da Capes no período de 2020 a 2024.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Revista Base Científica</w:t>
      </w:r>
      <w:r>
        <w:rPr>
          <w:rFonts w:ascii="Times New Roman" w:eastAsia="Times New Roman" w:hAnsi="Times New Roman" w:cs="Times New Roman"/>
          <w:sz w:val="24"/>
          <w:szCs w:val="24"/>
        </w:rPr>
        <w:t>, v. 3, ed. especial, p. 1-14, 2025. DOI: 10.52832/rbc568.</w:t>
      </w:r>
    </w:p>
    <w:p w14:paraId="42BC6786" w14:textId="77777777" w:rsidR="0035150E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SANTOS, Jamile Aparecida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Saulino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do. Problemas de ensino e de aprendizagem em perímetro e área de figuras planas.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REVEMAT – Revista Eletrônica de Educação Matemática</w:t>
      </w:r>
      <w:r>
        <w:rPr>
          <w:rFonts w:ascii="Times New Roman" w:eastAsia="Times New Roman" w:hAnsi="Times New Roman" w:cs="Times New Roman"/>
          <w:sz w:val="24"/>
          <w:szCs w:val="24"/>
        </w:rPr>
        <w:t>, Florianópolis, v. 9, n. 1, p. 224-238, 2014. DOI: 10.5007/1981-1322.2014v9n1p224.</w:t>
      </w:r>
    </w:p>
    <w:p w14:paraId="50DC527A" w14:textId="77777777" w:rsidR="0035150E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SILVA, Cláudia Rosane Moreira da; REIS, Danubia Cristina Alves; SILVA,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Antonia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Ozenira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da; FERREIRA, Suelen Rocha Botão; FERREIRA,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Welberth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Santos. O impacto do uso do simulador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como tecnologia assistiva no ensino de matemática para alunos autistas.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Revista Caderno Pedagógico</w:t>
      </w:r>
      <w:r>
        <w:rPr>
          <w:rFonts w:ascii="Times New Roman" w:eastAsia="Times New Roman" w:hAnsi="Times New Roman" w:cs="Times New Roman"/>
          <w:sz w:val="24"/>
          <w:szCs w:val="24"/>
        </w:rPr>
        <w:t>, Curitiba, v. 21, n. 6, p. 1-11, 2024.</w:t>
      </w:r>
    </w:p>
    <w:p w14:paraId="5F047023" w14:textId="77777777" w:rsidR="0035150E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UNIVERSITY OF COLORADO BOULDER.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Construtor de área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[Simulação interativa].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PhET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Interactive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Simulations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Colorado Boulder. Versão 1.1.36. Disponível em:</w:t>
      </w:r>
      <w:hyperlink r:id="rId11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2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https://phet.colorado.edu/sims/html/area-builder/latest/area-builder_pt_BR.html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Acesso em: 1 set. 2025.</w:t>
      </w:r>
    </w:p>
    <w:p w14:paraId="484ED298" w14:textId="77777777" w:rsidR="0035150E" w:rsidRDefault="009D0168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VELASCO, Moacir.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Proposta para ensino de matemática com o uso do simulador interativo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PhET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Colorado</w:t>
      </w:r>
      <w:r>
        <w:rPr>
          <w:rFonts w:ascii="Times New Roman" w:eastAsia="Times New Roman" w:hAnsi="Times New Roman" w:cs="Times New Roman"/>
          <w:sz w:val="24"/>
          <w:szCs w:val="24"/>
        </w:rPr>
        <w:t>. 2024. 82 f. Dissertação (Mestrado Profissional em Matemática em Rede Nacional) – Universidade Federal do Espírito Santo, Vitória, 2024.</w:t>
      </w:r>
    </w:p>
    <w:p w14:paraId="668E47B6" w14:textId="56E79C52" w:rsidR="0035150E" w:rsidRDefault="009D0168" w:rsidP="00E22DD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VYGOTSKY, Lev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Semenovich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 formação social da mente</w:t>
      </w:r>
      <w:r>
        <w:rPr>
          <w:rFonts w:ascii="Times New Roman" w:eastAsia="Times New Roman" w:hAnsi="Times New Roman" w:cs="Times New Roman"/>
          <w:sz w:val="24"/>
          <w:szCs w:val="24"/>
        </w:rPr>
        <w:t>. São Paulo: Martins Fontes, 1998.</w:t>
      </w:r>
    </w:p>
    <w:sectPr w:rsidR="0035150E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50E"/>
    <w:rsid w:val="00180087"/>
    <w:rsid w:val="0035150E"/>
    <w:rsid w:val="009D0168"/>
    <w:rsid w:val="00BA2E17"/>
    <w:rsid w:val="00E2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F905"/>
  <w15:docId w15:val="{B5200E0B-E5C5-4A73-BA39-3B521D9B6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hyperlink" Target="https://phet.colorado.edu/sims/html/area-builder/latest/area-builder_pt_BR.html?utm_source=chatgpt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hyperlink" Target="https://phet.colorado.edu/sims/html/area-builder/latest/area-builder_pt_BR.html?utm_source=chatgpt.co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het.colorado.edu/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het.colorado.edu/?utm_source=chatgpt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s8pUPzLedcmC9Exy0/gQ/PKv2g==">CgMxLjAaHwoBMBIaChgICVIUChJ0YWJsZS5yMTEwZDVob2ZnenMaHwoBMRIaChgICVIUChJ0YWJsZS5xNmhhbXY0c2U4cDMaHwoBMhIaChgICVIUChJ0YWJsZS5qMGZjOGdqYjJpZGgyDmguNHdrNTRhMjM4M3FsMg1oLjF5YmxieDhqdnB1Mg5oLjczNGxwYjJiMzdnYTIOaC45dHYycDJrbmx1OW44AHIhMTI0YW1wUmowUFhtZ296U3l3VTBXYjhSUi1CRlprdXZ3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1246</Words>
  <Characters>8115</Characters>
  <Application>Microsoft Office Word</Application>
  <DocSecurity>0</DocSecurity>
  <Lines>153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Prof Telmo</cp:lastModifiedBy>
  <cp:revision>3</cp:revision>
  <dcterms:created xsi:type="dcterms:W3CDTF">2025-07-07T16:04:00Z</dcterms:created>
  <dcterms:modified xsi:type="dcterms:W3CDTF">2025-09-08T19:18:00Z</dcterms:modified>
</cp:coreProperties>
</file>