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240" w:before="240" w:lineRule="auto"/>
        <w:jc w:val="center"/>
        <w:rPr>
          <w:rFonts w:ascii="Arial" w:cs="Arial" w:eastAsia="Arial" w:hAnsi="Arial"/>
          <w:b w:val="1"/>
        </w:rPr>
      </w:pPr>
      <w:r w:rsidDel="00000000" w:rsidR="00000000" w:rsidRPr="00000000">
        <w:rPr>
          <w:rFonts w:ascii="Arial" w:cs="Arial" w:eastAsia="Arial" w:hAnsi="Arial"/>
          <w:b w:val="1"/>
          <w:sz w:val="28"/>
          <w:szCs w:val="28"/>
          <w:rtl w:val="0"/>
        </w:rPr>
        <w:t xml:space="preserve">POLÍTICAS EDUCACIONAIS E FORMAÇÃO DE PROFESSORES: AVANÇOS E CONTRADIÇÕES</w:t>
      </w:r>
      <w:r w:rsidDel="00000000" w:rsidR="00000000" w:rsidRPr="00000000">
        <w:rPr>
          <w:rtl w:val="0"/>
        </w:rPr>
      </w:r>
    </w:p>
    <w:p w:rsidR="00000000" w:rsidDel="00000000" w:rsidP="00000000" w:rsidRDefault="00000000" w:rsidRPr="00000000" w14:paraId="00000003">
      <w:pPr>
        <w:spacing w:after="0" w:before="0" w:line="360" w:lineRule="auto"/>
        <w:jc w:val="both"/>
        <w:rPr>
          <w:rFonts w:ascii="Arial" w:cs="Arial" w:eastAsia="Arial" w:hAnsi="Arial"/>
        </w:rPr>
      </w:pPr>
      <w:r w:rsidDel="00000000" w:rsidR="00000000" w:rsidRPr="00000000">
        <w:rPr>
          <w:rFonts w:ascii="Arial" w:cs="Arial" w:eastAsia="Arial" w:hAnsi="Arial"/>
          <w:b w:val="1"/>
          <w:rtl w:val="0"/>
        </w:rPr>
        <w:t xml:space="preserve">INTRODUÇÃO</w:t>
      </w:r>
      <w:r w:rsidDel="00000000" w:rsidR="00000000" w:rsidRPr="00000000">
        <w:rPr>
          <w:rtl w:val="0"/>
        </w:rPr>
      </w:r>
    </w:p>
    <w:p w:rsidR="00000000" w:rsidDel="00000000" w:rsidP="00000000" w:rsidRDefault="00000000" w:rsidRPr="00000000" w14:paraId="00000004">
      <w:pPr>
        <w:spacing w:after="0" w:before="0" w:line="360" w:lineRule="auto"/>
        <w:ind w:firstLine="708.6614173228347"/>
        <w:jc w:val="both"/>
        <w:rPr>
          <w:rFonts w:ascii="Arial" w:cs="Arial" w:eastAsia="Arial" w:hAnsi="Arial"/>
        </w:rPr>
      </w:pPr>
      <w:r w:rsidDel="00000000" w:rsidR="00000000" w:rsidRPr="00000000">
        <w:rPr>
          <w:rFonts w:ascii="Arial" w:cs="Arial" w:eastAsia="Arial" w:hAnsi="Arial"/>
          <w:rtl w:val="0"/>
        </w:rPr>
        <w:t xml:space="preserve">Este artigo tem como proposta apresentar como as políticas públicas voltadas à educação escolar e à formação de professores têm apresentado tanto conquistas quanto retrocessos. O objetivo é destacar as pautas essenciais para a luta por uma formação crítica e emancipatória.</w:t>
      </w:r>
    </w:p>
    <w:p w:rsidR="00000000" w:rsidDel="00000000" w:rsidP="00000000" w:rsidRDefault="00000000" w:rsidRPr="00000000" w14:paraId="00000005">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As políticas educacionais se inserem no contexto das políticas públicas de natureza social. Duarte (2013) argumenta que, embora o Estado, nas sociedades capitalistas, tende a atender aos interesses da classe dominante, a educação e as políticas públicas resultam das contradições inerentes ao próprio sistema, sendo constantemente tensionadas por disputas e reivindicações dos diferentes setores da sociedade. Este cenário gera uma dinâmica de avanços e retrocessos, com disputas ideológicas e políticas marcando o processo educacional.</w:t>
      </w:r>
    </w:p>
    <w:p w:rsidR="00000000" w:rsidDel="00000000" w:rsidP="00000000" w:rsidRDefault="00000000" w:rsidRPr="00000000" w14:paraId="00000006">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As variadas visões sobre sociedade, educação, escola, capacitação e valorização dos educadores, que sustentam as políticas e diretrizes legais para a formação de professores, geram interpretações opostas e rivalidades político-ideológicas. Segundo Frigotto (2017), essas disputas podem ser agrupadas em dois projetos principais: um que atende aos interesses do capital e outro que visa à transformação crítica da realidade social, sendo defendido pelos educadores que lutam por uma educação emancipatória e contra hegemônica.</w:t>
      </w:r>
    </w:p>
    <w:p w:rsidR="00000000" w:rsidDel="00000000" w:rsidP="00000000" w:rsidRDefault="00000000" w:rsidRPr="00000000" w14:paraId="00000007">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O presente estudo, derivado de uma investigação teórica e documental, examina o progresso das políticas de capacitação de professores durante as administrações democráticas de Luís Inácio Lula da Silva (2003-2010) e Dilma Rousseff (2011-2016), bem como os obstáculos que ainda se apresentam como metas a serem alcançadas. Também são abordados os retrocessos observados sob a gestão de Michel Temer (2016-2017), com o intuito de destacar as principais pautas de resistência emergidas dos movimentos sociais dos educadores.</w:t>
      </w:r>
    </w:p>
    <w:p w:rsidR="00000000" w:rsidDel="00000000" w:rsidP="00000000" w:rsidRDefault="00000000" w:rsidRPr="00000000" w14:paraId="00000008">
      <w:pPr>
        <w:spacing w:after="0" w:before="0" w:line="360"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9">
      <w:pPr>
        <w:spacing w:after="0" w:before="0" w:line="360" w:lineRule="auto"/>
        <w:ind w:left="0" w:firstLine="0"/>
        <w:jc w:val="both"/>
        <w:rPr>
          <w:rFonts w:ascii="Arial" w:cs="Arial" w:eastAsia="Arial" w:hAnsi="Arial"/>
        </w:rPr>
      </w:pPr>
      <w:r w:rsidDel="00000000" w:rsidR="00000000" w:rsidRPr="00000000">
        <w:rPr>
          <w:rFonts w:ascii="Arial" w:cs="Arial" w:eastAsia="Arial" w:hAnsi="Arial"/>
          <w:b w:val="1"/>
          <w:rtl w:val="0"/>
        </w:rPr>
        <w:t xml:space="preserve">DESENVOLVIMENTO</w:t>
      </w:r>
      <w:r w:rsidDel="00000000" w:rsidR="00000000" w:rsidRPr="00000000">
        <w:rPr>
          <w:rtl w:val="0"/>
        </w:rPr>
      </w:r>
    </w:p>
    <w:p w:rsidR="00000000" w:rsidDel="00000000" w:rsidP="00000000" w:rsidRDefault="00000000" w:rsidRPr="00000000" w14:paraId="0000000A">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No contexto do financiamento da educação e das políticas para formação e valorização dos educadores, destaca-se como uma conquista significativa dos movimentos sociais, durante a administração Lula, a criação do Fundeb. Esse fundo introduziu mudanças significativas, como a unificação de toda a Educação Básica em uma única estrutura; a prorrogação de sua duração para 14 anos; a diversificação das fontes de financiamento; e a definição mais clara dos valores que a União complementa para estados, Distrito Federal e municípios</w:t>
      </w:r>
      <w:r w:rsidDel="00000000" w:rsidR="00000000" w:rsidRPr="00000000">
        <w:rPr>
          <w:rFonts w:ascii="Arial" w:cs="Arial" w:eastAsia="Arial" w:hAnsi="Arial"/>
          <w:rtl w:val="0"/>
        </w:rPr>
        <w:t xml:space="preserve"> (Brasil, 2006).</w:t>
      </w:r>
    </w:p>
    <w:p w:rsidR="00000000" w:rsidDel="00000000" w:rsidP="00000000" w:rsidRDefault="00000000" w:rsidRPr="00000000" w14:paraId="0000000B">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Além disso, a Emenda Constitucional n.º 53/2006 trouxe avanços importantes na valorização dos profissionais da educação, garantindo, pelo menos do ponto de vista legal, a ampliação da proteção em relação ao Piso Salarial Profissional Nacional (PSPN) e a criação de Planos de Carreira</w:t>
      </w:r>
      <w:r w:rsidDel="00000000" w:rsidR="00000000" w:rsidRPr="00000000">
        <w:rPr>
          <w:rFonts w:ascii="Arial" w:cs="Arial" w:eastAsia="Arial" w:hAnsi="Arial"/>
          <w:rtl w:val="0"/>
        </w:rPr>
        <w:t xml:space="preserve"> (Brasil, 2008)</w:t>
      </w:r>
    </w:p>
    <w:p w:rsidR="00000000" w:rsidDel="00000000" w:rsidP="00000000" w:rsidRDefault="00000000" w:rsidRPr="00000000" w14:paraId="0000000C">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Frente às dificuldades nas condições de trabalho e à desvalorização da atuação docente, os jovens têm se afastado da carreira de professor. Os dados revelam uma queda no interesse por cursos de licenciatura (Oliveira </w:t>
      </w:r>
      <w:r w:rsidDel="00000000" w:rsidR="00000000" w:rsidRPr="00000000">
        <w:rPr>
          <w:rFonts w:ascii="Arial" w:cs="Arial" w:eastAsia="Arial" w:hAnsi="Arial"/>
          <w:i w:val="1"/>
          <w:rtl w:val="0"/>
        </w:rPr>
        <w:t xml:space="preserve">et al.,</w:t>
      </w:r>
      <w:r w:rsidDel="00000000" w:rsidR="00000000" w:rsidRPr="00000000">
        <w:rPr>
          <w:rFonts w:ascii="Arial" w:cs="Arial" w:eastAsia="Arial" w:hAnsi="Arial"/>
          <w:rtl w:val="0"/>
        </w:rPr>
        <w:t xml:space="preserve"> 2010). Em resposta a essa situação, o Governo Lula implementou iniciativas para incentivar a entrada e a permanência efetiva em cursos de licenciatura, como o Programa Institucional de Bolsas de Iniciação à Docência (Pibid).</w:t>
      </w:r>
    </w:p>
    <w:p w:rsidR="00000000" w:rsidDel="00000000" w:rsidP="00000000" w:rsidRDefault="00000000" w:rsidRPr="00000000" w14:paraId="0000000D">
      <w:pPr>
        <w:spacing w:after="0" w:before="0" w:line="360" w:lineRule="auto"/>
        <w:ind w:left="0" w:firstLine="720"/>
        <w:jc w:val="both"/>
        <w:rPr>
          <w:rFonts w:ascii="Arial" w:cs="Arial" w:eastAsia="Arial" w:hAnsi="Arial"/>
          <w:highlight w:val="yellow"/>
        </w:rPr>
      </w:pPr>
      <w:r w:rsidDel="00000000" w:rsidR="00000000" w:rsidRPr="00000000">
        <w:rPr>
          <w:rFonts w:ascii="Arial" w:cs="Arial" w:eastAsia="Arial" w:hAnsi="Arial"/>
          <w:rtl w:val="0"/>
        </w:rPr>
        <w:t xml:space="preserve">Já no período da administração de Dilma </w:t>
      </w:r>
      <w:r w:rsidDel="00000000" w:rsidR="00000000" w:rsidRPr="00000000">
        <w:rPr>
          <w:rFonts w:ascii="Arial" w:cs="Arial" w:eastAsia="Arial" w:hAnsi="Arial"/>
          <w:rtl w:val="0"/>
        </w:rPr>
        <w:t xml:space="preserve">Rousseff (2011-2016),</w:t>
      </w:r>
      <w:r w:rsidDel="00000000" w:rsidR="00000000" w:rsidRPr="00000000">
        <w:rPr>
          <w:rFonts w:ascii="Arial" w:cs="Arial" w:eastAsia="Arial" w:hAnsi="Arial"/>
          <w:rtl w:val="0"/>
        </w:rPr>
        <w:t xml:space="preserve"> destaca-se a </w:t>
      </w:r>
      <w:r w:rsidDel="00000000" w:rsidR="00000000" w:rsidRPr="00000000">
        <w:rPr>
          <w:rFonts w:ascii="Arial" w:cs="Arial" w:eastAsia="Arial" w:hAnsi="Arial"/>
          <w:rtl w:val="0"/>
        </w:rPr>
        <w:t xml:space="preserve">sanção</w:t>
      </w:r>
      <w:r w:rsidDel="00000000" w:rsidR="00000000" w:rsidRPr="00000000">
        <w:rPr>
          <w:rFonts w:ascii="Arial" w:cs="Arial" w:eastAsia="Arial" w:hAnsi="Arial"/>
          <w:rtl w:val="0"/>
        </w:rPr>
        <w:t xml:space="preserve"> do Projeto de Lei do Plano Nacional de Educação (PNE) para o período de 2014 a 2024, aprovada pelo Congresso Nacional através da Lei nº 13.005</w:t>
      </w:r>
      <w:r w:rsidDel="00000000" w:rsidR="00000000" w:rsidRPr="00000000">
        <w:rPr>
          <w:rFonts w:ascii="Arial" w:cs="Arial" w:eastAsia="Arial" w:hAnsi="Arial"/>
          <w:rtl w:val="0"/>
        </w:rPr>
        <w:t xml:space="preserve"> (Brasil, 2014).</w:t>
      </w:r>
      <w:r w:rsidDel="00000000" w:rsidR="00000000" w:rsidRPr="00000000">
        <w:rPr>
          <w:rFonts w:ascii="Arial" w:cs="Arial" w:eastAsia="Arial" w:hAnsi="Arial"/>
          <w:rtl w:val="0"/>
        </w:rPr>
        <w:t xml:space="preserve"> Organizações da sociedade civil, unidas por meio de várias entidades nacionais que defendem a educação pública estatal como um direito de todos, desempenharam um papel fundamental na formulação e aprovação deste PNE.</w:t>
      </w:r>
      <w:r w:rsidDel="00000000" w:rsidR="00000000" w:rsidRPr="00000000">
        <w:rPr>
          <w:rtl w:val="0"/>
        </w:rPr>
      </w:r>
    </w:p>
    <w:p w:rsidR="00000000" w:rsidDel="00000000" w:rsidP="00000000" w:rsidRDefault="00000000" w:rsidRPr="00000000" w14:paraId="0000000E">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Ademais, todos os programas desenvolvidos e/ou recontextualizados durante os governos democráticos populares de Lula e Dilma foram importantes para promover a capacitação dos educadores. O que não pôde ser visto no Governo Temer, que iniciou e encerrou seu período sem oferecer uma proposta sólida para a formação de professores.</w:t>
      </w:r>
    </w:p>
    <w:p w:rsidR="00000000" w:rsidDel="00000000" w:rsidP="00000000" w:rsidRDefault="00000000" w:rsidRPr="00000000" w14:paraId="0000000F">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Diante disso, vale destacar que, a Base Nacional Comum Curricular (BNCC), implementada em 2017, visou estabelecer um currículo unificado para a educação básica no Brasil, com a intenção de garantir a equidade na aprendizagem entre os estudantes de diferentes regiões (Brasil, 2017). Sua implementação trouxe muitos desafios, principalmente por exigir dos educadores adaptações significativas nas práticas pedagógicas. </w:t>
      </w:r>
      <w:r w:rsidDel="00000000" w:rsidR="00000000" w:rsidRPr="00000000">
        <w:rPr>
          <w:rtl w:val="0"/>
        </w:rPr>
      </w:r>
    </w:p>
    <w:p w:rsidR="00000000" w:rsidDel="00000000" w:rsidP="00000000" w:rsidRDefault="00000000" w:rsidRPr="00000000" w14:paraId="00000010">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Nesta mesma direção, a</w:t>
      </w:r>
      <w:r w:rsidDel="00000000" w:rsidR="00000000" w:rsidRPr="00000000">
        <w:rPr>
          <w:rFonts w:ascii="Arial" w:cs="Arial" w:eastAsia="Arial" w:hAnsi="Arial"/>
          <w:rtl w:val="0"/>
        </w:rPr>
        <w:t xml:space="preserve"> Base Comum Nacional para a formação de professores (BNC-Formação), aponta objetivos que envolvem a integração entre teoria e prática, a coletividade, a gestão democrática e a valorização de professores (Brasil, 2015).</w:t>
      </w:r>
      <w:r w:rsidDel="00000000" w:rsidR="00000000" w:rsidRPr="00000000">
        <w:rPr>
          <w:rFonts w:ascii="Arial" w:cs="Arial" w:eastAsia="Arial" w:hAnsi="Arial"/>
          <w:rtl w:val="0"/>
        </w:rPr>
        <w:t xml:space="preserve"> Contudo, ao alinhar a educação às exigências do mercado, a  BNCC se insere na lógica do capital, da classe burguesa, transformando o ensino em um conjunto de diretrizes que enfraquecem seu potencial formativo. </w:t>
      </w:r>
    </w:p>
    <w:p w:rsidR="00000000" w:rsidDel="00000000" w:rsidP="00000000" w:rsidRDefault="00000000" w:rsidRPr="00000000" w14:paraId="00000011">
      <w:pPr>
        <w:spacing w:after="0" w:line="360" w:lineRule="auto"/>
        <w:ind w:firstLine="720"/>
        <w:jc w:val="both"/>
        <w:rPr>
          <w:rFonts w:ascii="Arial" w:cs="Arial" w:eastAsia="Arial" w:hAnsi="Arial"/>
        </w:rPr>
      </w:pPr>
      <w:r w:rsidDel="00000000" w:rsidR="00000000" w:rsidRPr="00000000">
        <w:rPr>
          <w:rFonts w:ascii="Arial" w:cs="Arial" w:eastAsia="Arial" w:hAnsi="Arial"/>
          <w:rtl w:val="0"/>
        </w:rPr>
        <w:t xml:space="preserve">A BNCC intensifica a alienação ao privilegiar conteúdos instrumentais em detrimento do desenvolvimento amplo das pessoas, limitando seu acesso ao patrimônio cultural e científico da humanidade. Assim, em vez de promover uma educação libertadora, que desenvolva sujeitos críticos e contribua para seu pleno desenvolvimento psíquico, a BNCC aprofunda as desigualdades. Segundo Saviani (2003, p. 80), “o povo precisa da escola para ter acesso ao saber erudito, ao saber sistematizado e, em consequência, para expressar de forma elaborada os conteúdos da cultura popular que correspondem aos seus interesses.”</w:t>
      </w:r>
    </w:p>
    <w:p w:rsidR="00000000" w:rsidDel="00000000" w:rsidP="00000000" w:rsidRDefault="00000000" w:rsidRPr="00000000" w14:paraId="00000012">
      <w:pPr>
        <w:spacing w:after="0" w:before="0" w:line="360" w:lineRule="auto"/>
        <w:ind w:left="0" w:right="100.8661417322844" w:firstLine="720"/>
        <w:jc w:val="both"/>
        <w:rPr>
          <w:rFonts w:ascii="Arial" w:cs="Arial" w:eastAsia="Arial" w:hAnsi="Arial"/>
        </w:rPr>
      </w:pPr>
      <w:r w:rsidDel="00000000" w:rsidR="00000000" w:rsidRPr="00000000">
        <w:rPr>
          <w:rFonts w:ascii="Arial" w:cs="Arial" w:eastAsia="Arial" w:hAnsi="Arial"/>
          <w:rtl w:val="0"/>
        </w:rPr>
        <w:t xml:space="preserve">A proposta da BNC-Formação ignora a Resolução CNE/CP N.º 02/2015, que estabelece as Diretrizes Curriculares Nacionais para a formação inicial e continuada dos docentes da educação básica </w:t>
      </w:r>
      <w:r w:rsidDel="00000000" w:rsidR="00000000" w:rsidRPr="00000000">
        <w:rPr>
          <w:rFonts w:ascii="Arial" w:cs="Arial" w:eastAsia="Arial" w:hAnsi="Arial"/>
          <w:rtl w:val="0"/>
        </w:rPr>
        <w:t xml:space="preserve">(Brasil, 2015)</w:t>
      </w:r>
      <w:r w:rsidDel="00000000" w:rsidR="00000000" w:rsidRPr="00000000">
        <w:rPr>
          <w:rFonts w:ascii="Arial" w:cs="Arial" w:eastAsia="Arial" w:hAnsi="Arial"/>
          <w:rtl w:val="0"/>
        </w:rPr>
        <w:t xml:space="preserve">, além de desconsiderar a trajetória histórica das instituições responsáveis por esta formação.</w:t>
      </w:r>
    </w:p>
    <w:p w:rsidR="00000000" w:rsidDel="00000000" w:rsidP="00000000" w:rsidRDefault="00000000" w:rsidRPr="00000000" w14:paraId="00000013">
      <w:pPr>
        <w:spacing w:after="0" w:before="0" w:line="360" w:lineRule="auto"/>
        <w:ind w:left="0" w:right="100.8661417322844" w:firstLine="720"/>
        <w:jc w:val="both"/>
        <w:rPr>
          <w:rFonts w:ascii="Arial" w:cs="Arial" w:eastAsia="Arial" w:hAnsi="Arial"/>
        </w:rPr>
      </w:pPr>
      <w:r w:rsidDel="00000000" w:rsidR="00000000" w:rsidRPr="00000000">
        <w:rPr>
          <w:rFonts w:ascii="Arial" w:cs="Arial" w:eastAsia="Arial" w:hAnsi="Arial"/>
          <w:rtl w:val="0"/>
        </w:rPr>
        <w:t xml:space="preserve">Neste contexto, caracterizado por sérios retrocessos na proteção do direito constitucional à educação pública de qualidade, nas políticas voltadas à formação docente e nas sistematizações sobre a Pedagogia Histórico-Crítica, Saviani</w:t>
      </w:r>
      <w:r w:rsidDel="00000000" w:rsidR="00000000" w:rsidRPr="00000000">
        <w:rPr>
          <w:rFonts w:ascii="Arial" w:cs="Arial" w:eastAsia="Arial" w:hAnsi="Arial"/>
          <w:rtl w:val="0"/>
        </w:rPr>
        <w:t xml:space="preserve"> (2016, p. 391) </w:t>
      </w:r>
      <w:r w:rsidDel="00000000" w:rsidR="00000000" w:rsidRPr="00000000">
        <w:rPr>
          <w:rFonts w:ascii="Arial" w:cs="Arial" w:eastAsia="Arial" w:hAnsi="Arial"/>
          <w:rtl w:val="0"/>
        </w:rPr>
        <w:t xml:space="preserve">propõe:</w:t>
      </w:r>
    </w:p>
    <w:p w:rsidR="00000000" w:rsidDel="00000000" w:rsidP="00000000" w:rsidRDefault="00000000" w:rsidRPr="00000000" w14:paraId="00000014">
      <w:pPr>
        <w:spacing w:after="0" w:before="0" w:line="240" w:lineRule="auto"/>
        <w:ind w:left="226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Um duplo desafio aos movimentos sociais de educadores. De um lado, é necessário que eles exerçam o direito à desobediência civil e resistam às ações autoritárias de um governo considerado ilegítimo. De outro, têm a responsabilidade histórica de lutar pela transformação da desorganizada situação da educação, buscando garantir às futuras gerações uma formação robusta que lhes permita exercer plenamente a cidadania.</w:t>
      </w:r>
    </w:p>
    <w:p w:rsidR="00000000" w:rsidDel="00000000" w:rsidP="00000000" w:rsidRDefault="00000000" w:rsidRPr="00000000" w14:paraId="00000015">
      <w:pPr>
        <w:spacing w:after="0" w:before="0" w:line="360" w:lineRule="auto"/>
        <w:ind w:left="0" w:firstLine="566.9291338582678"/>
        <w:jc w:val="both"/>
        <w:rPr>
          <w:rFonts w:ascii="Arial" w:cs="Arial" w:eastAsia="Arial" w:hAnsi="Arial"/>
        </w:rPr>
      </w:pPr>
      <w:r w:rsidDel="00000000" w:rsidR="00000000" w:rsidRPr="00000000">
        <w:rPr>
          <w:rtl w:val="0"/>
        </w:rPr>
      </w:r>
    </w:p>
    <w:p w:rsidR="00000000" w:rsidDel="00000000" w:rsidP="00000000" w:rsidRDefault="00000000" w:rsidRPr="00000000" w14:paraId="00000016">
      <w:pPr>
        <w:spacing w:after="0" w:before="0" w:line="360" w:lineRule="auto"/>
        <w:ind w:left="0" w:firstLine="720"/>
        <w:jc w:val="both"/>
        <w:rPr>
          <w:rFonts w:ascii="Arial" w:cs="Arial" w:eastAsia="Arial" w:hAnsi="Arial"/>
          <w:b w:val="1"/>
          <w:sz w:val="22"/>
          <w:szCs w:val="22"/>
        </w:rPr>
      </w:pPr>
      <w:r w:rsidDel="00000000" w:rsidR="00000000" w:rsidRPr="00000000">
        <w:rPr>
          <w:rFonts w:ascii="Arial" w:cs="Arial" w:eastAsia="Arial" w:hAnsi="Arial"/>
          <w:rtl w:val="0"/>
        </w:rPr>
        <w:t xml:space="preserve">T</w:t>
      </w:r>
      <w:r w:rsidDel="00000000" w:rsidR="00000000" w:rsidRPr="00000000">
        <w:rPr>
          <w:rFonts w:ascii="Arial" w:cs="Arial" w:eastAsia="Arial" w:hAnsi="Arial"/>
          <w:rtl w:val="0"/>
        </w:rPr>
        <w:t xml:space="preserve">ratar a educação como algo alheio à política é uma maneira eficaz de servi-la aos interesses dominantes. Ao invés de preparar os alunos para uma atuação crítica e autônoma na sociedade, estarão, na realidade, contribuindo para que se adaptem melhor à ordem vigente e aceitem as condições de dominação sob as quais vivem (Saviani, 2016). Por isso, a resistência das escolas e dos educadores é fundamental neste momento de ataques à educação pública. Precisamos refletir sobre a função social da escola e a importância do conhecimento para a formação humana. </w:t>
      </w:r>
      <w:r w:rsidDel="00000000" w:rsidR="00000000" w:rsidRPr="00000000">
        <w:rPr>
          <w:rtl w:val="0"/>
        </w:rPr>
      </w:r>
    </w:p>
    <w:p w:rsidR="00000000" w:rsidDel="00000000" w:rsidP="00000000" w:rsidRDefault="00000000" w:rsidRPr="00000000" w14:paraId="00000017">
      <w:pPr>
        <w:spacing w:after="0" w:before="0" w:line="360"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spacing w:after="0" w:before="0" w:line="360"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CONSIDERAÇÕES FINAIS</w:t>
      </w:r>
    </w:p>
    <w:p w:rsidR="00000000" w:rsidDel="00000000" w:rsidP="00000000" w:rsidRDefault="00000000" w:rsidRPr="00000000" w14:paraId="00000019">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Diante de um cenário complexo e repleto de desafios, é essencial defender o direito a uma educação pública de qualidade para toda a população e garantir uma formação inicial e continuada que esteja profundamente integrada às políticas de valorização profissional para todos os educadores.</w:t>
      </w:r>
    </w:p>
    <w:p w:rsidR="00000000" w:rsidDel="00000000" w:rsidP="00000000" w:rsidRDefault="00000000" w:rsidRPr="00000000" w14:paraId="0000001A">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A resistência ativa e construtiva se torna, assim, uma estratégia de luta por uma escola pública que seja independente das influências dos reformadores do setor educacional. Os quais buscam estabelecer uma hegemonia na educação, focando nos interesses do mercado em detrimento dos direitos dos trabalhadores.</w:t>
      </w:r>
    </w:p>
    <w:p w:rsidR="00000000" w:rsidDel="00000000" w:rsidP="00000000" w:rsidRDefault="00000000" w:rsidRPr="00000000" w14:paraId="0000001B">
      <w:pPr>
        <w:spacing w:after="0" w:before="0" w:line="360" w:lineRule="auto"/>
        <w:ind w:left="0" w:firstLine="720"/>
        <w:jc w:val="both"/>
        <w:rPr>
          <w:rFonts w:ascii="Arial" w:cs="Arial" w:eastAsia="Arial" w:hAnsi="Arial"/>
        </w:rPr>
      </w:pPr>
      <w:r w:rsidDel="00000000" w:rsidR="00000000" w:rsidRPr="00000000">
        <w:rPr>
          <w:rFonts w:ascii="Arial" w:cs="Arial" w:eastAsia="Arial" w:hAnsi="Arial"/>
          <w:rtl w:val="0"/>
        </w:rPr>
        <w:t xml:space="preserve">Em suma, é por meio da resistência e da valorização contínua dos educadores que será possível superar os retrocessos e avançar na construção de uma educação verdadeiramente emancipada e comprometida com os interesses sociais, promovendo a transformação social.</w:t>
      </w:r>
    </w:p>
    <w:p w:rsidR="00000000" w:rsidDel="00000000" w:rsidP="00000000" w:rsidRDefault="00000000" w:rsidRPr="00000000" w14:paraId="0000001C">
      <w:pPr>
        <w:spacing w:after="0" w:before="0" w:line="36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D">
      <w:pPr>
        <w:spacing w:after="0" w:before="0" w:line="240" w:lineRule="auto"/>
        <w:jc w:val="both"/>
        <w:rPr>
          <w:rFonts w:ascii="Arial" w:cs="Arial" w:eastAsia="Arial" w:hAnsi="Arial"/>
          <w:b w:val="1"/>
        </w:rPr>
      </w:pPr>
      <w:r w:rsidDel="00000000" w:rsidR="00000000" w:rsidRPr="00000000">
        <w:rPr>
          <w:rFonts w:ascii="Arial" w:cs="Arial" w:eastAsia="Arial" w:hAnsi="Arial"/>
          <w:b w:val="1"/>
          <w:rtl w:val="0"/>
        </w:rPr>
        <w:t xml:space="preserve">REFERÊNCIAS</w:t>
      </w:r>
    </w:p>
    <w:p w:rsidR="00000000" w:rsidDel="00000000" w:rsidP="00000000" w:rsidRDefault="00000000" w:rsidRPr="00000000" w14:paraId="0000001E">
      <w:pPr>
        <w:spacing w:after="0" w:before="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1F">
      <w:pPr>
        <w:spacing w:after="0" w:before="0" w:line="240" w:lineRule="auto"/>
        <w:jc w:val="both"/>
        <w:rPr>
          <w:rFonts w:ascii="Arial" w:cs="Arial" w:eastAsia="Arial" w:hAnsi="Arial"/>
          <w:b w:val="1"/>
        </w:rPr>
      </w:pPr>
      <w:r w:rsidDel="00000000" w:rsidR="00000000" w:rsidRPr="00000000">
        <w:rPr>
          <w:rFonts w:ascii="Arial" w:cs="Arial" w:eastAsia="Arial" w:hAnsi="Arial"/>
          <w:rtl w:val="0"/>
        </w:rPr>
        <w:t xml:space="preserve">BRASIL. Emenda Constitucional nº 53, de 19 de dezembro de 2006. Altera os arts. 7º, 23, 34, 60, 208, 211 e 212 da Constituição Federal e dá nova redação ao art. 87 do Ato das Disposições Constitucionais Transitórias. </w:t>
      </w:r>
      <w:r w:rsidDel="00000000" w:rsidR="00000000" w:rsidRPr="00000000">
        <w:rPr>
          <w:rFonts w:ascii="Arial" w:cs="Arial" w:eastAsia="Arial" w:hAnsi="Arial"/>
          <w:b w:val="1"/>
          <w:rtl w:val="0"/>
        </w:rPr>
        <w:t xml:space="preserve">Diário Oficial da União:</w:t>
      </w:r>
      <w:r w:rsidDel="00000000" w:rsidR="00000000" w:rsidRPr="00000000">
        <w:rPr>
          <w:rFonts w:ascii="Arial" w:cs="Arial" w:eastAsia="Arial" w:hAnsi="Arial"/>
          <w:rtl w:val="0"/>
        </w:rPr>
        <w:t xml:space="preserve"> seção 1, Brasília, DF, 20 dez. 2006. </w:t>
      </w:r>
      <w:r w:rsidDel="00000000" w:rsidR="00000000" w:rsidRPr="00000000">
        <w:rPr>
          <w:rtl w:val="0"/>
        </w:rPr>
      </w:r>
    </w:p>
    <w:p w:rsidR="00000000" w:rsidDel="00000000" w:rsidP="00000000" w:rsidRDefault="00000000" w:rsidRPr="00000000" w14:paraId="00000020">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1">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BRASIL</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Lei nº 11.738, de 16 de julho de 2008. Regulamenta o piso salarial profissional nacional para os profissionais do magistério público da educação básica. </w:t>
      </w:r>
      <w:r w:rsidDel="00000000" w:rsidR="00000000" w:rsidRPr="00000000">
        <w:rPr>
          <w:rFonts w:ascii="Arial" w:cs="Arial" w:eastAsia="Arial" w:hAnsi="Arial"/>
          <w:b w:val="1"/>
          <w:rtl w:val="0"/>
        </w:rPr>
        <w:t xml:space="preserve">Diário Oficial da União:</w:t>
      </w:r>
      <w:r w:rsidDel="00000000" w:rsidR="00000000" w:rsidRPr="00000000">
        <w:rPr>
          <w:rFonts w:ascii="Arial" w:cs="Arial" w:eastAsia="Arial" w:hAnsi="Arial"/>
          <w:rtl w:val="0"/>
        </w:rPr>
        <w:t xml:space="preserve"> seção 1, Brasília, DF, 17 jul. 2008.</w:t>
      </w:r>
    </w:p>
    <w:p w:rsidR="00000000" w:rsidDel="00000000" w:rsidP="00000000" w:rsidRDefault="00000000" w:rsidRPr="00000000" w14:paraId="00000022">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3">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BRASIL</w:t>
      </w:r>
      <w:r w:rsidDel="00000000" w:rsidR="00000000" w:rsidRPr="00000000">
        <w:rPr>
          <w:rFonts w:ascii="Arial" w:cs="Arial" w:eastAsia="Arial" w:hAnsi="Arial"/>
          <w:b w:val="1"/>
          <w:rtl w:val="0"/>
        </w:rPr>
        <w:t xml:space="preserve">.</w:t>
      </w:r>
      <w:r w:rsidDel="00000000" w:rsidR="00000000" w:rsidRPr="00000000">
        <w:rPr>
          <w:rFonts w:ascii="Arial" w:cs="Arial" w:eastAsia="Arial" w:hAnsi="Arial"/>
          <w:rtl w:val="0"/>
        </w:rPr>
        <w:t xml:space="preserve"> Lei nº 13.005, de 25 de junho de 2014. Aprova o Plano Nacional de Educação - PNE, para o decênio 2014-2024, e dá outras providências.</w:t>
      </w:r>
      <w:r w:rsidDel="00000000" w:rsidR="00000000" w:rsidRPr="00000000">
        <w:rPr>
          <w:rFonts w:ascii="Arial" w:cs="Arial" w:eastAsia="Arial" w:hAnsi="Arial"/>
          <w:b w:val="1"/>
          <w:rtl w:val="0"/>
        </w:rPr>
        <w:t xml:space="preserve"> Diário Oficial da União:</w:t>
      </w:r>
      <w:r w:rsidDel="00000000" w:rsidR="00000000" w:rsidRPr="00000000">
        <w:rPr>
          <w:rFonts w:ascii="Arial" w:cs="Arial" w:eastAsia="Arial" w:hAnsi="Arial"/>
          <w:rtl w:val="0"/>
        </w:rPr>
        <w:t xml:space="preserve"> seção 1, Brasília, DF, 26 jun. 2014.</w:t>
      </w:r>
    </w:p>
    <w:p w:rsidR="00000000" w:rsidDel="00000000" w:rsidP="00000000" w:rsidRDefault="00000000" w:rsidRPr="00000000" w14:paraId="00000024">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5">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BRASIL. Ministério da Educação. Conselho Nacional de Educação. Parecer CNE/CP N. 02/2015. Diretrizes Curriculares Nacionais para a Formação Inicial e Continuada dos Profissionais do Magistério da Educação Básica. Brasília, DF: </w:t>
      </w:r>
      <w:r w:rsidDel="00000000" w:rsidR="00000000" w:rsidRPr="00000000">
        <w:rPr>
          <w:rFonts w:ascii="Arial" w:cs="Arial" w:eastAsia="Arial" w:hAnsi="Arial"/>
          <w:b w:val="1"/>
          <w:rtl w:val="0"/>
        </w:rPr>
        <w:t xml:space="preserve">Diário Oficial da União</w:t>
      </w:r>
      <w:r w:rsidDel="00000000" w:rsidR="00000000" w:rsidRPr="00000000">
        <w:rPr>
          <w:rFonts w:ascii="Arial" w:cs="Arial" w:eastAsia="Arial" w:hAnsi="Arial"/>
          <w:rtl w:val="0"/>
        </w:rPr>
        <w:t xml:space="preserve">, 25 jun, 2015.</w:t>
      </w:r>
    </w:p>
    <w:p w:rsidR="00000000" w:rsidDel="00000000" w:rsidP="00000000" w:rsidRDefault="00000000" w:rsidRPr="00000000" w14:paraId="00000026">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7">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BRASIL. Conselho Nacional de Educação. Resolução CNE/CP nº 02, de 1º de julho de 2015. Define as Diretrizes Curriculares Nacionais para a formação inicial e continuada de professores da educação básica. </w:t>
      </w:r>
      <w:r w:rsidDel="00000000" w:rsidR="00000000" w:rsidRPr="00000000">
        <w:rPr>
          <w:rFonts w:ascii="Arial" w:cs="Arial" w:eastAsia="Arial" w:hAnsi="Arial"/>
          <w:b w:val="1"/>
          <w:rtl w:val="0"/>
        </w:rPr>
        <w:t xml:space="preserve">Diário Oficial da União:</w:t>
      </w:r>
      <w:r w:rsidDel="00000000" w:rsidR="00000000" w:rsidRPr="00000000">
        <w:rPr>
          <w:rFonts w:ascii="Arial" w:cs="Arial" w:eastAsia="Arial" w:hAnsi="Arial"/>
          <w:rtl w:val="0"/>
        </w:rPr>
        <w:t xml:space="preserve"> seção 1, Brasília, DF, 2 jul. 2015.</w:t>
      </w:r>
    </w:p>
    <w:p w:rsidR="00000000" w:rsidDel="00000000" w:rsidP="00000000" w:rsidRDefault="00000000" w:rsidRPr="00000000" w14:paraId="00000028">
      <w:pPr>
        <w:spacing w:after="0" w:before="0" w:line="240" w:lineRule="auto"/>
        <w:ind w:right="100.8661417322844"/>
        <w:jc w:val="both"/>
        <w:rPr>
          <w:rFonts w:ascii="Arial" w:cs="Arial" w:eastAsia="Arial" w:hAnsi="Arial"/>
        </w:rPr>
      </w:pPr>
      <w:r w:rsidDel="00000000" w:rsidR="00000000" w:rsidRPr="00000000">
        <w:rPr>
          <w:rtl w:val="0"/>
        </w:rPr>
      </w:r>
    </w:p>
    <w:p w:rsidR="00000000" w:rsidDel="00000000" w:rsidP="00000000" w:rsidRDefault="00000000" w:rsidRPr="00000000" w14:paraId="00000029">
      <w:pPr>
        <w:spacing w:after="0" w:before="0" w:line="240" w:lineRule="auto"/>
        <w:ind w:right="100.8661417322844"/>
        <w:jc w:val="both"/>
        <w:rPr>
          <w:rFonts w:ascii="Arial" w:cs="Arial" w:eastAsia="Arial" w:hAnsi="Arial"/>
        </w:rPr>
      </w:pPr>
      <w:r w:rsidDel="00000000" w:rsidR="00000000" w:rsidRPr="00000000">
        <w:rPr>
          <w:rFonts w:ascii="Arial" w:cs="Arial" w:eastAsia="Arial" w:hAnsi="Arial"/>
          <w:rtl w:val="0"/>
        </w:rPr>
        <w:t xml:space="preserve">BRASIL, Ministério da Educação. Base Nacional Comum Curricular: Educação é a Base. [S. l.]: Ministério da Educação, 2017. Disponível em: chrome-extension://efaidnbmnnnibpcajpcglclefindmkaj/</w:t>
      </w:r>
      <w:hyperlink r:id="rId7">
        <w:r w:rsidDel="00000000" w:rsidR="00000000" w:rsidRPr="00000000">
          <w:rPr>
            <w:rFonts w:ascii="Arial" w:cs="Arial" w:eastAsia="Arial" w:hAnsi="Arial"/>
            <w:color w:val="1155cc"/>
            <w:u w:val="single"/>
            <w:rtl w:val="0"/>
          </w:rPr>
          <w:t xml:space="preserve">https://www.gov.br/mec/pt-br/escola-em-tempo-integral/BNCC_EI_EF_110518_versaofinal.pdf</w:t>
        </w:r>
      </w:hyperlink>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Acesso em 30 mar. 2025.</w:t>
      </w:r>
    </w:p>
    <w:p w:rsidR="00000000" w:rsidDel="00000000" w:rsidP="00000000" w:rsidRDefault="00000000" w:rsidRPr="00000000" w14:paraId="0000002A">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B">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DUARTE, N. </w:t>
      </w:r>
      <w:r w:rsidDel="00000000" w:rsidR="00000000" w:rsidRPr="00000000">
        <w:rPr>
          <w:rFonts w:ascii="Arial" w:cs="Arial" w:eastAsia="Arial" w:hAnsi="Arial"/>
          <w:b w:val="1"/>
          <w:rtl w:val="0"/>
        </w:rPr>
        <w:t xml:space="preserve">A individualidade para si:</w:t>
      </w:r>
      <w:r w:rsidDel="00000000" w:rsidR="00000000" w:rsidRPr="00000000">
        <w:rPr>
          <w:rFonts w:ascii="Arial" w:cs="Arial" w:eastAsia="Arial" w:hAnsi="Arial"/>
          <w:rtl w:val="0"/>
        </w:rPr>
        <w:t xml:space="preserve"> contribuição a uma teoria histórico-crítica da formação do indivíduo. Campinas: Autores Associados, 2013.</w:t>
      </w:r>
    </w:p>
    <w:p w:rsidR="00000000" w:rsidDel="00000000" w:rsidP="00000000" w:rsidRDefault="00000000" w:rsidRPr="00000000" w14:paraId="0000002C">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FRIGOTTO, G. </w:t>
      </w:r>
      <w:r w:rsidDel="00000000" w:rsidR="00000000" w:rsidRPr="00000000">
        <w:rPr>
          <w:rFonts w:ascii="Arial" w:cs="Arial" w:eastAsia="Arial" w:hAnsi="Arial"/>
          <w:b w:val="1"/>
          <w:rtl w:val="0"/>
        </w:rPr>
        <w:t xml:space="preserve">A formação dos profissionais da educação e os desafios da contemporaneidade. </w:t>
      </w:r>
      <w:r w:rsidDel="00000000" w:rsidR="00000000" w:rsidRPr="00000000">
        <w:rPr>
          <w:rFonts w:ascii="Arial" w:cs="Arial" w:eastAsia="Arial" w:hAnsi="Arial"/>
          <w:rtl w:val="0"/>
        </w:rPr>
        <w:t xml:space="preserve">In: Frigotto, G. &amp; Ciavatta, M. (Orgs.) Educação e trabalho: a crise da formação e a formação da crise. Petrópolis: Vozes, 2017.</w:t>
      </w:r>
    </w:p>
    <w:p w:rsidR="00000000" w:rsidDel="00000000" w:rsidP="00000000" w:rsidRDefault="00000000" w:rsidRPr="00000000" w14:paraId="0000002E">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F">
      <w:pPr>
        <w:spacing w:after="0" w:before="0" w:line="240" w:lineRule="auto"/>
        <w:jc w:val="both"/>
        <w:rPr>
          <w:rFonts w:ascii="Arial" w:cs="Arial" w:eastAsia="Arial" w:hAnsi="Arial"/>
          <w:highlight w:val="yellow"/>
        </w:rPr>
      </w:pPr>
      <w:r w:rsidDel="00000000" w:rsidR="00000000" w:rsidRPr="00000000">
        <w:rPr>
          <w:rFonts w:ascii="Arial" w:cs="Arial" w:eastAsia="Arial" w:hAnsi="Arial"/>
          <w:rtl w:val="0"/>
        </w:rPr>
        <w:t xml:space="preserve">SAVIANI, Dermeval.</w:t>
      </w:r>
      <w:r w:rsidDel="00000000" w:rsidR="00000000" w:rsidRPr="00000000">
        <w:rPr>
          <w:rFonts w:ascii="Arial" w:cs="Arial" w:eastAsia="Arial" w:hAnsi="Arial"/>
          <w:b w:val="1"/>
          <w:rtl w:val="0"/>
        </w:rPr>
        <w:t xml:space="preserve"> Pedagogia histórico-crítica:</w:t>
      </w:r>
      <w:r w:rsidDel="00000000" w:rsidR="00000000" w:rsidRPr="00000000">
        <w:rPr>
          <w:rFonts w:ascii="Arial" w:cs="Arial" w:eastAsia="Arial" w:hAnsi="Arial"/>
          <w:rtl w:val="0"/>
        </w:rPr>
        <w:t xml:space="preserve"> primeiras aproximações. 8. ed. Campinas: Autores Associados,</w:t>
      </w:r>
      <w:r w:rsidDel="00000000" w:rsidR="00000000" w:rsidRPr="00000000">
        <w:rPr>
          <w:rFonts w:ascii="Arial" w:cs="Arial" w:eastAsia="Arial" w:hAnsi="Arial"/>
          <w:rtl w:val="0"/>
        </w:rPr>
        <w:t xml:space="preserve"> 2003. p.80</w:t>
      </w:r>
      <w:r w:rsidDel="00000000" w:rsidR="00000000" w:rsidRPr="00000000">
        <w:rPr>
          <w:rFonts w:ascii="Arial" w:cs="Arial" w:eastAsia="Arial" w:hAnsi="Arial"/>
          <w:highlight w:val="yellow"/>
          <w:rtl w:val="0"/>
        </w:rPr>
        <w:t xml:space="preserve">​</w:t>
      </w:r>
    </w:p>
    <w:p w:rsidR="00000000" w:rsidDel="00000000" w:rsidP="00000000" w:rsidRDefault="00000000" w:rsidRPr="00000000" w14:paraId="00000030">
      <w:pPr>
        <w:spacing w:after="0" w:before="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1">
      <w:pPr>
        <w:spacing w:after="0" w:before="0" w:line="240" w:lineRule="auto"/>
        <w:jc w:val="both"/>
        <w:rPr>
          <w:rFonts w:ascii="Arial" w:cs="Arial" w:eastAsia="Arial" w:hAnsi="Arial"/>
        </w:rPr>
      </w:pPr>
      <w:r w:rsidDel="00000000" w:rsidR="00000000" w:rsidRPr="00000000">
        <w:rPr>
          <w:rFonts w:ascii="Arial" w:cs="Arial" w:eastAsia="Arial" w:hAnsi="Arial"/>
          <w:rtl w:val="0"/>
        </w:rPr>
        <w:t xml:space="preserve">SAVIANI, D. O vigésimo ano da LDB: as 39 leis que a modificaram. </w:t>
      </w:r>
      <w:r w:rsidDel="00000000" w:rsidR="00000000" w:rsidRPr="00000000">
        <w:rPr>
          <w:rFonts w:ascii="Arial" w:cs="Arial" w:eastAsia="Arial" w:hAnsi="Arial"/>
          <w:b w:val="1"/>
          <w:rtl w:val="0"/>
        </w:rPr>
        <w:t xml:space="preserve">Retratos da Escola</w:t>
      </w:r>
      <w:r w:rsidDel="00000000" w:rsidR="00000000" w:rsidRPr="00000000">
        <w:rPr>
          <w:rFonts w:ascii="Arial" w:cs="Arial" w:eastAsia="Arial" w:hAnsi="Arial"/>
          <w:rtl w:val="0"/>
        </w:rPr>
        <w:t xml:space="preserve">, Brasília, v. 10, n. 19, jul./dez. 2016. p. 379-392</w:t>
      </w:r>
    </w:p>
    <w:p w:rsidR="00000000" w:rsidDel="00000000" w:rsidP="00000000" w:rsidRDefault="00000000" w:rsidRPr="00000000" w14:paraId="00000032">
      <w:pPr>
        <w:spacing w:after="0" w:before="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3">
      <w:pPr>
        <w:spacing w:after="0" w:before="0" w:line="360" w:lineRule="auto"/>
        <w:rPr>
          <w:rFonts w:ascii="Arial" w:cs="Arial" w:eastAsia="Arial" w:hAnsi="Arial"/>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701"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156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drawing>
        <wp:inline distB="0" distT="0" distL="0" distR="0">
          <wp:extent cx="7736637" cy="382179"/>
          <wp:effectExtent b="0" l="0" r="0" t="0"/>
          <wp:docPr descr="Texto&#10;&#10;O conteúdo gerado por IA pode estar incorreto." id="1793165262" name="image2.jpg"/>
          <a:graphic>
            <a:graphicData uri="http://schemas.openxmlformats.org/drawingml/2006/picture">
              <pic:pic>
                <pic:nvPicPr>
                  <pic:cNvPr descr="Texto&#10;&#10;O conteúdo gerado por IA pode estar incorreto." id="0" name="image2.jpg"/>
                  <pic:cNvPicPr preferRelativeResize="0"/>
                </pic:nvPicPr>
                <pic:blipFill>
                  <a:blip r:embed="rId1"/>
                  <a:srcRect b="34637" l="0" r="-1" t="56468"/>
                  <a:stretch>
                    <a:fillRect/>
                  </a:stretch>
                </pic:blipFill>
                <pic:spPr>
                  <a:xfrm>
                    <a:off x="0" y="0"/>
                    <a:ext cx="7736637" cy="382179"/>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1"/>
        <w:i w:val="0"/>
        <w:smallCaps w:val="0"/>
        <w:strike w:val="0"/>
        <w:color w:val="0a3041"/>
        <w:sz w:val="24"/>
        <w:szCs w:val="24"/>
        <w:u w:val="none"/>
        <w:shd w:fill="auto" w:val="clear"/>
        <w:vertAlign w:val="baseline"/>
      </w:rPr>
    </w:pPr>
    <w:r w:rsidDel="00000000" w:rsidR="00000000" w:rsidRPr="00000000">
      <w:rPr>
        <w:rFonts w:ascii="Arial" w:cs="Arial" w:eastAsia="Arial" w:hAnsi="Arial"/>
        <w:b w:val="1"/>
        <w:i w:val="0"/>
        <w:smallCaps w:val="0"/>
        <w:strike w:val="0"/>
        <w:color w:val="0a3041"/>
        <w:sz w:val="28"/>
        <w:szCs w:val="28"/>
        <w:u w:val="none"/>
        <w:shd w:fill="auto" w:val="clear"/>
        <w:vertAlign w:val="baseline"/>
        <w:rtl w:val="0"/>
      </w:rPr>
      <w:t xml:space="preserve">XXII ENCONTRO NACIONAL DA ANFOPE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3809917</wp:posOffset>
          </wp:positionH>
          <wp:positionV relativeFrom="paragraph">
            <wp:posOffset>-322993</wp:posOffset>
          </wp:positionV>
          <wp:extent cx="2571357" cy="1219343"/>
          <wp:effectExtent b="0" l="0" r="0" t="0"/>
          <wp:wrapNone/>
          <wp:docPr id="1793165261" name="image1.jpg"/>
          <a:graphic>
            <a:graphicData uri="http://schemas.openxmlformats.org/drawingml/2006/picture">
              <pic:pic>
                <pic:nvPicPr>
                  <pic:cNvPr id="0" name="image1.jpg"/>
                  <pic:cNvPicPr preferRelativeResize="0"/>
                </pic:nvPicPr>
                <pic:blipFill>
                  <a:blip r:embed="rId1"/>
                  <a:srcRect b="0" l="2272" r="8357" t="16783"/>
                  <a:stretch>
                    <a:fillRect/>
                  </a:stretch>
                </pic:blipFill>
                <pic:spPr>
                  <a:xfrm>
                    <a:off x="0" y="0"/>
                    <a:ext cx="2571357" cy="1219343"/>
                  </a:xfrm>
                  <a:prstGeom prst="rect"/>
                  <a:ln/>
                </pic:spPr>
              </pic:pic>
            </a:graphicData>
          </a:graphic>
        </wp:anchor>
      </w:drawing>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39 anos da carta de Goiânia: momento de celebrar conquistas e enfrentando os desafios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2267" w:firstLine="0"/>
      <w:jc w:val="center"/>
      <w:rPr>
        <w:rFonts w:ascii="Arial" w:cs="Arial" w:eastAsia="Arial" w:hAnsi="Arial"/>
        <w:b w:val="0"/>
        <w:i w:val="0"/>
        <w:smallCaps w:val="0"/>
        <w:strike w:val="0"/>
        <w:color w:val="0a3041"/>
        <w:sz w:val="24"/>
        <w:szCs w:val="24"/>
        <w:u w:val="none"/>
        <w:shd w:fill="auto" w:val="clear"/>
        <w:vertAlign w:val="baseline"/>
      </w:rPr>
    </w:pPr>
    <w:r w:rsidDel="00000000" w:rsidR="00000000" w:rsidRPr="00000000">
      <w:rPr>
        <w:rFonts w:ascii="Arial" w:cs="Arial" w:eastAsia="Arial" w:hAnsi="Arial"/>
        <w:b w:val="0"/>
        <w:i w:val="0"/>
        <w:smallCaps w:val="0"/>
        <w:strike w:val="0"/>
        <w:color w:val="0a3041"/>
        <w:sz w:val="24"/>
        <w:szCs w:val="24"/>
        <w:u w:val="none"/>
        <w:shd w:fill="auto" w:val="clear"/>
        <w:vertAlign w:val="baseline"/>
        <w:rtl w:val="0"/>
      </w:rPr>
      <w:t xml:space="preserve">Reunião da Associação Nacional pela Formação dos Profissionais da Educação - ANFOPE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pt-BR"/>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har"/>
    <w:uiPriority w:val="9"/>
    <w:qFormat w:val="1"/>
    <w:rsid w:val="00442A47"/>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har"/>
    <w:uiPriority w:val="9"/>
    <w:semiHidden w:val="1"/>
    <w:unhideWhenUsed w:val="1"/>
    <w:qFormat w:val="1"/>
    <w:rsid w:val="00442A47"/>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har"/>
    <w:uiPriority w:val="9"/>
    <w:semiHidden w:val="1"/>
    <w:unhideWhenUsed w:val="1"/>
    <w:qFormat w:val="1"/>
    <w:rsid w:val="00442A47"/>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har"/>
    <w:uiPriority w:val="9"/>
    <w:semiHidden w:val="1"/>
    <w:unhideWhenUsed w:val="1"/>
    <w:qFormat w:val="1"/>
    <w:rsid w:val="00442A47"/>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har"/>
    <w:uiPriority w:val="9"/>
    <w:semiHidden w:val="1"/>
    <w:unhideWhenUsed w:val="1"/>
    <w:qFormat w:val="1"/>
    <w:rsid w:val="00442A47"/>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har"/>
    <w:uiPriority w:val="9"/>
    <w:semiHidden w:val="1"/>
    <w:unhideWhenUsed w:val="1"/>
    <w:qFormat w:val="1"/>
    <w:rsid w:val="00442A47"/>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har"/>
    <w:uiPriority w:val="9"/>
    <w:semiHidden w:val="1"/>
    <w:unhideWhenUsed w:val="1"/>
    <w:qFormat w:val="1"/>
    <w:rsid w:val="00442A47"/>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har"/>
    <w:uiPriority w:val="9"/>
    <w:semiHidden w:val="1"/>
    <w:unhideWhenUsed w:val="1"/>
    <w:qFormat w:val="1"/>
    <w:rsid w:val="00442A47"/>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har"/>
    <w:uiPriority w:val="9"/>
    <w:semiHidden w:val="1"/>
    <w:unhideWhenUsed w:val="1"/>
    <w:qFormat w:val="1"/>
    <w:rsid w:val="00442A47"/>
    <w:pPr>
      <w:keepNext w:val="1"/>
      <w:keepLines w:val="1"/>
      <w:spacing w:after="0"/>
      <w:outlineLvl w:val="8"/>
    </w:pPr>
    <w:rPr>
      <w:rFonts w:cstheme="majorBidi" w:eastAsiaTheme="majorEastAsia"/>
      <w:color w:val="272727" w:themeColor="text1" w:themeTint="0000D8"/>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Ttulo1Char" w:customStyle="1">
    <w:name w:val="Título 1 Char"/>
    <w:basedOn w:val="Fontepargpadro"/>
    <w:link w:val="Ttulo1"/>
    <w:uiPriority w:val="9"/>
    <w:rsid w:val="00442A47"/>
    <w:rPr>
      <w:rFonts w:asciiTheme="majorHAnsi" w:cstheme="majorBidi" w:eastAsiaTheme="majorEastAsia" w:hAnsiTheme="majorHAnsi"/>
      <w:color w:val="0f4761" w:themeColor="accent1" w:themeShade="0000BF"/>
      <w:sz w:val="40"/>
      <w:szCs w:val="40"/>
    </w:rPr>
  </w:style>
  <w:style w:type="character" w:styleId="Ttulo2Char" w:customStyle="1">
    <w:name w:val="Título 2 Char"/>
    <w:basedOn w:val="Fontepargpadro"/>
    <w:link w:val="Ttulo2"/>
    <w:uiPriority w:val="9"/>
    <w:semiHidden w:val="1"/>
    <w:rsid w:val="00442A47"/>
    <w:rPr>
      <w:rFonts w:asciiTheme="majorHAnsi" w:cstheme="majorBidi" w:eastAsiaTheme="majorEastAsia" w:hAnsiTheme="majorHAnsi"/>
      <w:color w:val="0f4761" w:themeColor="accent1" w:themeShade="0000BF"/>
      <w:sz w:val="32"/>
      <w:szCs w:val="32"/>
    </w:rPr>
  </w:style>
  <w:style w:type="character" w:styleId="Ttulo3Char" w:customStyle="1">
    <w:name w:val="Título 3 Char"/>
    <w:basedOn w:val="Fontepargpadro"/>
    <w:link w:val="Ttulo3"/>
    <w:uiPriority w:val="9"/>
    <w:semiHidden w:val="1"/>
    <w:rsid w:val="00442A47"/>
    <w:rPr>
      <w:rFonts w:cstheme="majorBidi" w:eastAsiaTheme="majorEastAsia"/>
      <w:color w:val="0f4761" w:themeColor="accent1" w:themeShade="0000BF"/>
      <w:sz w:val="28"/>
      <w:szCs w:val="28"/>
    </w:rPr>
  </w:style>
  <w:style w:type="character" w:styleId="Ttulo4Char" w:customStyle="1">
    <w:name w:val="Título 4 Char"/>
    <w:basedOn w:val="Fontepargpadro"/>
    <w:link w:val="Ttulo4"/>
    <w:uiPriority w:val="9"/>
    <w:semiHidden w:val="1"/>
    <w:rsid w:val="00442A47"/>
    <w:rPr>
      <w:rFonts w:cstheme="majorBidi" w:eastAsiaTheme="majorEastAsia"/>
      <w:i w:val="1"/>
      <w:iCs w:val="1"/>
      <w:color w:val="0f4761" w:themeColor="accent1" w:themeShade="0000BF"/>
    </w:rPr>
  </w:style>
  <w:style w:type="character" w:styleId="Ttulo5Char" w:customStyle="1">
    <w:name w:val="Título 5 Char"/>
    <w:basedOn w:val="Fontepargpadro"/>
    <w:link w:val="Ttulo5"/>
    <w:uiPriority w:val="9"/>
    <w:semiHidden w:val="1"/>
    <w:rsid w:val="00442A47"/>
    <w:rPr>
      <w:rFonts w:cstheme="majorBidi" w:eastAsiaTheme="majorEastAsia"/>
      <w:color w:val="0f4761" w:themeColor="accent1" w:themeShade="0000BF"/>
    </w:rPr>
  </w:style>
  <w:style w:type="character" w:styleId="Ttulo6Char" w:customStyle="1">
    <w:name w:val="Título 6 Char"/>
    <w:basedOn w:val="Fontepargpadro"/>
    <w:link w:val="Ttulo6"/>
    <w:uiPriority w:val="9"/>
    <w:semiHidden w:val="1"/>
    <w:rsid w:val="00442A47"/>
    <w:rPr>
      <w:rFonts w:cstheme="majorBidi" w:eastAsiaTheme="majorEastAsia"/>
      <w:i w:val="1"/>
      <w:iCs w:val="1"/>
      <w:color w:val="595959" w:themeColor="text1" w:themeTint="0000A6"/>
    </w:rPr>
  </w:style>
  <w:style w:type="character" w:styleId="Ttulo7Char" w:customStyle="1">
    <w:name w:val="Título 7 Char"/>
    <w:basedOn w:val="Fontepargpadro"/>
    <w:link w:val="Ttulo7"/>
    <w:uiPriority w:val="9"/>
    <w:semiHidden w:val="1"/>
    <w:rsid w:val="00442A47"/>
    <w:rPr>
      <w:rFonts w:cstheme="majorBidi" w:eastAsiaTheme="majorEastAsia"/>
      <w:color w:val="595959" w:themeColor="text1" w:themeTint="0000A6"/>
    </w:rPr>
  </w:style>
  <w:style w:type="character" w:styleId="Ttulo8Char" w:customStyle="1">
    <w:name w:val="Título 8 Char"/>
    <w:basedOn w:val="Fontepargpadro"/>
    <w:link w:val="Ttulo8"/>
    <w:uiPriority w:val="9"/>
    <w:semiHidden w:val="1"/>
    <w:rsid w:val="00442A47"/>
    <w:rPr>
      <w:rFonts w:cstheme="majorBidi" w:eastAsiaTheme="majorEastAsia"/>
      <w:i w:val="1"/>
      <w:iCs w:val="1"/>
      <w:color w:val="272727" w:themeColor="text1" w:themeTint="0000D8"/>
    </w:rPr>
  </w:style>
  <w:style w:type="character" w:styleId="Ttulo9Char" w:customStyle="1">
    <w:name w:val="Título 9 Char"/>
    <w:basedOn w:val="Fontepargpadro"/>
    <w:link w:val="Ttulo9"/>
    <w:uiPriority w:val="9"/>
    <w:semiHidden w:val="1"/>
    <w:rsid w:val="00442A47"/>
    <w:rPr>
      <w:rFonts w:cstheme="majorBidi" w:eastAsiaTheme="majorEastAsia"/>
      <w:color w:val="272727" w:themeColor="text1" w:themeTint="0000D8"/>
    </w:rPr>
  </w:style>
  <w:style w:type="paragraph" w:styleId="Ttulo">
    <w:name w:val="Title"/>
    <w:basedOn w:val="Normal"/>
    <w:next w:val="Normal"/>
    <w:link w:val="TtuloChar"/>
    <w:uiPriority w:val="10"/>
    <w:qFormat w:val="1"/>
    <w:rsid w:val="00442A47"/>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har" w:customStyle="1">
    <w:name w:val="Título Char"/>
    <w:basedOn w:val="Fontepargpadro"/>
    <w:link w:val="Ttulo"/>
    <w:uiPriority w:val="10"/>
    <w:rsid w:val="00442A47"/>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har"/>
    <w:uiPriority w:val="11"/>
    <w:qFormat w:val="1"/>
    <w:rsid w:val="00442A47"/>
    <w:pPr>
      <w:numPr>
        <w:ilvl w:val="1"/>
      </w:numPr>
    </w:pPr>
    <w:rPr>
      <w:rFonts w:cstheme="majorBidi" w:eastAsiaTheme="majorEastAsia"/>
      <w:color w:val="595959" w:themeColor="text1" w:themeTint="0000A6"/>
      <w:spacing w:val="15"/>
      <w:sz w:val="28"/>
      <w:szCs w:val="28"/>
    </w:rPr>
  </w:style>
  <w:style w:type="character" w:styleId="SubttuloChar" w:customStyle="1">
    <w:name w:val="Subtítulo Char"/>
    <w:basedOn w:val="Fontepargpadro"/>
    <w:link w:val="Subttulo"/>
    <w:uiPriority w:val="11"/>
    <w:rsid w:val="00442A47"/>
    <w:rPr>
      <w:rFonts w:cstheme="majorBidi" w:eastAsiaTheme="majorEastAsia"/>
      <w:color w:val="595959" w:themeColor="text1" w:themeTint="0000A6"/>
      <w:spacing w:val="15"/>
      <w:sz w:val="28"/>
      <w:szCs w:val="28"/>
    </w:rPr>
  </w:style>
  <w:style w:type="paragraph" w:styleId="Citao">
    <w:name w:val="Quote"/>
    <w:basedOn w:val="Normal"/>
    <w:next w:val="Normal"/>
    <w:link w:val="CitaoChar"/>
    <w:uiPriority w:val="29"/>
    <w:qFormat w:val="1"/>
    <w:rsid w:val="00442A47"/>
    <w:pPr>
      <w:spacing w:before="160"/>
      <w:jc w:val="center"/>
    </w:pPr>
    <w:rPr>
      <w:i w:val="1"/>
      <w:iCs w:val="1"/>
      <w:color w:val="404040" w:themeColor="text1" w:themeTint="0000BF"/>
    </w:rPr>
  </w:style>
  <w:style w:type="character" w:styleId="CitaoChar" w:customStyle="1">
    <w:name w:val="Citação Char"/>
    <w:basedOn w:val="Fontepargpadro"/>
    <w:link w:val="Citao"/>
    <w:uiPriority w:val="29"/>
    <w:rsid w:val="00442A47"/>
    <w:rPr>
      <w:i w:val="1"/>
      <w:iCs w:val="1"/>
      <w:color w:val="404040" w:themeColor="text1" w:themeTint="0000BF"/>
    </w:rPr>
  </w:style>
  <w:style w:type="paragraph" w:styleId="PargrafodaLista">
    <w:name w:val="List Paragraph"/>
    <w:basedOn w:val="Normal"/>
    <w:uiPriority w:val="34"/>
    <w:qFormat w:val="1"/>
    <w:rsid w:val="00442A47"/>
    <w:pPr>
      <w:ind w:left="720"/>
      <w:contextualSpacing w:val="1"/>
    </w:pPr>
  </w:style>
  <w:style w:type="character" w:styleId="nfaseIntensa">
    <w:name w:val="Intense Emphasis"/>
    <w:basedOn w:val="Fontepargpadro"/>
    <w:uiPriority w:val="21"/>
    <w:qFormat w:val="1"/>
    <w:rsid w:val="00442A47"/>
    <w:rPr>
      <w:i w:val="1"/>
      <w:iCs w:val="1"/>
      <w:color w:val="0f4761" w:themeColor="accent1" w:themeShade="0000BF"/>
    </w:rPr>
  </w:style>
  <w:style w:type="paragraph" w:styleId="CitaoIntensa">
    <w:name w:val="Intense Quote"/>
    <w:basedOn w:val="Normal"/>
    <w:next w:val="Normal"/>
    <w:link w:val="CitaoIntensaChar"/>
    <w:uiPriority w:val="30"/>
    <w:qFormat w:val="1"/>
    <w:rsid w:val="00442A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oIntensaChar" w:customStyle="1">
    <w:name w:val="Citação Intensa Char"/>
    <w:basedOn w:val="Fontepargpadro"/>
    <w:link w:val="CitaoIntensa"/>
    <w:uiPriority w:val="30"/>
    <w:rsid w:val="00442A47"/>
    <w:rPr>
      <w:i w:val="1"/>
      <w:iCs w:val="1"/>
      <w:color w:val="0f4761" w:themeColor="accent1" w:themeShade="0000BF"/>
    </w:rPr>
  </w:style>
  <w:style w:type="character" w:styleId="RefernciaIntensa">
    <w:name w:val="Intense Reference"/>
    <w:basedOn w:val="Fontepargpadro"/>
    <w:uiPriority w:val="32"/>
    <w:qFormat w:val="1"/>
    <w:rsid w:val="00442A47"/>
    <w:rPr>
      <w:b w:val="1"/>
      <w:bCs w:val="1"/>
      <w:smallCaps w:val="1"/>
      <w:color w:val="0f4761" w:themeColor="accent1" w:themeShade="0000BF"/>
      <w:spacing w:val="5"/>
    </w:rPr>
  </w:style>
  <w:style w:type="paragraph" w:styleId="Cabealho">
    <w:name w:val="header"/>
    <w:basedOn w:val="Normal"/>
    <w:link w:val="CabealhoChar"/>
    <w:uiPriority w:val="99"/>
    <w:unhideWhenUsed w:val="1"/>
    <w:rsid w:val="00442A47"/>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42A47"/>
  </w:style>
  <w:style w:type="paragraph" w:styleId="Rodap">
    <w:name w:val="footer"/>
    <w:basedOn w:val="Normal"/>
    <w:link w:val="RodapChar"/>
    <w:uiPriority w:val="99"/>
    <w:unhideWhenUsed w:val="1"/>
    <w:rsid w:val="00442A47"/>
    <w:pPr>
      <w:tabs>
        <w:tab w:val="center" w:pos="4252"/>
        <w:tab w:val="right" w:pos="8504"/>
      </w:tabs>
      <w:spacing w:after="0" w:line="240" w:lineRule="auto"/>
    </w:pPr>
  </w:style>
  <w:style w:type="character" w:styleId="RodapChar" w:customStyle="1">
    <w:name w:val="Rodapé Char"/>
    <w:basedOn w:val="Fontepargpadro"/>
    <w:link w:val="Rodap"/>
    <w:uiPriority w:val="99"/>
    <w:rsid w:val="00442A47"/>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ov.br/mec/pt-br/escola-em-tempo-integral/BNCC_EI_EF_110518_versaofinal.pdf" TargetMode="Externa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nXqfJtQ1C6J85rYFL48tbh8BhQ==">CgMxLjA4AGowChRzdWdnZXN0Lm56cDV2bjMweTF5MxIYSGVsbGVuIEphcXVlbGluZSBNYXJxdWVzajAKFHN1Z2dlc3QuOGI5eW1wYnJvYmxjEhhIZWxsZW4gSmFxdWVsaW5lIE1hcnF1ZXNqMAoUc3VnZ2VzdC53dDlmZGtmM2VqaTMSGEhlbGxlbiBKYXF1ZWxpbmUgTWFycXVlc2owChRzdWdnZXN0LnZmeGU4dzkzeDN0bxIYSGVsbGVuIEphcXVlbGluZSBNYXJxdWVzai8KE3N1Z2dlc3QuaHd6MTB3dW40cnMSGEhlbGxlbiBKYXF1ZWxpbmUgTWFycXVlc3IhMUdrbnVJQzdDX2RfVEg5SDVEenYxRUg3Qk1Zd1lEdV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2025-02-11T20:29:00Z</dcterms:created>
  <dc:creator>Renato Barros de Almeida</dc:creator>
</cp:coreProperties>
</file>