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8AE8" w14:textId="77777777" w:rsidR="00062E72" w:rsidRPr="00BD0202" w:rsidRDefault="00062E72" w:rsidP="00062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ECOS MEMORIALÍSTICOS EM </w:t>
      </w:r>
      <w:r w:rsidRPr="00BD02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UMA ANÁLISE DISCURSIVA DO SUBALTERNIZADO </w:t>
      </w:r>
    </w:p>
    <w:p w14:paraId="02BCB868" w14:textId="77777777" w:rsidR="00062E72" w:rsidRPr="00BD0202" w:rsidRDefault="00062E72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FB2442" w14:textId="77777777" w:rsidR="00062E72" w:rsidRPr="00BD0202" w:rsidRDefault="00062E72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Ires Cristina Souza Teixeira</w:t>
      </w:r>
    </w:p>
    <w:p w14:paraId="69AAAD7A" w14:textId="77777777" w:rsidR="00062E72" w:rsidRDefault="00062E72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4F2D7973" w14:textId="19B8921A" w:rsidR="007D1577" w:rsidRPr="000A3B13" w:rsidRDefault="007D1577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3B13">
        <w:rPr>
          <w:rFonts w:ascii="Times New Roman" w:eastAsia="Times New Roman" w:hAnsi="Times New Roman" w:cs="Times New Roman"/>
          <w:sz w:val="24"/>
          <w:szCs w:val="24"/>
          <w:lang w:eastAsia="pt-BR"/>
        </w:rPr>
        <w:t>Bolsista da Fapemig</w:t>
      </w:r>
    </w:p>
    <w:p w14:paraId="53CE0653" w14:textId="6CCBC9BC" w:rsidR="00062E72" w:rsidRPr="000A3B13" w:rsidRDefault="00463D29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teixeiraires17</w:t>
      </w:r>
      <w:r w:rsidR="00062E72" w:rsidRPr="000A3B13">
        <w:rPr>
          <w:rFonts w:ascii="Times New Roman" w:eastAsia="Times New Roman" w:hAnsi="Times New Roman" w:cs="Times New Roman"/>
          <w:sz w:val="24"/>
          <w:szCs w:val="24"/>
          <w:lang w:eastAsia="pt-BR"/>
        </w:rPr>
        <w:t>@gmail.com</w:t>
      </w:r>
    </w:p>
    <w:p w14:paraId="1E6A479E" w14:textId="77777777" w:rsidR="00E9767A" w:rsidRPr="000A3B13" w:rsidRDefault="00E9767A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D5724D" w14:textId="77777777" w:rsidR="00062E72" w:rsidRPr="000A3B13" w:rsidRDefault="00062E72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A3B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Márcia Ruas de Aquino</w:t>
      </w:r>
    </w:p>
    <w:p w14:paraId="21C2D556" w14:textId="77777777" w:rsidR="007D1577" w:rsidRPr="000A3B13" w:rsidRDefault="00062E72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3B13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148EA6C7" w14:textId="06E33DA3" w:rsidR="00062E72" w:rsidRPr="000A3B13" w:rsidRDefault="007D1577" w:rsidP="007D1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3B13">
        <w:rPr>
          <w:rFonts w:ascii="Times New Roman" w:eastAsia="Times New Roman" w:hAnsi="Times New Roman" w:cs="Times New Roman"/>
          <w:sz w:val="24"/>
          <w:szCs w:val="24"/>
          <w:lang w:eastAsia="pt-BR"/>
        </w:rPr>
        <w:t>Bolsista da Fapemig</w:t>
      </w:r>
      <w:r w:rsidR="00062E72" w:rsidRPr="000A3B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09F38B0" w14:textId="5D23C6CE" w:rsidR="00AD7CA1" w:rsidRDefault="00EE7B5F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anamarciaaquino@gmail.com</w:t>
      </w:r>
    </w:p>
    <w:p w14:paraId="575BDACB" w14:textId="39962892" w:rsidR="00062E72" w:rsidRPr="00BD0202" w:rsidRDefault="00062E72" w:rsidP="00062E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 Alfabetização, Letramento e outras Linguagens</w:t>
      </w:r>
    </w:p>
    <w:p w14:paraId="4775CA8E" w14:textId="0BCD2046" w:rsidR="009D5A3E" w:rsidRPr="00BD0202" w:rsidRDefault="00000000" w:rsidP="00062E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D0202"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0CE87F3B" w14:textId="77777777" w:rsidR="009D5A3E" w:rsidRPr="00BD0202" w:rsidRDefault="009D5A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65C583" w14:textId="0DE5DAB2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</w:p>
    <w:p w14:paraId="2A2E3D8F" w14:textId="5DD7D666" w:rsidR="00062E72" w:rsidRPr="00BD0202" w:rsidRDefault="00062E72" w:rsidP="00B45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Esta pesquisa visa analisar a constituição de discursos sobre o corpo negro no espaço escolar,</w:t>
      </w:r>
      <w:r w:rsidR="0080405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meio da Graphic Novel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base nos conceitos de não inserção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 memória discursiva. Trata-se de uma pesquisa qualitativa</w:t>
      </w:r>
      <w:r w:rsidR="0080405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análise discursiva do </w:t>
      </w: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corpus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mediante as perspectivas teóricas da Análise do Discurso, dos multiletramentos, das Histórias em Quadrinhos, da colonialidade e da Pedagogia do Oprimido. Identificou-se que a construção sobre a história de Jeremias evidencia eventos de resistência, nos quais o protagonista</w:t>
      </w:r>
      <w:r w:rsidR="009C4D2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projetar-se como astronauta, sofre a violência de uma imposição docente para o lugar social de pedreiro, mas </w:t>
      </w:r>
      <w:r w:rsidR="009C4D2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transforma em território</w:t>
      </w:r>
      <w:r w:rsidR="0025263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humanização. Conclui-se que</w:t>
      </w:r>
      <w:r w:rsidR="00B90F6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inserç</w:t>
      </w:r>
      <w:r w:rsidR="00B4537E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ão</w:t>
      </w:r>
      <w:r w:rsidR="00B90F6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corpos</w:t>
      </w:r>
      <w:r w:rsidR="00B4537E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B90F6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um horizonte </w:t>
      </w:r>
      <w:r w:rsidR="00B4537E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homogêneo e inferior</w:t>
      </w:r>
      <w:r w:rsidR="00B90F6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B4537E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está</w:t>
      </w:r>
      <w:r w:rsidR="00B90F6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além das microagressões e imposições de papéis, revelando aspectos naturalizados como o “fatalismo”</w:t>
      </w:r>
      <w:r w:rsidR="0080405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90F6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servidão e o apagamento da </w:t>
      </w:r>
      <w:r w:rsidR="00B4537E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intelectualidade negra. </w:t>
      </w:r>
    </w:p>
    <w:p w14:paraId="738A695F" w14:textId="5A57F42F" w:rsidR="009D5A3E" w:rsidRPr="00BD0202" w:rsidRDefault="00062E7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202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3F5B03" w:rsidRPr="00BD0202">
        <w:rPr>
          <w:rFonts w:ascii="Times New Roman" w:hAnsi="Times New Roman" w:cs="Times New Roman"/>
          <w:bCs/>
          <w:sz w:val="24"/>
          <w:szCs w:val="24"/>
        </w:rPr>
        <w:t>Representatividade negra. Ensino decolonial. Graphic Novel.</w:t>
      </w:r>
    </w:p>
    <w:p w14:paraId="1FF95906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D90A3B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4698EC89" w14:textId="6D7D2E78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Representar corpos negros em narrativas quadrinizadas no Brasil esteve, por muito tempo, atrelado à invisibilidade ou estereotipia. No entanto, com vistas a romper essa lógica, o selo Graphic MSP lançou</w:t>
      </w:r>
      <w:r w:rsidR="009C4D2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2018</w:t>
      </w:r>
      <w:r w:rsidR="009C4D2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obra </w:t>
      </w: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 de Rafael Calça e Jefferson Costa, protagonizada por um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personagem outrora coadjuvante. Configurada como Graphic Novel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(GN)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obra trata de temáticas como racismo estrutural, violência escolar, autoestima negra e, a partir disso, transformação social. Desse modo, nota-se que </w:t>
      </w: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funciona como um dispositivo de educação antirracista</w:t>
      </w:r>
      <w:r w:rsidR="003365FF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denunciar as violências simbólicas que ainda persistem no cotidiano escolar.</w:t>
      </w:r>
    </w:p>
    <w:p w14:paraId="106A451D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EA2E8B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402B81C5" w14:textId="3AFC0EE3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estudo justifica-se por reconhecer, na </w:t>
      </w:r>
      <w:r w:rsidR="0070388E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GN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espaço de práticas discursivas que subvertem, pelas ancoragens memorialísticas e pelos múltiplos letramentos, a estereotipia colonialista, servindo à perspectiva da educação antirracista. Frente a isso, questiona-se de que forma as linguagens verbovisuais da narrativa </w:t>
      </w:r>
      <w:r w:rsidR="0025263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constroem sentidos que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evidenciam eventos de resistência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materializando, através da criticidade, o processo de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inserção 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em relação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aos discursos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colonialidade 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presentes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no ambiente educativo.</w:t>
      </w:r>
    </w:p>
    <w:p w14:paraId="4E086F80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AA55A5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7C01DB48" w14:textId="77777777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Analisar a constituição de discursos sobre o corpo negro no espaço escolar, em </w:t>
      </w: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base nos conceitos de não inserção e memória discursiva.</w:t>
      </w:r>
    </w:p>
    <w:p w14:paraId="05A4741C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070F7F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4891D741" w14:textId="26235426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trabalho ancora-se nas teorias da Análise do Discurso (Brandão, 2004), dos multiletramentos (Rojo; Moura, </w:t>
      </w:r>
      <w:r w:rsidR="0025263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2019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), das Histórias em Quadrinhos (Vergueiro; Chinen, 2015), da colonialidade (Quijano, 2009) e da Pedagogia do Oprimido (Freire, 2024). Com base nessas perspectivas, parte-se dos conceitos de inserção (adaptação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passiva 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do sujeito frente ao cenário opressor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) e não inserção (transformação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crítica pelo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sujeito 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do lugar</w:t>
      </w:r>
      <w:r w:rsidR="00212EA5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opressor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social (Freire, 2024), bem como de internalização memorialística por retomada e atualização do passado (memória plena) e/ou por univocidade dominadora (memória lacunar) (Brandão, 2004). Tais eixos, quando se pensa na construção de histórias quadrinizadas, atuam conjuntamente aos multiletramentos para </w:t>
      </w:r>
      <w:r w:rsidR="0080405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produção de sentido coerentes com as práticas culturais contemporâneas.</w:t>
      </w:r>
    </w:p>
    <w:p w14:paraId="56EA2CE3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C8F1AE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6D7E3BFD" w14:textId="15440183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Trata-se de uma pesquisa qualitativa, com revisão de literatura e análise discursiva d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 G</w:t>
      </w:r>
      <w:r w:rsidR="003365FF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Jeremias – Pele, 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meio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qual analisam-se eventos narrativos </w:t>
      </w:r>
      <w:r w:rsidR="009C50F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referentes à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predeterminação de lugar social ao protagonista.</w:t>
      </w:r>
    </w:p>
    <w:p w14:paraId="67EC8BA8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69826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7C680B5D" w14:textId="6CFAB390" w:rsidR="00BD403D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As sequências narrativas da GN analisada demonstram como as violências no âmbito escolar podem ser consolidadas e de qu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ais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ecos discursivos elas se valem para a construção identitária. Nos quadrinhos introdutórios, 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personagem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Jeremias vivencia a possibilidade de tornar-se um astronauta negro. A representatividade televisiva de sua existência nessa profissão ativa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protagonista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possibilidade de ocupação de um cargo histórica e socialmente prestigiado, destacando a ocorrência da memória plena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 a qual resgata discursos dominantes que legitimam lugares sociais</w:t>
      </w:r>
      <w:r w:rsidR="003365FF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fim de rompê-los.</w:t>
      </w:r>
    </w:p>
    <w:p w14:paraId="1CDE8EAA" w14:textId="5290A206" w:rsidR="00062E72" w:rsidRPr="00A147CD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Tal desejo profissional, no entanto, gera ao protagonista uma série de conflitos em seu ambiente escolar. Durante a “Semana das Profissões”, a professora, agindo sob o domínio da memória lacunar, silencia o Jeremias astronauta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impor a ele o Jeremias pedreiro.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808D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Esse discurso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solidifi</w:t>
      </w:r>
      <w:r w:rsidR="00E808D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ca-se por meio da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reafirmação de discursos dominantes que condicionam o corpo negro</w:t>
      </w:r>
      <w:r w:rsidR="00E808D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espaço da não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intelectualidade. Em decorrência dessa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predeterminação histórica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, 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ssocia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-se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808D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 existência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negr</w:t>
      </w:r>
      <w:r w:rsidR="00E808D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apenas ao trabalho braçal e servil, 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negando-lhe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profissões socialmente prestigiadas. </w:t>
      </w:r>
      <w:r w:rsidR="00E808D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riso dos colegas e a fala desdenhosa da docente</w:t>
      </w:r>
      <w:r w:rsidR="003365FF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profissão muito incomum, não acha</w:t>
      </w: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?”</w:t>
      </w:r>
      <w:r w:rsidR="003365FF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9767A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(Calça e Costa, 2018, p. 22)</w:t>
      </w:r>
      <w:r w:rsidR="00BD020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365FF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="00540C43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diante da escolha de Jeremias em ser astronauta, </w:t>
      </w: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configuram a violência institucional</w:t>
      </w:r>
      <w:r w:rsidR="00540C43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seguida d</w:t>
      </w:r>
      <w:r w:rsidR="00540C43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confusão identitária do protagonista.</w:t>
      </w:r>
      <w:r w:rsidR="00BD403D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113C4A9" w14:textId="7D1742C4" w:rsidR="00062E72" w:rsidRPr="00BD0202" w:rsidRDefault="00E808D0" w:rsidP="00BD403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acolhimento e a compreensão desse 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trauma ocorre</w:t>
      </w: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seio familiar, em que Jeremias resgata a história de seu avô, um pedreiro de excelência</w:t>
      </w:r>
      <w:r w:rsidR="00BD403D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reconhece as </w:t>
      </w:r>
      <w:r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complexidades das</w:t>
      </w:r>
      <w:r w:rsidR="00BD403D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infâncias negras, através das histórias de seus pais.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D403D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Mediante isso, a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o retornar à escola</w:t>
      </w:r>
      <w:r w:rsidR="00BD403D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apresentação de sua pesquisa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, Jeremias não recusa a profissão, mas a ressignifica politicamente.</w:t>
      </w:r>
      <w:r w:rsidR="00062E72" w:rsidRPr="00A147CD">
        <w:t xml:space="preserve"> 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Ao afirmar “claro que escolheram o menino negro para ser pedreiro”</w:t>
      </w:r>
      <w:r w:rsidR="00BD020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9767A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(Calça e Costa, 2018, p. 72)</w:t>
      </w:r>
      <w:r w:rsidR="00062E72" w:rsidRPr="00A147CD">
        <w:rPr>
          <w:rFonts w:ascii="Times New Roman" w:eastAsia="Times New Roman" w:hAnsi="Times New Roman" w:cs="Times New Roman"/>
          <w:sz w:val="24"/>
          <w:szCs w:val="24"/>
          <w:lang w:eastAsia="pt-BR"/>
        </w:rPr>
        <w:t>, ele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demonstra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consciência construída acerca do racismo estrutural, utilizando</w:t>
      </w:r>
      <w:r w:rsidR="00540C43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-se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memória plena 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evidenciar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previsível do processo de inserção: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requerer a adaptação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corpos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negros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para u</w:t>
      </w:r>
      <w:r w:rsidR="00BD403D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m horizonte homogêneo e inferior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movimento de transformação 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o que 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caracteriza a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de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inserção</w:t>
      </w:r>
      <w:r w:rsidR="001D20DC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dessa personagem, pois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a, ao 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ocupa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um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espaço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subalternizado, não se 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adapta,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reafirmando sua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recusa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coisificação e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062E72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o silenciamento impostos pela colonialidade.</w:t>
      </w:r>
    </w:p>
    <w:p w14:paraId="0FF7EE22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773970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39E19EBA" w14:textId="77777777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insere-se no campo da Educação, especificamente no eixo Alfabetização, Letramento e outras Linguagens, pois apresenta a Graphic Novel como ferramenta para ampliar as práticas de multiletramento no processo de ensino-aprendizagem antirracista.</w:t>
      </w:r>
    </w:p>
    <w:p w14:paraId="39E3422C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6E6C92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B6DFE79" w14:textId="1F3F186A" w:rsidR="00062E72" w:rsidRPr="00BD0202" w:rsidRDefault="00062E72" w:rsidP="00062E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Jeremias – Pele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revela o ambiente educativo como espaço de disputa ideológica, no qual os ecos memorialísticos consolidam e/ou rompem as colonialidades inquisitórias aos historicamente subalternizados</w:t>
      </w:r>
      <w:r w:rsidR="0030614B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. Com efeito, a trajetória de Jeremias explicita a passagem da inserção (aceitação passiva do silenciamento imposto pela memória lacunar docente) à não inserção (ocupação crítica desse mesmo lugar, ressignificado pela memória plena d</w:t>
      </w:r>
      <w:r w:rsidR="008B11B4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 personagem</w:t>
      </w:r>
      <w:r w:rsidR="0030614B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demonstrando </w:t>
      </w:r>
      <w:r w:rsidR="0025263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esse rompimento </w:t>
      </w:r>
      <w:r w:rsidR="0030614B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como parâmetro para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função social d</w:t>
      </w:r>
      <w:r w:rsidR="0025263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e um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educação </w:t>
      </w:r>
      <w:r w:rsidR="00252630"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antirracista, comprometida com </w:t>
      </w:r>
      <w:r w:rsidRPr="00BD0202">
        <w:rPr>
          <w:rFonts w:ascii="Times New Roman" w:eastAsia="Times New Roman" w:hAnsi="Times New Roman" w:cs="Times New Roman"/>
          <w:sz w:val="24"/>
          <w:szCs w:val="24"/>
          <w:lang w:eastAsia="pt-BR"/>
        </w:rPr>
        <w:t>a humanização e a convivência plural.</w:t>
      </w:r>
    </w:p>
    <w:p w14:paraId="4D480E08" w14:textId="77777777" w:rsidR="009D5A3E" w:rsidRPr="00BD0202" w:rsidRDefault="009D5A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4F1F72" w14:textId="77777777" w:rsidR="009D5A3E" w:rsidRPr="00BD020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D020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45E95B5" w14:textId="77777777" w:rsidR="00062E72" w:rsidRPr="00BD0202" w:rsidRDefault="00062E72" w:rsidP="00062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202">
        <w:rPr>
          <w:rFonts w:ascii="Times New Roman" w:hAnsi="Times New Roman" w:cs="Times New Roman"/>
          <w:sz w:val="24"/>
          <w:szCs w:val="24"/>
        </w:rPr>
        <w:t xml:space="preserve">BRANDÃO, Helena Hathsue Nagamine. Sobre a noção de interdiscursividade. </w:t>
      </w:r>
      <w:r w:rsidRPr="00BD0202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BD0202">
        <w:rPr>
          <w:rFonts w:ascii="Times New Roman" w:hAnsi="Times New Roman" w:cs="Times New Roman"/>
          <w:sz w:val="24"/>
          <w:szCs w:val="24"/>
        </w:rPr>
        <w:t xml:space="preserve">: BRANDÃO, Helena H. Nagamine. </w:t>
      </w:r>
      <w:r w:rsidRPr="00BD0202">
        <w:rPr>
          <w:rFonts w:ascii="Times New Roman" w:hAnsi="Times New Roman" w:cs="Times New Roman"/>
          <w:b/>
          <w:bCs/>
          <w:sz w:val="24"/>
          <w:szCs w:val="24"/>
        </w:rPr>
        <w:t>Introdução à Análise do Discurso</w:t>
      </w:r>
      <w:r w:rsidRPr="00BD0202">
        <w:rPr>
          <w:rFonts w:ascii="Times New Roman" w:hAnsi="Times New Roman" w:cs="Times New Roman"/>
          <w:sz w:val="24"/>
          <w:szCs w:val="24"/>
        </w:rPr>
        <w:t xml:space="preserve">. 2. ed.  Campinas: Editora da UNICAMP, 2004. p. 87-102. </w:t>
      </w:r>
    </w:p>
    <w:p w14:paraId="0BA1FE20" w14:textId="77777777" w:rsidR="00062E72" w:rsidRPr="00BD0202" w:rsidRDefault="00062E72" w:rsidP="00062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202">
        <w:rPr>
          <w:rFonts w:ascii="Times New Roman" w:hAnsi="Times New Roman" w:cs="Times New Roman"/>
          <w:sz w:val="24"/>
          <w:szCs w:val="24"/>
        </w:rPr>
        <w:t xml:space="preserve">CALÇA, Rafael; COSTA, Jefferson. </w:t>
      </w:r>
      <w:r w:rsidRPr="00BD0202">
        <w:rPr>
          <w:rFonts w:ascii="Times New Roman" w:hAnsi="Times New Roman" w:cs="Times New Roman"/>
          <w:b/>
          <w:bCs/>
          <w:sz w:val="24"/>
          <w:szCs w:val="24"/>
        </w:rPr>
        <w:t>Jeremias</w:t>
      </w:r>
      <w:r w:rsidRPr="00BD0202">
        <w:rPr>
          <w:rFonts w:ascii="Times New Roman" w:hAnsi="Times New Roman" w:cs="Times New Roman"/>
          <w:sz w:val="24"/>
          <w:szCs w:val="24"/>
        </w:rPr>
        <w:t xml:space="preserve">: Pele. São Paulo: Panini, 2018. </w:t>
      </w:r>
    </w:p>
    <w:p w14:paraId="609EBC08" w14:textId="77777777" w:rsidR="00062E72" w:rsidRPr="00BD0202" w:rsidRDefault="00062E72" w:rsidP="00062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202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BD0202">
        <w:rPr>
          <w:rFonts w:ascii="Times New Roman" w:hAnsi="Times New Roman" w:cs="Times New Roman"/>
          <w:b/>
          <w:bCs/>
          <w:sz w:val="24"/>
          <w:szCs w:val="24"/>
        </w:rPr>
        <w:t>Pedagogia do Oprimido</w:t>
      </w:r>
      <w:r w:rsidRPr="00BD0202">
        <w:rPr>
          <w:rFonts w:ascii="Times New Roman" w:hAnsi="Times New Roman" w:cs="Times New Roman"/>
          <w:sz w:val="24"/>
          <w:szCs w:val="24"/>
        </w:rPr>
        <w:t xml:space="preserve">. 90. ed. Rio de Janeiro: Paz e Terra, 2024, 256p. </w:t>
      </w:r>
    </w:p>
    <w:p w14:paraId="44A077C4" w14:textId="77777777" w:rsidR="00062E72" w:rsidRPr="00BD0202" w:rsidRDefault="00062E72" w:rsidP="00062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202">
        <w:rPr>
          <w:rFonts w:ascii="Times New Roman" w:hAnsi="Times New Roman" w:cs="Times New Roman"/>
          <w:sz w:val="24"/>
          <w:szCs w:val="24"/>
        </w:rPr>
        <w:t xml:space="preserve">QUIJANO, Aníbal. Colonialidade do poder e classificação social. </w:t>
      </w:r>
      <w:r w:rsidRPr="00BD0202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BD0202">
        <w:rPr>
          <w:rFonts w:ascii="Times New Roman" w:hAnsi="Times New Roman" w:cs="Times New Roman"/>
          <w:sz w:val="24"/>
          <w:szCs w:val="24"/>
        </w:rPr>
        <w:t xml:space="preserve">: SANTOS, Boaventura de Souza; MENESES, Maria Paula. (orgs.). </w:t>
      </w:r>
      <w:r w:rsidRPr="00BD0202">
        <w:rPr>
          <w:rFonts w:ascii="Times New Roman" w:hAnsi="Times New Roman" w:cs="Times New Roman"/>
          <w:b/>
          <w:bCs/>
          <w:sz w:val="24"/>
          <w:szCs w:val="24"/>
        </w:rPr>
        <w:t>Epistemologias do sul</w:t>
      </w:r>
      <w:r w:rsidRPr="00BD0202">
        <w:rPr>
          <w:rFonts w:ascii="Times New Roman" w:hAnsi="Times New Roman" w:cs="Times New Roman"/>
          <w:sz w:val="24"/>
          <w:szCs w:val="24"/>
        </w:rPr>
        <w:t xml:space="preserve">. Coimbra: Almedina, 2009. p. 73-117. </w:t>
      </w:r>
    </w:p>
    <w:p w14:paraId="5B1F7384" w14:textId="77777777" w:rsidR="00062E72" w:rsidRPr="00BD0202" w:rsidRDefault="00062E72" w:rsidP="00062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202">
        <w:rPr>
          <w:rFonts w:ascii="Times New Roman" w:hAnsi="Times New Roman" w:cs="Times New Roman"/>
          <w:sz w:val="24"/>
          <w:szCs w:val="24"/>
        </w:rPr>
        <w:t xml:space="preserve">ROJO, Roxane; MOURA, Eduardo. Letramentos, </w:t>
      </w:r>
      <w:r w:rsidRPr="00BD0202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BD0202">
        <w:rPr>
          <w:rFonts w:ascii="Times New Roman" w:hAnsi="Times New Roman" w:cs="Times New Roman"/>
          <w:sz w:val="24"/>
          <w:szCs w:val="24"/>
        </w:rPr>
        <w:t xml:space="preserve">: ROJO, Roxane; MOURA, Eduardo. </w:t>
      </w:r>
      <w:r w:rsidRPr="00BD0202">
        <w:rPr>
          <w:rFonts w:ascii="Times New Roman" w:hAnsi="Times New Roman" w:cs="Times New Roman"/>
          <w:b/>
          <w:bCs/>
          <w:sz w:val="24"/>
          <w:szCs w:val="24"/>
        </w:rPr>
        <w:t>Letramentos, mídias e linguagens</w:t>
      </w:r>
      <w:r w:rsidRPr="00BD0202">
        <w:rPr>
          <w:rFonts w:ascii="Times New Roman" w:hAnsi="Times New Roman" w:cs="Times New Roman"/>
          <w:sz w:val="24"/>
          <w:szCs w:val="24"/>
        </w:rPr>
        <w:t xml:space="preserve">. São Paulo: Parábola Editorial, 2019, p.11-27. </w:t>
      </w:r>
    </w:p>
    <w:p w14:paraId="609F7C92" w14:textId="73497941" w:rsidR="00062E72" w:rsidRPr="00BD0202" w:rsidRDefault="00062E72" w:rsidP="00062E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0202">
        <w:rPr>
          <w:rFonts w:ascii="Times New Roman" w:hAnsi="Times New Roman" w:cs="Times New Roman"/>
          <w:sz w:val="24"/>
          <w:szCs w:val="24"/>
        </w:rPr>
        <w:t xml:space="preserve">VERGUEIRO, Waldomiro; CHINEN, Nobuyoshi. O negro nas histórias em quadrinhos: discutindo preconceito e resistências em sala de aula. </w:t>
      </w:r>
      <w:r w:rsidRPr="00BD0202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BD0202">
        <w:rPr>
          <w:rFonts w:ascii="Times New Roman" w:hAnsi="Times New Roman" w:cs="Times New Roman"/>
          <w:sz w:val="24"/>
          <w:szCs w:val="24"/>
        </w:rPr>
        <w:t>: SANTOS NETO, Elydio dos; SILVA, Marta Regina Paulo da (</w:t>
      </w:r>
      <w:r w:rsidR="00540C43" w:rsidRPr="00BD0202">
        <w:rPr>
          <w:rFonts w:ascii="Times New Roman" w:hAnsi="Times New Roman" w:cs="Times New Roman"/>
          <w:sz w:val="24"/>
          <w:szCs w:val="24"/>
        </w:rPr>
        <w:t>O</w:t>
      </w:r>
      <w:r w:rsidRPr="00BD0202">
        <w:rPr>
          <w:rFonts w:ascii="Times New Roman" w:hAnsi="Times New Roman" w:cs="Times New Roman"/>
          <w:sz w:val="24"/>
          <w:szCs w:val="24"/>
        </w:rPr>
        <w:t xml:space="preserve">rgs.). </w:t>
      </w:r>
      <w:r w:rsidRPr="00BD0202">
        <w:rPr>
          <w:rFonts w:ascii="Times New Roman" w:hAnsi="Times New Roman" w:cs="Times New Roman"/>
          <w:b/>
          <w:bCs/>
          <w:sz w:val="24"/>
          <w:szCs w:val="24"/>
        </w:rPr>
        <w:t>História em quadrinhos e práticas educativas</w:t>
      </w:r>
      <w:r w:rsidRPr="00BD0202">
        <w:rPr>
          <w:rFonts w:ascii="Times New Roman" w:hAnsi="Times New Roman" w:cs="Times New Roman"/>
          <w:sz w:val="24"/>
          <w:szCs w:val="24"/>
        </w:rPr>
        <w:t>: os gibis estão na escola, e agora? 1. ed. v. 2. São Paulo: Criativo, 2015. p. 73-87.</w:t>
      </w:r>
    </w:p>
    <w:p w14:paraId="091F647C" w14:textId="77777777" w:rsidR="00062E72" w:rsidRPr="00BD0202" w:rsidRDefault="00062E72">
      <w:pPr>
        <w:spacing w:after="0" w:line="240" w:lineRule="auto"/>
        <w:jc w:val="both"/>
        <w:rPr>
          <w:sz w:val="24"/>
          <w:szCs w:val="24"/>
        </w:rPr>
      </w:pPr>
    </w:p>
    <w:sectPr w:rsidR="00062E72" w:rsidRPr="00BD0202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EA1E7" w14:textId="77777777" w:rsidR="00906C05" w:rsidRDefault="00906C05">
      <w:pPr>
        <w:spacing w:line="240" w:lineRule="auto"/>
      </w:pPr>
      <w:r>
        <w:separator/>
      </w:r>
    </w:p>
  </w:endnote>
  <w:endnote w:type="continuationSeparator" w:id="0">
    <w:p w14:paraId="2B0749D9" w14:textId="77777777" w:rsidR="00906C05" w:rsidRDefault="00906C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5C93B" w14:textId="77777777" w:rsidR="00906C05" w:rsidRDefault="00906C05">
      <w:pPr>
        <w:spacing w:after="0"/>
      </w:pPr>
      <w:r>
        <w:separator/>
      </w:r>
    </w:p>
  </w:footnote>
  <w:footnote w:type="continuationSeparator" w:id="0">
    <w:p w14:paraId="64965445" w14:textId="77777777" w:rsidR="00906C05" w:rsidRDefault="00906C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8BE7" w14:textId="77777777" w:rsidR="009D5A3E" w:rsidRDefault="00000000">
    <w:pPr>
      <w:pStyle w:val="Cabealho"/>
    </w:pPr>
    <w:r>
      <w:rPr>
        <w:noProof/>
      </w:rPr>
      <w:drawing>
        <wp:inline distT="0" distB="0" distL="114300" distR="114300" wp14:anchorId="3CD818DB" wp14:editId="493E522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2E72"/>
    <w:rsid w:val="0007611A"/>
    <w:rsid w:val="000A3B13"/>
    <w:rsid w:val="000B16D9"/>
    <w:rsid w:val="00172A27"/>
    <w:rsid w:val="001D20DC"/>
    <w:rsid w:val="001F705A"/>
    <w:rsid w:val="00212EA5"/>
    <w:rsid w:val="00252630"/>
    <w:rsid w:val="00272E87"/>
    <w:rsid w:val="003053E4"/>
    <w:rsid w:val="0030614B"/>
    <w:rsid w:val="003365FF"/>
    <w:rsid w:val="003F5B03"/>
    <w:rsid w:val="0040471D"/>
    <w:rsid w:val="00463D29"/>
    <w:rsid w:val="004B6B62"/>
    <w:rsid w:val="00540C43"/>
    <w:rsid w:val="006379B1"/>
    <w:rsid w:val="00677F30"/>
    <w:rsid w:val="006A09BE"/>
    <w:rsid w:val="0070388E"/>
    <w:rsid w:val="00741E2B"/>
    <w:rsid w:val="007D1577"/>
    <w:rsid w:val="007E5882"/>
    <w:rsid w:val="0080405C"/>
    <w:rsid w:val="008B11B4"/>
    <w:rsid w:val="00906C05"/>
    <w:rsid w:val="00932BD7"/>
    <w:rsid w:val="009C4D2C"/>
    <w:rsid w:val="009C50F2"/>
    <w:rsid w:val="009D3AF0"/>
    <w:rsid w:val="009D5A3E"/>
    <w:rsid w:val="009E44FC"/>
    <w:rsid w:val="00A147CD"/>
    <w:rsid w:val="00A341EB"/>
    <w:rsid w:val="00A54DDE"/>
    <w:rsid w:val="00A70FE9"/>
    <w:rsid w:val="00AD7CA1"/>
    <w:rsid w:val="00B4537E"/>
    <w:rsid w:val="00B51186"/>
    <w:rsid w:val="00B63DBF"/>
    <w:rsid w:val="00B63FBB"/>
    <w:rsid w:val="00B82A8F"/>
    <w:rsid w:val="00B90F63"/>
    <w:rsid w:val="00BD0202"/>
    <w:rsid w:val="00BD403D"/>
    <w:rsid w:val="00D11B75"/>
    <w:rsid w:val="00D136E8"/>
    <w:rsid w:val="00E15299"/>
    <w:rsid w:val="00E46E86"/>
    <w:rsid w:val="00E808D0"/>
    <w:rsid w:val="00E9767A"/>
    <w:rsid w:val="00EE7B5F"/>
    <w:rsid w:val="00EE7C7C"/>
    <w:rsid w:val="00F855BF"/>
    <w:rsid w:val="00FB1251"/>
    <w:rsid w:val="00FC42FE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C31B"/>
  <w15:docId w15:val="{BCC0FFBA-E733-496A-A44A-EC455983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040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40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405C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40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405C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PargrafodaLista">
    <w:name w:val="List Paragraph"/>
    <w:basedOn w:val="Normal"/>
    <w:uiPriority w:val="99"/>
    <w:unhideWhenUsed/>
    <w:rsid w:val="00BD403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E97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1306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Ires Teixeira</cp:lastModifiedBy>
  <cp:revision>10</cp:revision>
  <dcterms:created xsi:type="dcterms:W3CDTF">2026-04-16T14:06:00Z</dcterms:created>
  <dcterms:modified xsi:type="dcterms:W3CDTF">2026-04-24T14:52:00Z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