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Neoplasia maligna do colo do útero no Brasil: uma análise epidemiológica de 2009 a 2019</w:t>
      </w:r>
    </w:p>
    <w:p w14:paraId="00000002" w14:textId="77777777" w:rsidR="00042A6B" w:rsidRDefault="0004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1D56A" w14:textId="77777777" w:rsidR="00142F18" w:rsidRDefault="00142F18" w:rsidP="0014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Vanessa Bandeira de Araújo Cavalcanti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>; Gabriel José Torres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Maykon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Wanderley Leite Alves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Sthylla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Conceição Antão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Mayara Leite Alves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94FD21" w14:textId="77777777" w:rsidR="00142F18" w:rsidRDefault="00142F18" w:rsidP="0014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Estadual de Ciências da Saúde de Alagoas (Uncisal), Curso de Medicina, Maceió, Alagoas, Brasil.</w:t>
      </w:r>
    </w:p>
    <w:p w14:paraId="73BFA89C" w14:textId="77777777" w:rsidR="00142F18" w:rsidRPr="00302D70" w:rsidRDefault="00142F18" w:rsidP="0014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Mestranda em Ciências Médicas da Universidade Federal de Alagoas (UFAL), Maceió, Alagoas, Brasil.</w:t>
      </w:r>
    </w:p>
    <w:p w14:paraId="1AB46FC5" w14:textId="77777777" w:rsidR="00142F18" w:rsidRDefault="00142F18" w:rsidP="0014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Autora correspondente: </w:t>
      </w:r>
      <w:hyperlink r:id="rId4" w:history="1">
        <w:r w:rsidRPr="00712426">
          <w:rPr>
            <w:rStyle w:val="Hyperlink"/>
            <w:rFonts w:ascii="Times New Roman" w:hAnsi="Times New Roman" w:cs="Times New Roman"/>
            <w:sz w:val="24"/>
            <w:szCs w:val="24"/>
          </w:rPr>
          <w:t>amanda.bandeira26@hotmail.com</w:t>
        </w:r>
      </w:hyperlink>
    </w:p>
    <w:p w14:paraId="00000007" w14:textId="77777777" w:rsidR="00042A6B" w:rsidRDefault="0004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47C63" w14:textId="01E9121F" w:rsidR="00610497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Brasil, a neoplasia maligna do colo do útero (NMCU) apresenta alta taxa de mortalidade e de morbidade, sendo o segundo tipo de câncer mais comum entre mulheres. É considerada um grande problema de saúde, principalmente em decorrência da elevada incidência e da crescente exposição aos fatores de risco.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Definir o perfil epidemiológico d</w:t>
      </w:r>
      <w:r w:rsidR="007912AE">
        <w:rPr>
          <w:rFonts w:ascii="Times New Roman" w:eastAsia="Times New Roman" w:hAnsi="Times New Roman" w:cs="Times New Roman"/>
          <w:sz w:val="24"/>
          <w:szCs w:val="24"/>
        </w:rPr>
        <w:t>e mulheres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neoplasia maligna do colo do útero no Brasil de 2009 a 2019.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realizado um estudo observacional, retrospectivo, de cunho quantitativo, com análise dos dados registrado</w:t>
      </w:r>
      <w:r w:rsidR="007912A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Sistema de Informações Hospitalares do Sistema Único de Saúde</w:t>
      </w:r>
      <w:r w:rsidR="007912AE" w:rsidRPr="00791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2AE">
        <w:rPr>
          <w:rFonts w:ascii="Times New Roman" w:eastAsia="Times New Roman" w:hAnsi="Times New Roman" w:cs="Times New Roman"/>
          <w:sz w:val="24"/>
          <w:szCs w:val="24"/>
        </w:rPr>
        <w:t>no período de 2009 a 2019</w:t>
      </w:r>
      <w:r w:rsidR="00E0053B">
        <w:rPr>
          <w:rFonts w:ascii="Times New Roman" w:eastAsia="Times New Roman" w:hAnsi="Times New Roman" w:cs="Times New Roman"/>
          <w:sz w:val="24"/>
          <w:szCs w:val="24"/>
        </w:rPr>
        <w:t>, por meio d</w:t>
      </w:r>
      <w:r>
        <w:rPr>
          <w:rFonts w:ascii="Times New Roman" w:eastAsia="Times New Roman" w:hAnsi="Times New Roman" w:cs="Times New Roman"/>
          <w:sz w:val="24"/>
          <w:szCs w:val="24"/>
        </w:rPr>
        <w:t>as internações do CID-10</w:t>
      </w:r>
      <w:r w:rsidR="00E0053B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neoplasia maligna do colo do útero. As variáveis anali</w:t>
      </w:r>
      <w:r w:rsidR="00142F18">
        <w:rPr>
          <w:rFonts w:ascii="Times New Roman" w:eastAsia="Times New Roman" w:hAnsi="Times New Roman" w:cs="Times New Roman"/>
          <w:sz w:val="24"/>
          <w:szCs w:val="24"/>
        </w:rPr>
        <w:t>sadas foram: internações, regiões brasileiras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caráter do atendimento, faixa etária, cor, óbitos e taxa de mortalidade. Foi aplicada estatística descritiva e análise das frequências relativa e absoluta.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2009 e 2019, </w:t>
      </w:r>
      <w:r w:rsidR="007912AE">
        <w:rPr>
          <w:rFonts w:ascii="Times New Roman" w:eastAsia="Times New Roman" w:hAnsi="Times New Roman" w:cs="Times New Roman"/>
          <w:sz w:val="24"/>
          <w:szCs w:val="24"/>
        </w:rPr>
        <w:t>hou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ve registro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243.188 internações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distribuição semelhante entre os anos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com pico em 2019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10,0% do total (n=24.375). A região com maior número de casos foi o Sudeste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38,8% das internações (n=95.716), seguido do Nordeste com 27,5%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=66.888).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caráter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 xml:space="preserve"> de atendimento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eletivo representou 50,6% (n=123.095) e o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 xml:space="preserve"> caráter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urgente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49,4% (n=120.093) do total das internações;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o número de óbitos ocorridos durante atendimento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eletivo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foi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25,3% (n=6.194) e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 xml:space="preserve">durante o </w:t>
      </w:r>
      <w:r>
        <w:rPr>
          <w:rFonts w:ascii="Times New Roman" w:eastAsia="Times New Roman" w:hAnsi="Times New Roman" w:cs="Times New Roman"/>
          <w:sz w:val="24"/>
          <w:szCs w:val="24"/>
        </w:rPr>
        <w:t>urgente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74,7% (n=18.260)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. Baseado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no fato de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urgência apresent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que o dobro de óbitos quando comparada com o </w:t>
      </w:r>
      <w:r w:rsidR="003721F8">
        <w:rPr>
          <w:rFonts w:ascii="Times New Roman" w:eastAsia="Times New Roman" w:hAnsi="Times New Roman" w:cs="Times New Roman"/>
          <w:sz w:val="24"/>
          <w:szCs w:val="24"/>
        </w:rPr>
        <w:t>atendimento eletivo</w:t>
      </w:r>
      <w:r>
        <w:rPr>
          <w:rFonts w:ascii="Times New Roman" w:eastAsia="Times New Roman" w:hAnsi="Times New Roman" w:cs="Times New Roman"/>
          <w:sz w:val="24"/>
          <w:szCs w:val="24"/>
        </w:rPr>
        <w:t>, vê-se a necessidade d</w:t>
      </w:r>
      <w:r w:rsidR="007B2BE7">
        <w:rPr>
          <w:rFonts w:ascii="Times New Roman" w:eastAsia="Times New Roman" w:hAnsi="Times New Roman" w:cs="Times New Roman"/>
          <w:sz w:val="24"/>
          <w:szCs w:val="24"/>
        </w:rPr>
        <w:t>a realização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diagnóstico mais precoce da NMCU, </w:t>
      </w:r>
      <w:r w:rsidR="007B2BE7">
        <w:rPr>
          <w:rFonts w:ascii="Times New Roman" w:eastAsia="Times New Roman" w:hAnsi="Times New Roman" w:cs="Times New Roman"/>
          <w:sz w:val="24"/>
          <w:szCs w:val="24"/>
        </w:rPr>
        <w:t>que envolve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acompanhamento ginecológico regular. E</w:t>
      </w:r>
      <w:r w:rsidR="007B2BE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E7">
        <w:rPr>
          <w:rFonts w:ascii="Times New Roman" w:eastAsia="Times New Roman" w:hAnsi="Times New Roman" w:cs="Times New Roman"/>
          <w:sz w:val="24"/>
          <w:szCs w:val="24"/>
        </w:rPr>
        <w:t>relação à idade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C4D16" w:rsidRPr="00CC4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predominou </w:t>
      </w:r>
      <w:r w:rsidR="00CC4D1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faixa etária de 40 a 49 anos, </w:t>
      </w:r>
      <w:r w:rsidR="00142F18">
        <w:rPr>
          <w:rFonts w:ascii="Times New Roman" w:eastAsia="Times New Roman" w:hAnsi="Times New Roman" w:cs="Times New Roman"/>
          <w:sz w:val="24"/>
          <w:szCs w:val="24"/>
        </w:rPr>
        <w:t>o que representou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29,0% (n=70.342) </w:t>
      </w:r>
      <w:r w:rsidR="00142F18">
        <w:rPr>
          <w:rFonts w:ascii="Times New Roman" w:eastAsia="Times New Roman" w:hAnsi="Times New Roman" w:cs="Times New Roman"/>
          <w:sz w:val="24"/>
          <w:szCs w:val="24"/>
        </w:rPr>
        <w:t>do total</w:t>
      </w:r>
      <w:r w:rsidR="00CC4D1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entanto, vale destacar </w:t>
      </w:r>
      <w:r w:rsidR="00CC4D1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>819 (0,3%) foram em menores de 19 anos e 22.703 (9,3%) das internações em</w:t>
      </w:r>
      <w:r w:rsidR="00142F18">
        <w:rPr>
          <w:rFonts w:ascii="Times New Roman" w:eastAsia="Times New Roman" w:hAnsi="Times New Roman" w:cs="Times New Roman"/>
          <w:sz w:val="24"/>
          <w:szCs w:val="24"/>
        </w:rPr>
        <w:t xml:space="preserve"> maiores de 70 anos,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ademais,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atuais recomendações do Ministério da Saúde indicam a realização do exame citológico em mulheres dos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 xml:space="preserve">25 aos 64 anos de idade,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lastRenderedPageBreak/>
        <w:t>fato que expõe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necessidade de atenção dos médicos diante de sinais e sintomas. A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 xml:space="preserve"> cor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 xml:space="preserve"> com maior frequência </w:t>
      </w:r>
      <w:r>
        <w:rPr>
          <w:rFonts w:ascii="Times New Roman" w:eastAsia="Times New Roman" w:hAnsi="Times New Roman" w:cs="Times New Roman"/>
          <w:sz w:val="24"/>
          <w:szCs w:val="24"/>
        </w:rPr>
        <w:t>foi a parda</w:t>
      </w:r>
      <w:r w:rsidR="00CC4D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F18">
        <w:rPr>
          <w:rFonts w:ascii="Times New Roman" w:eastAsia="Times New Roman" w:hAnsi="Times New Roman" w:cs="Times New Roman"/>
          <w:sz w:val="24"/>
          <w:szCs w:val="24"/>
        </w:rPr>
        <w:t xml:space="preserve"> com 37,6% (n=91.534) das internações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4D16">
        <w:rPr>
          <w:rFonts w:ascii="Times New Roman" w:eastAsia="Times New Roman" w:hAnsi="Times New Roman" w:cs="Times New Roman"/>
          <w:sz w:val="24"/>
          <w:szCs w:val="24"/>
        </w:rPr>
        <w:t>seguida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branca, que apresentou 36,7% (n=89.316); essa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maioria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 xml:space="preserve">NMCU em 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>pessoas pardas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>foi vista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>em diverso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s estudos, o que propõe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a existência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diferenças no acesso aos serviços de saúde em função do nível socioeconômico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 xml:space="preserve"> mais baixo,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mais relacionado à cor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 xml:space="preserve"> parda</w:t>
      </w:r>
      <w:r>
        <w:rPr>
          <w:rFonts w:ascii="Times New Roman" w:eastAsia="Times New Roman" w:hAnsi="Times New Roman" w:cs="Times New Roman"/>
          <w:sz w:val="24"/>
          <w:szCs w:val="24"/>
        </w:rPr>
        <w:t>. A taxa de mortalidade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 xml:space="preserve"> média</w:t>
      </w:r>
      <w:r w:rsidR="0047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foi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10,06%</w:t>
      </w:r>
      <w:r w:rsidR="00E0053B">
        <w:rPr>
          <w:rFonts w:ascii="Times New Roman" w:eastAsia="Times New Roman" w:hAnsi="Times New Roman" w:cs="Times New Roman"/>
          <w:sz w:val="24"/>
          <w:szCs w:val="24"/>
        </w:rPr>
        <w:t xml:space="preserve"> durante o 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>com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tendência de crescimento irregular.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Houve predomínio da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NMCU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região sudeste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uma maior </w:t>
      </w:r>
      <w:r w:rsidR="00EA04B5">
        <w:rPr>
          <w:rFonts w:ascii="Times New Roman" w:eastAsia="Times New Roman" w:hAnsi="Times New Roman" w:cs="Times New Roman"/>
          <w:sz w:val="24"/>
          <w:szCs w:val="24"/>
        </w:rPr>
        <w:t>frequência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em pessoas </w:t>
      </w:r>
      <w:r>
        <w:rPr>
          <w:rFonts w:ascii="Times New Roman" w:eastAsia="Times New Roman" w:hAnsi="Times New Roman" w:cs="Times New Roman"/>
          <w:sz w:val="24"/>
          <w:szCs w:val="24"/>
        </w:rPr>
        <w:t>parda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taxa de mortalidade 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 xml:space="preserve">média </w:t>
      </w:r>
      <w:r>
        <w:rPr>
          <w:rFonts w:ascii="Times New Roman" w:eastAsia="Times New Roman" w:hAnsi="Times New Roman" w:cs="Times New Roman"/>
          <w:sz w:val="24"/>
          <w:szCs w:val="24"/>
        </w:rPr>
        <w:t>foi de 10,06%</w:t>
      </w:r>
      <w:r w:rsidR="006A2E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o atendimento urgente 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>abrange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mais que o dobro de óbitos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 xml:space="preserve"> do que o eletivo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e representa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 w:rsidR="00F92851">
        <w:rPr>
          <w:rFonts w:ascii="Times New Roman" w:eastAsia="Times New Roman" w:hAnsi="Times New Roman" w:cs="Times New Roman"/>
          <w:sz w:val="24"/>
          <w:szCs w:val="24"/>
        </w:rPr>
        <w:t xml:space="preserve"> metade dos casos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que 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>indica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necessidade do aumento de acompanhamento ginecológico adequado e regular para 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>que haja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diagnóstico precoce de NMCU. 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>Também se</w:t>
      </w:r>
      <w:r>
        <w:rPr>
          <w:rFonts w:ascii="Times New Roman" w:eastAsia="Times New Roman" w:hAnsi="Times New Roman" w:cs="Times New Roman"/>
          <w:sz w:val="24"/>
          <w:szCs w:val="24"/>
        </w:rPr>
        <w:t>ria recomendável</w:t>
      </w:r>
      <w:r w:rsidR="00BF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maior atenção clínica para as mulheres com menos de 25 e mais de 64 anos. </w:t>
      </w:r>
      <w:bookmarkEnd w:id="1"/>
    </w:p>
    <w:p w14:paraId="00000009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Neoplasias do Colo do Útero; Morbidade; Epidemiologia Descritiva.</w:t>
      </w:r>
    </w:p>
    <w:p w14:paraId="0000000A" w14:textId="77777777" w:rsidR="00042A6B" w:rsidRDefault="0004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1B29054" w14:textId="4A57D46F" w:rsidR="00610497" w:rsidRDefault="00610497" w:rsidP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Saúde. (2020). DATASUS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Morbidade Hospitalar do SUS por local de internação. [publicação online]; 2020 [acesso em 10 set 2020]. Disponível em http://tabnet.datasus.gov.br/cgi/deftohtm.exe?sih/cnv/niuf.def</w:t>
      </w:r>
    </w:p>
    <w:p w14:paraId="267D9213" w14:textId="77777777" w:rsidR="00610497" w:rsidRDefault="00610497" w:rsidP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Sá RL, Rodrigues YA, Oliveira EH, Britto MHM.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malignant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cervical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Maranhão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epidemiological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profile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2020;9(4).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10.33448/rsd-v9i4.2876.</w:t>
      </w:r>
    </w:p>
    <w:p w14:paraId="0000000D" w14:textId="77777777" w:rsidR="00042A6B" w:rsidRDefault="0004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LCS,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Casado L. Perfil das Pacientes com Câncer do Colo do Útero no Brasil, 2000-2009: Estudo de Base Secundária. Revista Brasileira de Cancerologia. 2020;58(3):351-7.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10.32635/2176-9745.RBC.2012v58n3.583.</w:t>
      </w:r>
    </w:p>
    <w:p w14:paraId="0000000F" w14:textId="77777777" w:rsidR="00042A6B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55F643" w14:textId="77777777" w:rsidR="00610497" w:rsidRDefault="0061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10497"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6B"/>
    <w:rsid w:val="00042A6B"/>
    <w:rsid w:val="00142F18"/>
    <w:rsid w:val="003721F8"/>
    <w:rsid w:val="00476B48"/>
    <w:rsid w:val="00610497"/>
    <w:rsid w:val="006A2EB8"/>
    <w:rsid w:val="00720172"/>
    <w:rsid w:val="007912AE"/>
    <w:rsid w:val="007B2BE7"/>
    <w:rsid w:val="00BF7DFD"/>
    <w:rsid w:val="00CC4D16"/>
    <w:rsid w:val="00E0053B"/>
    <w:rsid w:val="00EA04B5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608"/>
  <w15:docId w15:val="{96AAED03-B846-4EBD-A079-66BF8C8C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42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a.bandeira2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Bandeira</cp:lastModifiedBy>
  <cp:revision>4</cp:revision>
  <dcterms:created xsi:type="dcterms:W3CDTF">2020-09-16T19:25:00Z</dcterms:created>
  <dcterms:modified xsi:type="dcterms:W3CDTF">2020-09-17T00:54:00Z</dcterms:modified>
</cp:coreProperties>
</file>