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B30" w:rsidRDefault="00277B30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sz w:val="22"/>
          <w:szCs w:val="22"/>
        </w:rPr>
      </w:pPr>
    </w:p>
    <w:p w:rsidR="00DC603D" w:rsidRPr="00C22084" w:rsidRDefault="00C22084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 w:rsidRPr="00C22084">
        <w:rPr>
          <w:rFonts w:ascii="Arial" w:eastAsia="Arial" w:hAnsi="Arial" w:cs="Arial"/>
          <w:b/>
          <w:smallCaps/>
          <w:sz w:val="22"/>
          <w:szCs w:val="22"/>
        </w:rPr>
        <w:t>INTOXICAÇÃO POR COBRE INJETÁVEL EM BOVINOS: RELATO DE CASO</w:t>
      </w:r>
    </w:p>
    <w:p w:rsidR="00C22084" w:rsidRPr="00864DF2" w:rsidRDefault="00C22084" w:rsidP="00C22084">
      <w:pPr>
        <w:spacing w:line="220" w:lineRule="exact"/>
        <w:ind w:left="1169" w:right="1171"/>
        <w:jc w:val="center"/>
        <w:rPr>
          <w:rFonts w:ascii="Arial" w:hAnsi="Arial" w:cs="Arial"/>
          <w:b/>
          <w:bCs/>
        </w:rPr>
      </w:pPr>
      <w:bookmarkStart w:id="0" w:name="_heading=h.gjdgxs" w:colFirst="0" w:colLast="0"/>
      <w:bookmarkEnd w:id="0"/>
      <w:r>
        <w:rPr>
          <w:rFonts w:ascii="Arial" w:hAnsi="Arial" w:cs="Arial"/>
          <w:b/>
          <w:bCs/>
        </w:rPr>
        <w:t>Brunno Henrique Araújo Silva</w:t>
      </w:r>
      <w:r>
        <w:rPr>
          <w:rFonts w:ascii="Arial" w:hAnsi="Arial" w:cs="Arial"/>
          <w:b/>
          <w:bCs/>
          <w:vertAlign w:val="superscript"/>
        </w:rPr>
        <w:t>1</w:t>
      </w:r>
      <w:r>
        <w:rPr>
          <w:rFonts w:ascii="Arial" w:hAnsi="Arial" w:cs="Arial"/>
          <w:b/>
          <w:bCs/>
        </w:rPr>
        <w:t>*</w:t>
      </w:r>
      <w:r w:rsidRPr="00384549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r w:rsidRPr="00384549">
        <w:rPr>
          <w:rFonts w:ascii="Arial" w:hAnsi="Arial" w:cs="Arial"/>
          <w:b/>
          <w:bCs/>
        </w:rPr>
        <w:t>Gustavo Henrique Siqueira Ribeiro</w:t>
      </w:r>
      <w:r>
        <w:rPr>
          <w:rFonts w:ascii="Arial" w:hAnsi="Arial" w:cs="Arial"/>
          <w:b/>
          <w:bCs/>
          <w:vertAlign w:val="superscript"/>
        </w:rPr>
        <w:t>1</w:t>
      </w:r>
      <w:r>
        <w:rPr>
          <w:rFonts w:ascii="Arial" w:hAnsi="Arial" w:cs="Arial"/>
          <w:b/>
          <w:bCs/>
        </w:rPr>
        <w:t>,</w:t>
      </w:r>
      <w:r w:rsidR="004773B0" w:rsidRPr="004773B0">
        <w:rPr>
          <w:color w:val="000000" w:themeColor="text1"/>
        </w:rPr>
        <w:t xml:space="preserve"> </w:t>
      </w:r>
      <w:r w:rsidR="00831796" w:rsidRPr="004773B0">
        <w:rPr>
          <w:rFonts w:ascii="Arial" w:hAnsi="Arial" w:cs="Arial"/>
          <w:b/>
          <w:bCs/>
        </w:rPr>
        <w:t>Mikaele Pereira da Silva</w:t>
      </w:r>
      <w:r w:rsidR="00831796">
        <w:rPr>
          <w:rFonts w:ascii="Arial" w:hAnsi="Arial" w:cs="Arial"/>
          <w:b/>
          <w:bCs/>
          <w:vertAlign w:val="superscript"/>
        </w:rPr>
        <w:t>1</w:t>
      </w:r>
      <w:r w:rsidR="00831796">
        <w:rPr>
          <w:rFonts w:ascii="Arial" w:hAnsi="Arial" w:cs="Arial"/>
          <w:b/>
          <w:bCs/>
        </w:rPr>
        <w:t>, R</w:t>
      </w:r>
      <w:r w:rsidR="00831796" w:rsidRPr="004A1114">
        <w:rPr>
          <w:rFonts w:ascii="Arial" w:hAnsi="Arial" w:cs="Arial"/>
          <w:b/>
          <w:bCs/>
        </w:rPr>
        <w:t>afhael Pereira moura</w:t>
      </w:r>
      <w:r w:rsidR="00831796">
        <w:rPr>
          <w:rFonts w:ascii="Arial" w:hAnsi="Arial" w:cs="Arial"/>
          <w:b/>
          <w:bCs/>
          <w:vertAlign w:val="superscript"/>
        </w:rPr>
        <w:t>1</w:t>
      </w:r>
      <w:r w:rsidR="004773B0">
        <w:rPr>
          <w:rFonts w:ascii="Arial" w:hAnsi="Arial" w:cs="Arial"/>
          <w:b/>
          <w:bCs/>
        </w:rPr>
        <w:t xml:space="preserve">, </w:t>
      </w:r>
      <w:r w:rsidR="004773B0" w:rsidRPr="004773B0">
        <w:rPr>
          <w:rFonts w:ascii="Arial" w:hAnsi="Arial" w:cs="Arial"/>
          <w:b/>
          <w:bCs/>
        </w:rPr>
        <w:t>Lucas de Souza Oliveira</w:t>
      </w:r>
      <w:r w:rsidR="004773B0">
        <w:rPr>
          <w:rFonts w:ascii="Arial" w:hAnsi="Arial" w:cs="Arial"/>
          <w:b/>
          <w:bCs/>
          <w:vertAlign w:val="superscript"/>
        </w:rPr>
        <w:t>1</w:t>
      </w:r>
      <w:r w:rsidR="004773B0">
        <w:rPr>
          <w:rFonts w:ascii="Arial" w:hAnsi="Arial" w:cs="Arial"/>
          <w:b/>
          <w:bCs/>
        </w:rPr>
        <w:t xml:space="preserve">, </w:t>
      </w:r>
      <w:r w:rsidRPr="00384549">
        <w:rPr>
          <w:rFonts w:ascii="Arial" w:hAnsi="Arial" w:cs="Arial"/>
          <w:b/>
          <w:bCs/>
        </w:rPr>
        <w:t>Fabrício Gomes Melo</w:t>
      </w:r>
      <w:r>
        <w:rPr>
          <w:rFonts w:ascii="Arial" w:hAnsi="Arial" w:cs="Arial"/>
          <w:b/>
          <w:bCs/>
          <w:vertAlign w:val="superscript"/>
        </w:rPr>
        <w:t>2</w:t>
      </w:r>
      <w:r>
        <w:rPr>
          <w:rFonts w:ascii="Arial" w:hAnsi="Arial" w:cs="Arial"/>
          <w:b/>
          <w:bCs/>
        </w:rPr>
        <w:t>,</w:t>
      </w:r>
      <w:r w:rsidRPr="00384549">
        <w:rPr>
          <w:rFonts w:ascii="Arial" w:hAnsi="Arial" w:cs="Arial"/>
          <w:b/>
          <w:bCs/>
        </w:rPr>
        <w:t xml:space="preserve"> Ronaldo Alves Martins</w:t>
      </w:r>
      <w:r>
        <w:rPr>
          <w:rFonts w:ascii="Arial" w:hAnsi="Arial" w:cs="Arial"/>
          <w:b/>
          <w:bCs/>
          <w:vertAlign w:val="superscript"/>
        </w:rPr>
        <w:t>3</w:t>
      </w:r>
      <w:r w:rsidRPr="005A6A8E">
        <w:rPr>
          <w:rFonts w:ascii="Arial" w:hAnsi="Arial" w:cs="Arial"/>
          <w:b/>
          <w:bCs/>
        </w:rPr>
        <w:t>.</w:t>
      </w:r>
    </w:p>
    <w:p w:rsidR="00C22084" w:rsidRDefault="00C22084" w:rsidP="00C220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>Graduando em Medicina Veterinária –</w:t>
      </w:r>
      <w:r>
        <w:rPr>
          <w:rFonts w:ascii="Arial" w:eastAsia="Arial" w:hAnsi="Arial" w:cs="Arial"/>
          <w:i/>
          <w:sz w:val="14"/>
          <w:szCs w:val="14"/>
        </w:rPr>
        <w:t xml:space="preserve"> Centro Universitário UNA – 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Bom Despacho/MG – Brasil – *Contato: </w:t>
      </w:r>
      <w:hyperlink r:id="rId7" w:history="1">
        <w:r w:rsidRPr="00CA3CF3">
          <w:rPr>
            <w:rStyle w:val="Hyperlink"/>
            <w:rFonts w:ascii="Arial" w:eastAsiaTheme="majorEastAsia" w:hAnsi="Arial" w:cs="Arial"/>
            <w:sz w:val="14"/>
            <w:szCs w:val="14"/>
          </w:rPr>
          <w:t>brunnoaraujosilva@hotmail.com</w:t>
        </w:r>
      </w:hyperlink>
    </w:p>
    <w:p w:rsidR="00C22084" w:rsidRDefault="00C22084" w:rsidP="00C2208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2</w:t>
      </w:r>
      <w:r>
        <w:rPr>
          <w:rFonts w:ascii="Arial" w:eastAsia="Arial" w:hAnsi="Arial" w:cs="Arial"/>
          <w:i/>
          <w:color w:val="000000"/>
          <w:sz w:val="14"/>
          <w:szCs w:val="14"/>
        </w:rPr>
        <w:t>Médico Veterinário autônomo – Mestre em patologia animal</w:t>
      </w:r>
    </w:p>
    <w:p w:rsidR="00C22084" w:rsidRDefault="00C22084" w:rsidP="00C22084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  <w:t>3</w:t>
      </w:r>
      <w:r>
        <w:rPr>
          <w:rFonts w:ascii="Arial" w:eastAsia="Arial" w:hAnsi="Arial" w:cs="Arial"/>
          <w:i/>
          <w:color w:val="000000"/>
          <w:sz w:val="14"/>
          <w:szCs w:val="14"/>
        </w:rPr>
        <w:t>Professor de Medicina Veterinária –</w:t>
      </w:r>
      <w:r>
        <w:rPr>
          <w:rFonts w:ascii="Arial" w:eastAsia="Arial" w:hAnsi="Arial" w:cs="Arial"/>
          <w:i/>
          <w:sz w:val="14"/>
          <w:szCs w:val="14"/>
        </w:rPr>
        <w:t xml:space="preserve"> Centro Universitário UNA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 – Bom Despacho/MG – Brasil</w:t>
      </w:r>
    </w:p>
    <w:p w:rsidR="00DC603D" w:rsidRDefault="00DC60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vertAlign w:val="superscript"/>
        </w:rPr>
        <w:sectPr w:rsidR="00DC603D">
          <w:headerReference w:type="default" r:id="rId8"/>
          <w:pgSz w:w="11906" w:h="16838"/>
          <w:pgMar w:top="1560" w:right="424" w:bottom="720" w:left="426" w:header="426" w:footer="708" w:gutter="0"/>
          <w:pgNumType w:start="1"/>
          <w:cols w:space="720"/>
        </w:sectPr>
      </w:pPr>
    </w:p>
    <w:p w:rsidR="00DC603D" w:rsidRDefault="004A1A49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:rsidR="00F476BE" w:rsidRDefault="00F476BE" w:rsidP="00F476BE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F476BE">
        <w:rPr>
          <w:rFonts w:ascii="Arial" w:eastAsia="Arial" w:hAnsi="Arial" w:cs="Arial"/>
          <w:color w:val="000000"/>
          <w:sz w:val="18"/>
          <w:szCs w:val="18"/>
        </w:rPr>
        <w:t xml:space="preserve">O cobre é um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micro mineral </w:t>
      </w:r>
      <w:r w:rsidRPr="00F476BE">
        <w:rPr>
          <w:rFonts w:ascii="Arial" w:eastAsia="Arial" w:hAnsi="Arial" w:cs="Arial"/>
          <w:color w:val="000000"/>
          <w:sz w:val="18"/>
          <w:szCs w:val="18"/>
        </w:rPr>
        <w:t>essencial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para processos biológicos, atividades que envolvem respiração celular, fisiologia celular do ferro, formação de hemoglobina, formação de pigmentos</w:t>
      </w:r>
      <w:r w:rsidR="003F2FF9">
        <w:rPr>
          <w:rFonts w:ascii="Arial" w:eastAsia="Arial" w:hAnsi="Arial" w:cs="Arial"/>
          <w:color w:val="000000"/>
          <w:sz w:val="18"/>
          <w:szCs w:val="18"/>
        </w:rPr>
        <w:t xml:space="preserve"> 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F476BE">
        <w:rPr>
          <w:rFonts w:ascii="Arial" w:eastAsia="Arial" w:hAnsi="Arial" w:cs="Arial"/>
          <w:color w:val="000000"/>
          <w:sz w:val="18"/>
          <w:szCs w:val="18"/>
        </w:rPr>
        <w:t>neurotransmissão</w:t>
      </w:r>
      <w:r w:rsidR="00523E33">
        <w:rPr>
          <w:rFonts w:ascii="Arial" w:eastAsia="Arial" w:hAnsi="Arial" w:cs="Arial"/>
          <w:color w:val="000000"/>
          <w:sz w:val="18"/>
          <w:szCs w:val="18"/>
          <w:vertAlign w:val="superscript"/>
        </w:rPr>
        <w:t>1,</w:t>
      </w:r>
      <w:r w:rsidR="00523E33" w:rsidRPr="00523E33">
        <w:rPr>
          <w:rFonts w:ascii="Arial" w:eastAsia="Arial" w:hAnsi="Arial" w:cs="Arial"/>
          <w:color w:val="000000"/>
          <w:sz w:val="18"/>
          <w:szCs w:val="18"/>
          <w:vertAlign w:val="superscript"/>
        </w:rPr>
        <w:t xml:space="preserve"> 4</w:t>
      </w:r>
      <w:r w:rsidRPr="00F476BE">
        <w:rPr>
          <w:rFonts w:ascii="Arial" w:eastAsia="Arial" w:hAnsi="Arial" w:cs="Arial"/>
          <w:color w:val="000000"/>
          <w:sz w:val="18"/>
          <w:szCs w:val="18"/>
        </w:rPr>
        <w:t>.</w:t>
      </w:r>
      <w:r w:rsidR="00C308F8">
        <w:rPr>
          <w:rFonts w:ascii="Arial" w:eastAsia="Arial" w:hAnsi="Arial" w:cs="Arial"/>
          <w:color w:val="000000"/>
          <w:sz w:val="18"/>
          <w:szCs w:val="18"/>
        </w:rPr>
        <w:tab/>
      </w:r>
    </w:p>
    <w:p w:rsidR="00151BC6" w:rsidRPr="00523E33" w:rsidRDefault="00151BC6" w:rsidP="00F476BE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Bovinos tem uma exigência de cobre próximo de 5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ppm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do mineral na matéria seca da dieta, valor semelhante aos ovinos. Embora os valores sejam próximos para as espécies a grande diferença está na tolerância de cada uma, sendo para os bovinos 700ppm enquanto para </w:t>
      </w:r>
      <w:r w:rsidR="00523E33">
        <w:rPr>
          <w:rFonts w:ascii="Arial" w:eastAsia="Arial" w:hAnsi="Arial" w:cs="Arial"/>
          <w:color w:val="000000"/>
          <w:sz w:val="18"/>
          <w:szCs w:val="18"/>
        </w:rPr>
        <w:t>os ovinos é 15 ppm</w:t>
      </w:r>
      <w:r w:rsidR="00523E33">
        <w:rPr>
          <w:rFonts w:ascii="Arial" w:eastAsia="Arial" w:hAnsi="Arial" w:cs="Arial"/>
          <w:color w:val="000000"/>
          <w:sz w:val="18"/>
          <w:szCs w:val="18"/>
          <w:vertAlign w:val="superscript"/>
        </w:rPr>
        <w:t>3</w:t>
      </w:r>
      <w:r w:rsidR="00523E33"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151BC6" w:rsidRPr="00523E33" w:rsidRDefault="00095D25" w:rsidP="000764BD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 intoxicação pode seguir por dois caminhos: intoxicação aguda, decorrente aplicação exógena de grandes quantidades e intervalo de aplicações, ingestão brusca de altos níveis de cobre; intoxicação por cobre de forma crônica, onde há deposição de cobre progressiva no fígado, perpetuando por meses a anos, </w:t>
      </w:r>
      <w:r w:rsidR="00523E33">
        <w:rPr>
          <w:rFonts w:ascii="Arial" w:eastAsia="Arial" w:hAnsi="Arial" w:cs="Arial"/>
          <w:color w:val="000000"/>
          <w:sz w:val="18"/>
          <w:szCs w:val="18"/>
        </w:rPr>
        <w:t>até evolução da fase hemolítica</w:t>
      </w:r>
      <w:r w:rsidR="00523E33">
        <w:rPr>
          <w:rFonts w:ascii="Arial" w:eastAsia="Arial" w:hAnsi="Arial" w:cs="Arial"/>
          <w:color w:val="000000"/>
          <w:sz w:val="18"/>
          <w:szCs w:val="18"/>
          <w:vertAlign w:val="superscript"/>
        </w:rPr>
        <w:t>2</w:t>
      </w:r>
      <w:r w:rsidR="00523E33">
        <w:rPr>
          <w:rFonts w:ascii="Arial" w:eastAsia="Arial" w:hAnsi="Arial" w:cs="Arial"/>
          <w:color w:val="000000"/>
          <w:sz w:val="18"/>
          <w:szCs w:val="18"/>
        </w:rPr>
        <w:t>.</w:t>
      </w:r>
      <w:r w:rsidR="00523E33">
        <w:rPr>
          <w:rFonts w:ascii="Arial" w:eastAsia="Arial" w:hAnsi="Arial" w:cs="Arial"/>
          <w:color w:val="000000"/>
          <w:sz w:val="18"/>
          <w:szCs w:val="18"/>
          <w:vertAlign w:val="superscript"/>
        </w:rPr>
        <w:t xml:space="preserve"> </w:t>
      </w:r>
    </w:p>
    <w:p w:rsidR="00DC603D" w:rsidRDefault="004A1A49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p w:rsidR="005B0250" w:rsidRDefault="00C22084" w:rsidP="00C22084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C22084">
        <w:rPr>
          <w:rFonts w:ascii="Arial" w:eastAsia="Arial" w:hAnsi="Arial" w:cs="Arial"/>
          <w:color w:val="000000"/>
          <w:sz w:val="18"/>
          <w:szCs w:val="18"/>
        </w:rPr>
        <w:t xml:space="preserve">No dia 20/08/2020, um lote formado por 70 animais da raça nelore, machos e fêmeas de 10 a 12 meses (200 a 280 kg) recebeu marcação a fogo e pela segunda vez a aplicação do produto </w:t>
      </w:r>
      <w:proofErr w:type="spellStart"/>
      <w:r w:rsidRPr="00C22084">
        <w:rPr>
          <w:rFonts w:ascii="Arial" w:eastAsia="Arial" w:hAnsi="Arial" w:cs="Arial"/>
          <w:color w:val="000000"/>
          <w:sz w:val="18"/>
          <w:szCs w:val="18"/>
        </w:rPr>
        <w:t>Suplenut</w:t>
      </w:r>
      <w:proofErr w:type="spellEnd"/>
      <w:r w:rsidRPr="00C22084">
        <w:rPr>
          <w:rFonts w:ascii="Arial" w:eastAsia="Arial" w:hAnsi="Arial" w:cs="Arial"/>
          <w:color w:val="000000"/>
          <w:sz w:val="18"/>
          <w:szCs w:val="18"/>
        </w:rPr>
        <w:t>® (</w:t>
      </w:r>
      <w:proofErr w:type="spellStart"/>
      <w:r w:rsidRPr="00C22084">
        <w:rPr>
          <w:rFonts w:ascii="Arial" w:eastAsia="Arial" w:hAnsi="Arial" w:cs="Arial"/>
          <w:color w:val="000000"/>
          <w:sz w:val="18"/>
          <w:szCs w:val="18"/>
        </w:rPr>
        <w:t>Biogenesis-Bagó</w:t>
      </w:r>
      <w:proofErr w:type="spellEnd"/>
      <w:r w:rsidRPr="00C22084">
        <w:rPr>
          <w:rFonts w:ascii="Arial" w:eastAsia="Arial" w:hAnsi="Arial" w:cs="Arial"/>
          <w:color w:val="000000"/>
          <w:sz w:val="18"/>
          <w:szCs w:val="18"/>
        </w:rPr>
        <w:t xml:space="preserve">), </w:t>
      </w:r>
      <w:r w:rsidR="00BD6B62">
        <w:rPr>
          <w:rFonts w:ascii="Arial" w:eastAsia="Arial" w:hAnsi="Arial" w:cs="Arial"/>
          <w:color w:val="000000"/>
          <w:sz w:val="18"/>
          <w:szCs w:val="18"/>
        </w:rPr>
        <w:t>a base de EDTA de cobre e zinco.</w:t>
      </w:r>
      <w:r w:rsidR="00BA509F">
        <w:rPr>
          <w:rFonts w:ascii="Arial" w:eastAsia="Arial" w:hAnsi="Arial" w:cs="Arial"/>
          <w:color w:val="000000"/>
          <w:sz w:val="18"/>
          <w:szCs w:val="18"/>
        </w:rPr>
        <w:t xml:space="preserve"> No dia posterior a aplicação do produto foi observado animais mortos ou doentes </w:t>
      </w:r>
      <w:r w:rsidRPr="00C22084">
        <w:rPr>
          <w:rFonts w:ascii="Arial" w:eastAsia="Arial" w:hAnsi="Arial" w:cs="Arial"/>
          <w:color w:val="000000"/>
          <w:sz w:val="18"/>
          <w:szCs w:val="18"/>
        </w:rPr>
        <w:t xml:space="preserve">pela manhã. Outros animais adoeceram e morreram no </w:t>
      </w:r>
      <w:r w:rsidR="00BA509F">
        <w:rPr>
          <w:rFonts w:ascii="Arial" w:eastAsia="Arial" w:hAnsi="Arial" w:cs="Arial"/>
          <w:color w:val="000000"/>
          <w:sz w:val="18"/>
          <w:szCs w:val="18"/>
        </w:rPr>
        <w:t>dia seguinte (2 dias após aplicação)</w:t>
      </w:r>
      <w:r w:rsidRPr="00C22084">
        <w:rPr>
          <w:rFonts w:ascii="Arial" w:eastAsia="Arial" w:hAnsi="Arial" w:cs="Arial"/>
          <w:color w:val="000000"/>
          <w:sz w:val="18"/>
          <w:szCs w:val="18"/>
        </w:rPr>
        <w:t>.</w:t>
      </w:r>
      <w:r w:rsidR="00BA509F">
        <w:rPr>
          <w:rFonts w:ascii="Arial" w:eastAsia="Arial" w:hAnsi="Arial" w:cs="Arial"/>
          <w:color w:val="000000"/>
          <w:sz w:val="18"/>
          <w:szCs w:val="18"/>
        </w:rPr>
        <w:t xml:space="preserve"> Num total </w:t>
      </w:r>
      <w:r w:rsidRPr="00C22084">
        <w:rPr>
          <w:rFonts w:ascii="Arial" w:eastAsia="Arial" w:hAnsi="Arial" w:cs="Arial"/>
          <w:color w:val="000000"/>
          <w:sz w:val="18"/>
          <w:szCs w:val="18"/>
        </w:rPr>
        <w:t>11 animais doe</w:t>
      </w:r>
      <w:r w:rsidR="00BA509F">
        <w:rPr>
          <w:rFonts w:ascii="Arial" w:eastAsia="Arial" w:hAnsi="Arial" w:cs="Arial"/>
          <w:color w:val="000000"/>
          <w:sz w:val="18"/>
          <w:szCs w:val="18"/>
        </w:rPr>
        <w:t xml:space="preserve">ntes morreram. </w:t>
      </w:r>
      <w:r w:rsidR="00BA509F" w:rsidRPr="00C22084">
        <w:rPr>
          <w:rFonts w:ascii="Arial" w:eastAsia="Arial" w:hAnsi="Arial" w:cs="Arial"/>
          <w:color w:val="000000"/>
          <w:sz w:val="18"/>
          <w:szCs w:val="18"/>
        </w:rPr>
        <w:t>O</w:t>
      </w:r>
      <w:r w:rsidR="00BA509F">
        <w:rPr>
          <w:rFonts w:ascii="Arial" w:eastAsia="Arial" w:hAnsi="Arial" w:cs="Arial"/>
          <w:color w:val="000000"/>
          <w:sz w:val="18"/>
          <w:szCs w:val="18"/>
        </w:rPr>
        <w:t>s animais doentes</w:t>
      </w:r>
      <w:r w:rsidRPr="00C22084">
        <w:rPr>
          <w:rFonts w:ascii="Arial" w:eastAsia="Arial" w:hAnsi="Arial" w:cs="Arial"/>
          <w:color w:val="000000"/>
          <w:sz w:val="18"/>
          <w:szCs w:val="18"/>
        </w:rPr>
        <w:t xml:space="preserve"> apresentavam manifestações neurológicas como incoordenação (Figuras</w:t>
      </w:r>
      <w:r w:rsidR="005B0250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C22084">
        <w:rPr>
          <w:rFonts w:ascii="Arial" w:eastAsia="Arial" w:hAnsi="Arial" w:cs="Arial"/>
          <w:color w:val="000000"/>
          <w:sz w:val="18"/>
          <w:szCs w:val="18"/>
        </w:rPr>
        <w:t>1), hipermetria, evolução para decúbito, tremores, dis</w:t>
      </w:r>
      <w:r w:rsidR="005B0250">
        <w:rPr>
          <w:rFonts w:ascii="Arial" w:eastAsia="Arial" w:hAnsi="Arial" w:cs="Arial"/>
          <w:color w:val="000000"/>
          <w:sz w:val="18"/>
          <w:szCs w:val="18"/>
        </w:rPr>
        <w:t xml:space="preserve">pneia, e morte em 6 a 24 horas. </w:t>
      </w:r>
    </w:p>
    <w:p w:rsidR="00DC603D" w:rsidRDefault="00C22084" w:rsidP="00C22084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C22084">
        <w:rPr>
          <w:rFonts w:ascii="Arial" w:eastAsia="Arial" w:hAnsi="Arial" w:cs="Arial"/>
          <w:color w:val="000000"/>
          <w:sz w:val="18"/>
          <w:szCs w:val="18"/>
        </w:rPr>
        <w:t>Alguns apresentaram mucosa discretamente ictérica, mas cianótica próximo a morte. Amostras de sangue foram colhidas de animais sintomáticos antes da morte. 9 animais foram necropsiados. Amostras de todos os órgãos foram colhidas, fixadas em formol 10% e/ou congeladas.</w:t>
      </w:r>
    </w:p>
    <w:p w:rsidR="006B012B" w:rsidRDefault="003A0EAB" w:rsidP="00D85DF2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Para exames laboratoriais foram</w:t>
      </w:r>
      <w:r w:rsidR="0023038D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usadas</w:t>
      </w:r>
      <w:r w:rsidR="0023038D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2B42">
        <w:rPr>
          <w:rFonts w:ascii="Arial" w:eastAsia="Arial" w:hAnsi="Arial" w:cs="Arial"/>
          <w:color w:val="000000"/>
          <w:sz w:val="18"/>
          <w:szCs w:val="18"/>
        </w:rPr>
        <w:t>2 amostras de sangue de animais da própria fazenda que não receberam cobre injetável</w:t>
      </w:r>
      <w:r w:rsidR="0023038D">
        <w:rPr>
          <w:rFonts w:ascii="Arial" w:eastAsia="Arial" w:hAnsi="Arial" w:cs="Arial"/>
          <w:color w:val="000000"/>
          <w:sz w:val="18"/>
          <w:szCs w:val="18"/>
        </w:rPr>
        <w:t xml:space="preserve"> para o controle das amostras.</w:t>
      </w:r>
    </w:p>
    <w:tbl>
      <w:tblPr>
        <w:tblW w:w="5543" w:type="dxa"/>
        <w:tblLayout w:type="fixed"/>
        <w:tblLook w:val="0400" w:firstRow="0" w:lastRow="0" w:firstColumn="0" w:lastColumn="0" w:noHBand="0" w:noVBand="1"/>
      </w:tblPr>
      <w:tblGrid>
        <w:gridCol w:w="960"/>
        <w:gridCol w:w="1811"/>
        <w:gridCol w:w="1386"/>
        <w:gridCol w:w="1386"/>
      </w:tblGrid>
      <w:tr w:rsidR="00D85DF2" w:rsidTr="009A4E66">
        <w:trPr>
          <w:trHeight w:val="564"/>
        </w:trPr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Animal</w:t>
            </w:r>
          </w:p>
        </w:tc>
        <w:tc>
          <w:tcPr>
            <w:tcW w:w="18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Dosagem de T</w:t>
            </w: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GO em U/L</w:t>
            </w:r>
            <w:r>
              <w:rPr>
                <w:b/>
                <w:bCs/>
              </w:rPr>
              <w:t xml:space="preserve"> </w:t>
            </w: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(Transaminase oxalacética)</w:t>
            </w:r>
          </w:p>
        </w:tc>
        <w:tc>
          <w:tcPr>
            <w:tcW w:w="13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Do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sagem de </w:t>
            </w: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 xml:space="preserve">Cobre em </w:t>
            </w:r>
            <w:proofErr w:type="spellStart"/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μg</w:t>
            </w:r>
            <w:proofErr w:type="spellEnd"/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/</w:t>
            </w:r>
            <w:proofErr w:type="spellStart"/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dL</w:t>
            </w:r>
            <w:proofErr w:type="spellEnd"/>
            <w:r>
              <w:rPr>
                <w:b/>
                <w:bCs/>
              </w:rPr>
              <w:t xml:space="preserve"> </w:t>
            </w: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plasmático</w:t>
            </w:r>
          </w:p>
        </w:tc>
        <w:tc>
          <w:tcPr>
            <w:tcW w:w="13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D85DF2" w:rsidTr="009A4E66">
        <w:trPr>
          <w:trHeight w:val="330"/>
        </w:trPr>
        <w:tc>
          <w:tcPr>
            <w:tcW w:w="9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 xml:space="preserve">Controle </w:t>
            </w:r>
          </w:p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 xml:space="preserve">Controle </w:t>
            </w:r>
          </w:p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A</w:t>
            </w:r>
          </w:p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B</w:t>
            </w:r>
          </w:p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C</w:t>
            </w:r>
          </w:p>
          <w:p w:rsidR="00856EDF" w:rsidRPr="00856EDF" w:rsidRDefault="00D85DF2" w:rsidP="00856EDF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b/>
                <w:sz w:val="14"/>
                <w:szCs w:val="14"/>
              </w:rPr>
              <w:t>D</w:t>
            </w:r>
          </w:p>
        </w:tc>
        <w:tc>
          <w:tcPr>
            <w:tcW w:w="18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sz w:val="14"/>
                <w:szCs w:val="14"/>
              </w:rPr>
              <w:t xml:space="preserve">180 </w:t>
            </w:r>
          </w:p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sz w:val="14"/>
                <w:szCs w:val="14"/>
              </w:rPr>
              <w:t>95</w:t>
            </w:r>
          </w:p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sz w:val="14"/>
                <w:szCs w:val="14"/>
              </w:rPr>
              <w:t>6810</w:t>
            </w:r>
          </w:p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sz w:val="14"/>
                <w:szCs w:val="14"/>
              </w:rPr>
              <w:t>5900</w:t>
            </w:r>
          </w:p>
          <w:p w:rsidR="00D85DF2" w:rsidRPr="00D85DF2" w:rsidRDefault="00D85DF2" w:rsidP="00D85DF2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sz w:val="14"/>
                <w:szCs w:val="14"/>
              </w:rPr>
              <w:t>5720</w:t>
            </w:r>
          </w:p>
          <w:p w:rsidR="00D85DF2" w:rsidRDefault="00D85DF2" w:rsidP="00856EDF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D85DF2">
              <w:rPr>
                <w:rFonts w:ascii="Arial" w:eastAsia="Arial" w:hAnsi="Arial" w:cs="Arial"/>
                <w:sz w:val="14"/>
                <w:szCs w:val="14"/>
              </w:rPr>
              <w:t>1422</w:t>
            </w:r>
          </w:p>
        </w:tc>
        <w:tc>
          <w:tcPr>
            <w:tcW w:w="138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87</w:t>
            </w:r>
          </w:p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71</w:t>
            </w:r>
          </w:p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267</w:t>
            </w:r>
          </w:p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261</w:t>
            </w:r>
          </w:p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195</w:t>
            </w:r>
          </w:p>
          <w:p w:rsidR="00856EDF" w:rsidRDefault="00D85DF2" w:rsidP="00856EDF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176</w:t>
            </w:r>
          </w:p>
        </w:tc>
        <w:tc>
          <w:tcPr>
            <w:tcW w:w="138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DF2" w:rsidRDefault="00D85DF2" w:rsidP="00D85DF2">
            <w:pPr>
              <w:widowControl w:val="0"/>
              <w:spacing w:after="40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D85DF2" w:rsidTr="00A870F8">
        <w:trPr>
          <w:trHeight w:val="65"/>
        </w:trPr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DF2" w:rsidRDefault="00D85DF2" w:rsidP="00A870F8">
            <w:pPr>
              <w:widowControl w:val="0"/>
              <w:spacing w:after="40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D85DF2" w:rsidRDefault="00D85DF2" w:rsidP="009A4E66">
            <w:pPr>
              <w:widowControl w:val="0"/>
              <w:spacing w:after="40"/>
              <w:ind w:firstLine="14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</w:tbl>
    <w:p w:rsidR="00322B42" w:rsidRDefault="00322B42" w:rsidP="00322B42">
      <w:pP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322B42">
        <w:rPr>
          <w:rFonts w:ascii="Arial" w:eastAsia="Arial" w:hAnsi="Arial" w:cs="Arial"/>
          <w:color w:val="000000"/>
          <w:sz w:val="18"/>
          <w:szCs w:val="18"/>
        </w:rPr>
        <w:t>Dosagem de cobre no plasma e TGO (Transaminase oxalacética) foi significativamente maior nos animais doentes comparado aos animais que não receberam aplicação de cobre (animais que receberam aplicação e não adoeceram não foram submetidos à coleta de material para não serem estressados)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CB0524" w:rsidRDefault="00A176B0" w:rsidP="00277B30">
      <w:pP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Ás necropsias t</w:t>
      </w:r>
      <w:r w:rsidR="00322B42" w:rsidRPr="00322B42">
        <w:rPr>
          <w:rFonts w:ascii="Arial" w:eastAsia="Arial" w:hAnsi="Arial" w:cs="Arial"/>
          <w:color w:val="000000"/>
          <w:sz w:val="18"/>
          <w:szCs w:val="18"/>
        </w:rPr>
        <w:t>odas as c</w:t>
      </w:r>
      <w:r w:rsidR="002459FD">
        <w:rPr>
          <w:rFonts w:ascii="Arial" w:eastAsia="Arial" w:hAnsi="Arial" w:cs="Arial"/>
          <w:color w:val="000000"/>
          <w:sz w:val="18"/>
          <w:szCs w:val="18"/>
        </w:rPr>
        <w:t xml:space="preserve">arcaças apresentaram icterícia </w:t>
      </w:r>
      <w:r w:rsidR="00322B42" w:rsidRPr="00322B42">
        <w:rPr>
          <w:rFonts w:ascii="Arial" w:eastAsia="Arial" w:hAnsi="Arial" w:cs="Arial"/>
          <w:color w:val="000000"/>
          <w:sz w:val="18"/>
          <w:szCs w:val="18"/>
        </w:rPr>
        <w:t>di</w:t>
      </w:r>
      <w:r w:rsidR="00322B42">
        <w:rPr>
          <w:rFonts w:ascii="Arial" w:eastAsia="Arial" w:hAnsi="Arial" w:cs="Arial"/>
          <w:color w:val="000000"/>
          <w:sz w:val="18"/>
          <w:szCs w:val="18"/>
        </w:rPr>
        <w:t>screta a moderada</w:t>
      </w:r>
      <w:r w:rsidR="00322B42" w:rsidRPr="00322B42">
        <w:rPr>
          <w:rFonts w:ascii="Arial" w:eastAsia="Arial" w:hAnsi="Arial" w:cs="Arial"/>
          <w:color w:val="000000"/>
          <w:sz w:val="18"/>
          <w:szCs w:val="18"/>
        </w:rPr>
        <w:t xml:space="preserve">, edema pulmonar discreto a moderado, fígado com acentuação do padrão lobular (Figuras </w:t>
      </w:r>
      <w:r w:rsidR="00322B42">
        <w:rPr>
          <w:rFonts w:ascii="Arial" w:eastAsia="Arial" w:hAnsi="Arial" w:cs="Arial"/>
          <w:color w:val="000000"/>
          <w:sz w:val="18"/>
          <w:szCs w:val="18"/>
        </w:rPr>
        <w:t>2 e 3</w:t>
      </w:r>
      <w:r w:rsidR="00322B42" w:rsidRPr="00322B42">
        <w:rPr>
          <w:rFonts w:ascii="Arial" w:eastAsia="Arial" w:hAnsi="Arial" w:cs="Arial"/>
          <w:color w:val="000000"/>
          <w:sz w:val="18"/>
          <w:szCs w:val="18"/>
        </w:rPr>
        <w:t xml:space="preserve">) e com áreas focalmente extensas aleatórias amarelo alaranjadas (Figuras </w:t>
      </w:r>
      <w:r w:rsidR="00322B42">
        <w:rPr>
          <w:rFonts w:ascii="Arial" w:eastAsia="Arial" w:hAnsi="Arial" w:cs="Arial"/>
          <w:color w:val="000000"/>
          <w:sz w:val="18"/>
          <w:szCs w:val="18"/>
        </w:rPr>
        <w:t>2</w:t>
      </w:r>
      <w:r w:rsidR="00322B42" w:rsidRPr="00322B42">
        <w:rPr>
          <w:rFonts w:ascii="Arial" w:eastAsia="Arial" w:hAnsi="Arial" w:cs="Arial"/>
          <w:color w:val="000000"/>
          <w:sz w:val="18"/>
          <w:szCs w:val="18"/>
        </w:rPr>
        <w:t xml:space="preserve"> e </w:t>
      </w:r>
      <w:r w:rsidR="00322B42">
        <w:rPr>
          <w:rFonts w:ascii="Arial" w:eastAsia="Arial" w:hAnsi="Arial" w:cs="Arial"/>
          <w:color w:val="000000"/>
          <w:sz w:val="18"/>
          <w:szCs w:val="18"/>
        </w:rPr>
        <w:t>3</w:t>
      </w:r>
      <w:r w:rsidR="00322B42" w:rsidRPr="00322B42">
        <w:rPr>
          <w:rFonts w:ascii="Arial" w:eastAsia="Arial" w:hAnsi="Arial" w:cs="Arial"/>
          <w:color w:val="000000"/>
          <w:sz w:val="18"/>
          <w:szCs w:val="18"/>
        </w:rPr>
        <w:t>). Superfícies serosas, pleuras, pericárdio, epicárdio, endocárdio e principalmente cápsula do timo apresentava</w:t>
      </w:r>
      <w:r w:rsidR="00322B42" w:rsidRPr="002459FD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2B42" w:rsidRPr="00322B42">
        <w:rPr>
          <w:rFonts w:ascii="Arial" w:eastAsia="Arial" w:hAnsi="Arial" w:cs="Arial"/>
          <w:color w:val="000000"/>
          <w:sz w:val="18"/>
          <w:szCs w:val="18"/>
        </w:rPr>
        <w:t xml:space="preserve">hemorragias petequiais. As lesões observadas apresentaram um padrão comum, com </w:t>
      </w:r>
      <w:r w:rsidR="00512CEC" w:rsidRPr="00512CEC">
        <w:rPr>
          <w:rFonts w:ascii="Arial" w:eastAsia="Arial" w:hAnsi="Arial" w:cs="Arial"/>
          <w:color w:val="000000"/>
          <w:sz w:val="18"/>
          <w:szCs w:val="18"/>
        </w:rPr>
        <w:t>exceção</w:t>
      </w:r>
      <w:r w:rsidR="00322B42" w:rsidRPr="00322B42">
        <w:rPr>
          <w:rFonts w:ascii="Arial" w:eastAsia="Arial" w:hAnsi="Arial" w:cs="Arial"/>
          <w:color w:val="000000"/>
          <w:sz w:val="18"/>
          <w:szCs w:val="18"/>
        </w:rPr>
        <w:t xml:space="preserve"> de apenas um animal que apresentou urina amarronzada</w:t>
      </w:r>
      <w:r w:rsidR="00322B42" w:rsidRPr="002459FD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277B30">
        <w:rPr>
          <w:rFonts w:ascii="Arial" w:eastAsia="Arial" w:hAnsi="Arial" w:cs="Arial"/>
          <w:color w:val="000000"/>
          <w:sz w:val="18"/>
          <w:szCs w:val="18"/>
        </w:rPr>
        <w:t xml:space="preserve">característico de </w:t>
      </w:r>
      <w:r w:rsidR="00936BA1">
        <w:rPr>
          <w:rFonts w:ascii="Arial" w:eastAsia="Arial" w:hAnsi="Arial" w:cs="Arial"/>
          <w:color w:val="000000"/>
          <w:sz w:val="18"/>
          <w:szCs w:val="18"/>
        </w:rPr>
        <w:t xml:space="preserve">hemoglobinúria. </w:t>
      </w:r>
    </w:p>
    <w:p w:rsidR="00196118" w:rsidRDefault="00C23F92" w:rsidP="00365074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bookmarkStart w:id="2" w:name="_GoBack"/>
      <w:bookmarkEnd w:id="2"/>
      <w:r>
        <w:rPr>
          <w:rFonts w:ascii="Arial" w:eastAsia="Arial" w:hAnsi="Arial" w:cs="Arial"/>
          <w:color w:val="000000"/>
          <w:sz w:val="18"/>
          <w:szCs w:val="18"/>
        </w:rPr>
        <w:t>A</w:t>
      </w:r>
      <w:r w:rsidRPr="00C23F92">
        <w:rPr>
          <w:rFonts w:ascii="Arial" w:eastAsia="Arial" w:hAnsi="Arial" w:cs="Arial"/>
          <w:color w:val="000000"/>
          <w:sz w:val="18"/>
          <w:szCs w:val="18"/>
        </w:rPr>
        <w:t xml:space="preserve"> histopatologia revelou necrose hepática centrolobular difusa acentuada e linfolise multifocal acentuada no baço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0D61EA" w:rsidRPr="00322B42" w:rsidRDefault="000D61EA" w:rsidP="000D61EA">
      <w:pPr>
        <w:spacing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322B42">
        <w:rPr>
          <w:rFonts w:ascii="Arial" w:eastAsia="Arial" w:hAnsi="Arial" w:cs="Arial"/>
          <w:noProof/>
          <w:color w:val="000000"/>
          <w:sz w:val="18"/>
          <w:szCs w:val="18"/>
        </w:rPr>
        <w:drawing>
          <wp:inline distT="0" distB="0" distL="0" distR="0" wp14:anchorId="32F490F7" wp14:editId="6B6A2E9E">
            <wp:extent cx="2419350" cy="10953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5" b="26858"/>
                    <a:stretch/>
                  </pic:blipFill>
                  <pic:spPr bwMode="auto">
                    <a:xfrm>
                      <a:off x="0" y="0"/>
                      <a:ext cx="2539277" cy="11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1EA" w:rsidRDefault="000D61EA" w:rsidP="006C50A6">
      <w:pPr>
        <w:spacing w:before="40"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322B42">
        <w:rPr>
          <w:rFonts w:ascii="Arial" w:eastAsia="Arial" w:hAnsi="Arial" w:cs="Arial"/>
          <w:color w:val="000000"/>
          <w:sz w:val="18"/>
          <w:szCs w:val="18"/>
        </w:rPr>
        <w:t>Figura 1</w:t>
      </w:r>
      <w:r w:rsidR="0023038D" w:rsidRPr="00322B42">
        <w:rPr>
          <w:rFonts w:ascii="Arial" w:eastAsia="Arial" w:hAnsi="Arial" w:cs="Arial"/>
          <w:color w:val="000000"/>
          <w:sz w:val="18"/>
          <w:szCs w:val="18"/>
        </w:rPr>
        <w:t>:</w:t>
      </w:r>
      <w:r w:rsidR="0023038D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Pr="000D61EA">
        <w:rPr>
          <w:rFonts w:ascii="Arial" w:eastAsia="Arial" w:hAnsi="Arial" w:cs="Arial"/>
          <w:color w:val="000000"/>
          <w:sz w:val="18"/>
          <w:szCs w:val="18"/>
        </w:rPr>
        <w:t xml:space="preserve">Animal apresentado incapacidade de se manter em pé 48 horas após aplicação de </w:t>
      </w:r>
      <w:proofErr w:type="spellStart"/>
      <w:r w:rsidRPr="000D61EA">
        <w:rPr>
          <w:rFonts w:ascii="Arial" w:eastAsia="Arial" w:hAnsi="Arial" w:cs="Arial"/>
          <w:color w:val="000000"/>
          <w:sz w:val="18"/>
          <w:szCs w:val="18"/>
        </w:rPr>
        <w:t>Suplenut</w:t>
      </w:r>
      <w:proofErr w:type="spellEnd"/>
      <w:r w:rsidRPr="000D61EA">
        <w:rPr>
          <w:rFonts w:ascii="Arial" w:eastAsia="Arial" w:hAnsi="Arial" w:cs="Arial"/>
          <w:color w:val="000000"/>
          <w:sz w:val="18"/>
          <w:szCs w:val="18"/>
        </w:rPr>
        <w:t>®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2459FD" w:rsidRPr="002459FD" w:rsidRDefault="002459FD" w:rsidP="006C50A6">
      <w:pPr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2459FD">
        <w:rPr>
          <w:rFonts w:ascii="Arial" w:eastAsia="Arial" w:hAnsi="Arial" w:cs="Arial"/>
          <w:color w:val="000000"/>
          <w:sz w:val="18"/>
          <w:szCs w:val="18"/>
        </w:rPr>
        <w:t>FONTE: Autor, 2020</w:t>
      </w:r>
    </w:p>
    <w:p w:rsidR="00B44DDE" w:rsidRDefault="00B44DDE" w:rsidP="00B44DDE">
      <w:pPr>
        <w:spacing w:before="40"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322B42">
        <w:rPr>
          <w:rFonts w:ascii="Arial" w:eastAsia="Arial" w:hAnsi="Arial" w:cs="Arial"/>
          <w:noProof/>
          <w:color w:val="000000"/>
          <w:sz w:val="18"/>
          <w:szCs w:val="18"/>
        </w:rPr>
        <w:drawing>
          <wp:inline distT="0" distB="0" distL="0" distR="0" wp14:anchorId="78F11D13" wp14:editId="54F559DD">
            <wp:extent cx="2486024" cy="146991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764" r="-477" b="4319"/>
                    <a:stretch/>
                  </pic:blipFill>
                  <pic:spPr bwMode="auto">
                    <a:xfrm>
                      <a:off x="0" y="0"/>
                      <a:ext cx="2486024" cy="146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DDE" w:rsidRDefault="00B44DDE" w:rsidP="006C50A6">
      <w:pPr>
        <w:spacing w:before="40"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322B42">
        <w:rPr>
          <w:rFonts w:ascii="Arial" w:eastAsia="Arial" w:hAnsi="Arial" w:cs="Arial"/>
          <w:color w:val="000000"/>
          <w:sz w:val="18"/>
          <w:szCs w:val="18"/>
        </w:rPr>
        <w:t xml:space="preserve">Figura </w:t>
      </w:r>
      <w:r w:rsidR="0023038D" w:rsidRPr="00322B42">
        <w:rPr>
          <w:rFonts w:ascii="Arial" w:eastAsia="Arial" w:hAnsi="Arial" w:cs="Arial"/>
          <w:color w:val="000000"/>
          <w:sz w:val="18"/>
          <w:szCs w:val="18"/>
        </w:rPr>
        <w:t>2:</w:t>
      </w:r>
      <w:r w:rsidRPr="00B44DDE">
        <w:rPr>
          <w:rFonts w:ascii="Arial" w:eastAsia="Arial" w:hAnsi="Arial" w:cs="Arial"/>
          <w:color w:val="000000"/>
          <w:sz w:val="18"/>
          <w:szCs w:val="18"/>
        </w:rPr>
        <w:t xml:space="preserve"> Macroscopia de fígado com aumento da evidenciação do padrão lobular na superfície do órgão (necrose centrolobular) e área focalmente extensa amarelo alaranjada (necrose difusa)</w:t>
      </w:r>
      <w:r w:rsidR="002459FD"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2459FD" w:rsidRPr="002459FD" w:rsidRDefault="002459FD" w:rsidP="006C50A6">
      <w:pPr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2459FD">
        <w:rPr>
          <w:rFonts w:ascii="Arial" w:eastAsia="Arial" w:hAnsi="Arial" w:cs="Arial"/>
          <w:color w:val="000000"/>
          <w:sz w:val="18"/>
          <w:szCs w:val="18"/>
        </w:rPr>
        <w:t>FONTE: Autor, 2020</w:t>
      </w:r>
    </w:p>
    <w:p w:rsidR="00B44DDE" w:rsidRPr="00322B42" w:rsidRDefault="00B44DDE" w:rsidP="002459FD">
      <w:pPr>
        <w:spacing w:before="40" w:after="40"/>
        <w:ind w:right="81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322B42">
        <w:rPr>
          <w:rFonts w:ascii="Arial" w:eastAsia="Arial" w:hAnsi="Arial" w:cs="Arial"/>
          <w:noProof/>
          <w:color w:val="000000"/>
          <w:sz w:val="18"/>
          <w:szCs w:val="18"/>
        </w:rPr>
        <w:drawing>
          <wp:inline distT="0" distB="0" distL="0" distR="0" wp14:anchorId="6ACD398A" wp14:editId="5E256535">
            <wp:extent cx="2688653" cy="153345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9" b="5897"/>
                    <a:stretch/>
                  </pic:blipFill>
                  <pic:spPr bwMode="auto">
                    <a:xfrm>
                      <a:off x="0" y="0"/>
                      <a:ext cx="2810151" cy="16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DDE" w:rsidRDefault="00B44DDE" w:rsidP="006C50A6">
      <w:pPr>
        <w:spacing w:before="40"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322B42">
        <w:rPr>
          <w:rFonts w:ascii="Arial" w:eastAsia="Arial" w:hAnsi="Arial" w:cs="Arial"/>
          <w:color w:val="000000"/>
          <w:sz w:val="18"/>
          <w:szCs w:val="18"/>
        </w:rPr>
        <w:t xml:space="preserve">Figura </w:t>
      </w:r>
      <w:r w:rsidR="00724624" w:rsidRPr="00322B42">
        <w:rPr>
          <w:rFonts w:ascii="Arial" w:eastAsia="Arial" w:hAnsi="Arial" w:cs="Arial"/>
          <w:color w:val="000000"/>
          <w:sz w:val="18"/>
          <w:szCs w:val="18"/>
        </w:rPr>
        <w:t>3:</w:t>
      </w:r>
      <w:r w:rsidRPr="00B44DDE">
        <w:rPr>
          <w:rFonts w:ascii="Arial" w:eastAsia="Arial" w:hAnsi="Arial" w:cs="Arial"/>
          <w:color w:val="000000"/>
          <w:sz w:val="18"/>
          <w:szCs w:val="18"/>
        </w:rPr>
        <w:t xml:space="preserve"> Macroscopia de fígado com aumento da evidenciação do padrão lobular na superfície de corte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:rsidR="002459FD" w:rsidRPr="002459FD" w:rsidRDefault="002459FD" w:rsidP="006C50A6">
      <w:pPr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2459FD">
        <w:rPr>
          <w:rFonts w:ascii="Arial" w:eastAsia="Arial" w:hAnsi="Arial" w:cs="Arial"/>
          <w:color w:val="000000"/>
          <w:sz w:val="18"/>
          <w:szCs w:val="18"/>
        </w:rPr>
        <w:t>FONTE: Autor, 2020</w:t>
      </w:r>
    </w:p>
    <w:p w:rsidR="00DC603D" w:rsidRPr="001E31F9" w:rsidRDefault="004A1A49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 w:rsidRPr="001E31F9"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:rsidR="002459FD" w:rsidRPr="002459FD" w:rsidRDefault="002459FD" w:rsidP="002459FD">
      <w:pP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 suplementação nutricional excessiva de cobre para bovinos é </w:t>
      </w:r>
      <w:r w:rsidR="001E31F9">
        <w:rPr>
          <w:rFonts w:ascii="Arial" w:eastAsia="Arial" w:hAnsi="Arial" w:cs="Arial"/>
          <w:color w:val="000000"/>
          <w:sz w:val="18"/>
          <w:szCs w:val="18"/>
        </w:rPr>
        <w:t>potencialmente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tóxico. Pode causar acúmulo hepatocelular deste </w:t>
      </w:r>
      <w:r w:rsidR="001E31F9">
        <w:rPr>
          <w:rFonts w:ascii="Arial" w:eastAsia="Arial" w:hAnsi="Arial" w:cs="Arial"/>
          <w:color w:val="000000"/>
          <w:sz w:val="18"/>
          <w:szCs w:val="18"/>
        </w:rPr>
        <w:t>micromineral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e, posteriormente, risco de degeneração e necrose hepatocelular, crise hemolítica e nefrose. A intoxicação por cobre deve ser considerado um diferencial diagnostico, principalmente em bovinos </w:t>
      </w:r>
      <w:r w:rsidR="001E31F9">
        <w:rPr>
          <w:rFonts w:ascii="Arial" w:eastAsia="Arial" w:hAnsi="Arial" w:cs="Arial"/>
          <w:color w:val="000000"/>
          <w:sz w:val="18"/>
          <w:szCs w:val="18"/>
        </w:rPr>
        <w:t xml:space="preserve">confinados e semiconfinados com distúrbios hemolíticos. </w:t>
      </w:r>
    </w:p>
    <w:p w:rsidR="00B80941" w:rsidRDefault="004A1A49" w:rsidP="00B80941">
      <w:pPr>
        <w:spacing w:after="40"/>
        <w:jc w:val="center"/>
        <w:rPr>
          <w:rFonts w:ascii="Arial" w:eastAsia="Arial" w:hAnsi="Arial" w:cs="Arial"/>
          <w:b/>
          <w:color w:val="000000"/>
          <w:sz w:val="14"/>
          <w:szCs w:val="14"/>
        </w:rPr>
      </w:pPr>
      <w:r>
        <w:rPr>
          <w:rFonts w:ascii="Arial" w:eastAsia="Arial" w:hAnsi="Arial" w:cs="Arial"/>
          <w:b/>
          <w:color w:val="000000"/>
          <w:sz w:val="14"/>
          <w:szCs w:val="14"/>
        </w:rPr>
        <w:t>APOIO:</w:t>
      </w:r>
    </w:p>
    <w:p w:rsidR="00827480" w:rsidRPr="00724624" w:rsidRDefault="00C22084" w:rsidP="00B80941">
      <w:pPr>
        <w:spacing w:after="40"/>
        <w:jc w:val="center"/>
        <w:rPr>
          <w:rFonts w:ascii="Arial" w:eastAsia="Arial" w:hAnsi="Arial" w:cs="Arial"/>
          <w:b/>
          <w:color w:val="000000" w:themeColor="text1"/>
          <w:sz w:val="14"/>
          <w:szCs w:val="14"/>
        </w:rPr>
      </w:pPr>
      <w:r w:rsidRPr="00C47505">
        <w:rPr>
          <w:rFonts w:ascii="Arial" w:eastAsia="Arial" w:hAnsi="Arial" w:cs="Arial"/>
          <w:b/>
          <w:noProof/>
          <w:sz w:val="18"/>
          <w:szCs w:val="14"/>
        </w:rPr>
        <w:drawing>
          <wp:inline distT="0" distB="0" distL="0" distR="0" wp14:anchorId="138177C1" wp14:editId="68DBDFE9">
            <wp:extent cx="1581150" cy="665430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 b="27958"/>
                    <a:stretch/>
                  </pic:blipFill>
                  <pic:spPr bwMode="auto">
                    <a:xfrm>
                      <a:off x="0" y="0"/>
                      <a:ext cx="2345582" cy="987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sz w:val="14"/>
          <w:szCs w:val="14"/>
        </w:rPr>
        <w:drawing>
          <wp:inline distT="0" distB="0" distL="0" distR="0" wp14:anchorId="0C4EB362" wp14:editId="42446E6C">
            <wp:extent cx="1028700" cy="723574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50" cy="8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7480" w:rsidRPr="00724624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31F" w:rsidRDefault="004D531F">
      <w:r>
        <w:separator/>
      </w:r>
    </w:p>
  </w:endnote>
  <w:endnote w:type="continuationSeparator" w:id="0">
    <w:p w:rsidR="004D531F" w:rsidRDefault="004D5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31F" w:rsidRDefault="004D531F">
      <w:r>
        <w:separator/>
      </w:r>
    </w:p>
  </w:footnote>
  <w:footnote w:type="continuationSeparator" w:id="0">
    <w:p w:rsidR="004D531F" w:rsidRDefault="004D5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03D" w:rsidRDefault="004A1A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2060"/>
        <w:sz w:val="28"/>
        <w:szCs w:val="28"/>
      </w:rPr>
    </w:pPr>
    <w:r>
      <w:rPr>
        <w:rFonts w:ascii="Arial" w:eastAsia="Arial" w:hAnsi="Arial" w:cs="Arial"/>
        <w:b/>
        <w:color w:val="002060"/>
        <w:sz w:val="28"/>
        <w:szCs w:val="28"/>
      </w:rPr>
      <w:t xml:space="preserve">VIII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l="0" t="0" r="0" b="0"/>
          <wp:wrapNone/>
          <wp:docPr id="2" name="image1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C603D" w:rsidRDefault="004A1A49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" w:eastAsia="Arial" w:hAnsi="Arial" w:cs="Arial"/>
        <w:b/>
        <w:color w:val="002060"/>
        <w:sz w:val="16"/>
        <w:szCs w:val="16"/>
      </w:rPr>
    </w:pPr>
    <w:r>
      <w:rPr>
        <w:rFonts w:ascii="Arial" w:eastAsia="Arial" w:hAnsi="Arial" w:cs="Arial"/>
        <w:b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3D"/>
    <w:rsid w:val="000764BD"/>
    <w:rsid w:val="00095D25"/>
    <w:rsid w:val="000D61EA"/>
    <w:rsid w:val="000E55B5"/>
    <w:rsid w:val="00151BC6"/>
    <w:rsid w:val="00181728"/>
    <w:rsid w:val="00196118"/>
    <w:rsid w:val="001E31F9"/>
    <w:rsid w:val="00221EBF"/>
    <w:rsid w:val="0023038D"/>
    <w:rsid w:val="00244154"/>
    <w:rsid w:val="002459FD"/>
    <w:rsid w:val="00277B30"/>
    <w:rsid w:val="002D4298"/>
    <w:rsid w:val="002E10CB"/>
    <w:rsid w:val="00322B42"/>
    <w:rsid w:val="00337F18"/>
    <w:rsid w:val="00354462"/>
    <w:rsid w:val="00365074"/>
    <w:rsid w:val="00377372"/>
    <w:rsid w:val="003A0EAB"/>
    <w:rsid w:val="003A1C39"/>
    <w:rsid w:val="003B1E9F"/>
    <w:rsid w:val="003D53D8"/>
    <w:rsid w:val="003F2FF9"/>
    <w:rsid w:val="00406343"/>
    <w:rsid w:val="0045413D"/>
    <w:rsid w:val="004773B0"/>
    <w:rsid w:val="004A1A49"/>
    <w:rsid w:val="004D531F"/>
    <w:rsid w:val="004E10ED"/>
    <w:rsid w:val="00512CEC"/>
    <w:rsid w:val="00517392"/>
    <w:rsid w:val="00523E33"/>
    <w:rsid w:val="005B0250"/>
    <w:rsid w:val="005E15DF"/>
    <w:rsid w:val="006B012B"/>
    <w:rsid w:val="006B2E80"/>
    <w:rsid w:val="006C50A6"/>
    <w:rsid w:val="006D53C3"/>
    <w:rsid w:val="00724624"/>
    <w:rsid w:val="00827480"/>
    <w:rsid w:val="00831796"/>
    <w:rsid w:val="00856EDF"/>
    <w:rsid w:val="008810B9"/>
    <w:rsid w:val="008A2D3B"/>
    <w:rsid w:val="008A5196"/>
    <w:rsid w:val="00904946"/>
    <w:rsid w:val="00936BA1"/>
    <w:rsid w:val="00A176B0"/>
    <w:rsid w:val="00A203D0"/>
    <w:rsid w:val="00A870F8"/>
    <w:rsid w:val="00B44DDE"/>
    <w:rsid w:val="00B80941"/>
    <w:rsid w:val="00BA509F"/>
    <w:rsid w:val="00BD6B62"/>
    <w:rsid w:val="00C04539"/>
    <w:rsid w:val="00C22084"/>
    <w:rsid w:val="00C23F92"/>
    <w:rsid w:val="00C308F8"/>
    <w:rsid w:val="00CB0524"/>
    <w:rsid w:val="00D85DF2"/>
    <w:rsid w:val="00DC603D"/>
    <w:rsid w:val="00DD0B8A"/>
    <w:rsid w:val="00EA1D60"/>
    <w:rsid w:val="00F476BE"/>
    <w:rsid w:val="00F63C63"/>
    <w:rsid w:val="00F870DF"/>
    <w:rsid w:val="00FE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00E47"/>
  <w15:docId w15:val="{ACE1D3EC-4596-42CE-9B11-B33CCB00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C22084"/>
    <w:rPr>
      <w:color w:val="0563C1" w:themeColor="hyperlink"/>
      <w:u w:val="single"/>
    </w:rPr>
  </w:style>
  <w:style w:type="paragraph" w:customStyle="1" w:styleId="Default">
    <w:name w:val="Default"/>
    <w:rsid w:val="00C2208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brunnoaraujosilva@hot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+UiAL4UT4hc4i10Jj3sRRi4BGg==">AMUW2mU2QXiDffNFfBgMk2kGjT2FVOhj2BcB3HGECGyOuMUJFWh3woERV5IuFL/+PRetMKm3gyhnZyPYnYvv3vZJkmwrRfYti5ZqquH57Se/ohFNJt0UXX04UQElvnkWHfxf7bIhrjyOtTucBwAh7A5xJ73sqxbfIQ==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700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Victor Henrique</cp:lastModifiedBy>
  <cp:revision>51</cp:revision>
  <cp:lastPrinted>2021-10-12T13:16:00Z</cp:lastPrinted>
  <dcterms:created xsi:type="dcterms:W3CDTF">2021-02-25T20:56:00Z</dcterms:created>
  <dcterms:modified xsi:type="dcterms:W3CDTF">2021-10-13T10:46:00Z</dcterms:modified>
</cp:coreProperties>
</file>