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DESAFIOS DA ERA DIGITAL: ADICÇÃO EM SMARTPHONES E INTERNET EM PROFESSORES DO ENSINO FUNDAMENTAL I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trike w:val="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trike w:val="1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Mairam Julia Gomes Moreira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Universidade Estadual de Montes Claros Unimontes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ff"/>
          <w:sz w:val="24"/>
          <w:szCs w:val="24"/>
          <w:u w:color="auto" w:val="single"/>
        </w:rPr>
      </w:pPr>
      <w:hyperlink r:id="rId7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color="auto" w:val="single"/>
          </w:rPr>
          <w:t>profmairam@gmail.com</w:t>
        </w:r>
      </w:hyperlink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Fábia Magali Santos Vieira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ff"/>
          <w:sz w:val="24"/>
          <w:szCs w:val="24"/>
          <w:u w:color="auto" w:val="single"/>
        </w:rPr>
      </w:pPr>
      <w:hyperlink r:id="rId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color="auto" w:val="single"/>
          </w:rPr>
          <w:t>fabiamsv@gmail.com</w:t>
        </w:r>
      </w:hyperlink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Eixo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Tecnologias da Educação e Educação a Distância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851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Resumo simples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 presente pesquisa rastreou o nível de adicção em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smartphones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 internet entre os professores do Ensino Básico da Rede Municipal da cidade de Bocaiuva/MG,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analisou se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os usos desses canais impactaram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sua prática pedagógica. A adicção é um transtorno comportamental caracterizado pelo vício e vem preocupando devido aos prejuízos biopsicossociais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 procedimentos adotados foram a pesquisa bibliográfica e o levantamento, utilizando-se como instrumentos de coleta um questionário enviado pelo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Google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Forms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para identificar o perfil dos docentes, os testes SAS -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Smartphone Addiction Scale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e o IAT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Internet Addiction Test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que permitiram mensurar o nível de adicção em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smartphone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 internet entre 76 educadores. Também foram adotadas as técnicas da observação e entrevista. Os dados qualitativos foram submetidos à análise descritiva e a frequência das respostas relativas à concordância ou discordância dos professores, apresentados em escala.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Dependência Digital. Adicção. TD.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Smartphone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Internet.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Introdução</w:t>
      </w:r>
    </w:p>
    <w:p>
      <w:pPr>
        <w:ind w:firstLine="709"/>
        <w:spacing w:after="0" w:line="240" w:lineRule="auto"/>
        <w:jc w:val="both"/>
        <w:widowControl w:val="0"/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Esta investigação pontua-se pela preocupação com a saúde mental dos docentes e o entendimento da influência da adicção no processo ensino-aprendizagem. O distanciamento social, ocorrido por causa da pandemia da COVID 19, intensificou a utilização das TD desencadeando estudos para entender as consequências deste evento. A adicção em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smartphone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 internet é um dos temas prioritários no cenário atual.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Este estudo foi realizado no Programa de Pós-Graduação Mestrado em Educação, no âmbito do Educar: Laboratório Multiusuário de Tecnologias Digitais na Educação e do Projeto de pesquisa Laboratório de Educação Digital - LED - da Universidade Estadual de Montes Claros (UNIMONTES) no período de 2022 a 2024.</w:t>
      </w:r>
      <w:r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r>
    </w:p>
    <w:p>
      <w:pPr>
        <w:spacing w:after="0" w:line="240" w:lineRule="auto"/>
        <w:jc w:val="both"/>
        <w:widowControl w:val="0"/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pPr>
      <w:r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r>
    </w:p>
    <w:p>
      <w:pPr>
        <w:spacing w:after="0" w:line="240" w:lineRule="auto"/>
        <w:jc w:val="both"/>
        <w:widowControl w:val="0"/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pPr>
      <w:r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r>
    </w:p>
    <w:p>
      <w:pPr>
        <w:spacing w:after="0" w:line="240" w:lineRule="auto"/>
        <w:jc w:val="both"/>
        <w:widowContro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Justificativa e problema da pesquisa</w:t>
      </w:r>
    </w:p>
    <w:p>
      <w:pPr>
        <w:ind w:firstLine="426"/>
        <w:spacing w:after="0" w:line="240" w:lineRule="auto"/>
        <w:jc w:val="both"/>
        <w:widowControl w:val="0"/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Apresenta-se aqui uma preocupação com a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saúde mental dos profissionais,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envolvidos constantemente com as TD, como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também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a busca de entendimento da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influência da adicção no processo ensino-aprendizagem.</w:t>
      </w:r>
      <w:r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r>
    </w:p>
    <w:p>
      <w:pPr>
        <w:spacing w:after="0" w:line="240" w:lineRule="auto"/>
        <w:jc w:val="both"/>
        <w:widowControl w:val="0"/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pPr>
      <w:r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r>
    </w:p>
    <w:p>
      <w:pPr>
        <w:spacing w:after="0" w:line="240" w:lineRule="auto"/>
        <w:jc w:val="both"/>
        <w:widowContro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Objetivos da pesquisa</w:t>
      </w:r>
    </w:p>
    <w:p>
      <w:pPr>
        <w:ind w:firstLine="426"/>
        <w:spacing w:after="0" w:line="240" w:lineRule="auto"/>
        <w:jc w:val="both"/>
        <w:widowContro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Rastrear o nível de adicção em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smartphones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 internet entre os professores da Rede Mun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icipal da cidade de Bocaiuva/MG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 analisar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 impactos pedagógicos no uso das TD.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pPr>
      <w:r>
        <w:rPr>
          <w:rFonts w:ascii="Times New Roman" w:hAnsi="Times New Roman" w:eastAsia="Times New Roman" w:cs="Times New Roman"/>
          <w:highlight w:val="white"/>
          <w:color w:val="0d0d0d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Referencial teórico que fundamenta a pesquisa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highlight w:val="white"/>
          <w:color w:val="000000"/>
          <w:sz w:val="24"/>
          <w:szCs w:val="24"/>
        </w:rPr>
        <w:t>Autores 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omo Brito (2021), Savci (2017) dentre outros apresentaram estudos com estudantes sobre o assunto, reconhecendo a importância vital deste tema na atualidade.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Khoury (2019) afirma que a adicção em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smartphones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tem causado repercussões negativas aos indivíduos como interferência na qualidade do sono e diminuição do desempenho escolar e laboral. Sobre a adicção em internet </w:t>
      </w:r>
      <w:r>
        <w:rPr>
          <w:rFonts w:ascii="Times New Roman" w:hAnsi="Times New Roman" w:eastAsia="Times New Roman" w:cs="Times New Roman"/>
          <w:highlight w:val="white"/>
          <w:color w:val="000000"/>
          <w:sz w:val="24"/>
          <w:szCs w:val="24"/>
        </w:rPr>
        <w:t xml:space="preserve">pode-se observar sintomas da abstinência como a ansiedade, distúrbios do sono, estresse, irritação, depressão e isolamento social, bem como desconforto ocular e lesões musculares e por esforço repetitivo (Young; Abreu, 2011). </w:t>
      </w:r>
      <w:r>
        <w:rPr>
          <w:rFonts w:ascii="Times New Roman" w:hAnsi="Times New Roman" w:eastAsia="Times New Roman" w:cs="Times New Roman"/>
          <w:highlight w:val="white"/>
          <w:color w:val="00000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highlight w:val="white"/>
          <w:color w:val="00000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Procedimentos metodológicos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 procedimentos adotados foram a pesquisa bibliográfica e o levantamento, utilizando-se como instrumentos de coleta um questionário enviado pelo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Google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Forms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para identificar o perfil dos docentes, os testes SAS -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Smartphone Addiction Scale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e o IAT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Internet Addiction Test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que permitiram mensurar o nível de adicção em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smartphone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 internet entre 76 educadores. Também foram adotadas as técnicas da observação e entrevista.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trike w:val="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Análise dos dados </w:t>
      </w:r>
      <w:r>
        <w:rPr>
          <w:rFonts w:ascii="Times New Roman" w:hAnsi="Times New Roman" w:eastAsia="Times New Roman" w:cs="Times New Roman"/>
          <w:b/>
          <w:strike w:val="1"/>
          <w:sz w:val="24"/>
          <w:szCs w:val="24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 resultados do teste SAS </w:t>
      </w:r>
      <w:r>
        <w:rPr>
          <w:rFonts w:ascii="Times New Roman" w:hAnsi="Times New Roman" w:eastAsia="Times New Roman" w:cs="Times New Roman"/>
          <w:highlight w:val="white"/>
          <w:color w:val="000000"/>
          <w:sz w:val="24"/>
          <w:szCs w:val="24"/>
        </w:rPr>
        <w:t>sugerem que os sujeitos da pesquisa não apresentam distúrbios relacionados ao celular, utilizando-o de forma saudável</w:t>
      </w:r>
      <w:r>
        <w:rPr>
          <w:rFonts w:ascii="Times New Roman" w:hAnsi="Times New Roman" w:eastAsia="Times New Roman" w:cs="Times New Roman"/>
          <w:highlight w:val="white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highlight w:val="white"/>
          <w:color w:val="000000"/>
          <w:sz w:val="24"/>
          <w:szCs w:val="24"/>
        </w:rPr>
        <w:t xml:space="preserve"> A média alcançada no Teste IAT foi 28,1, ou seja, os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participantes foram classificados como usuários medianos, isto é, possuem adicção em nível leve, com controle sobre o uso da internet.  No entanto algumas respostas chamam a atenção, por exemplo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quanto ao tempo de uso do aparelho, onde a maioria concordou ser necessário diminuir. A observação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 as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entrevista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revelaram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que os sujeitos da pesquisa acreditam no potencial das TD em sala de aula, porém se sentem inseguros ao utilizá-la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spacing w:after="0" w:line="240" w:lineRule="auto"/>
        <w:jc w:val="both"/>
        <w:widowControl w:val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Relação do objeto de estudo com a pesquisa em Educação e eixo temático do COPED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adicção em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smartphones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 internet em professores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é um problema sério que precisa ser discutido abertamente e com seriedade no âmbito da educação. Congressos de educação são um espaço propício para essa discussão, pois reúnem profissionais da área que podem compartilhar conhecimentos, experiências e boas práticas para prevenir e tratar esse problema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Considerações finais</w:t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Constatamos que a pesquisa encontrou sujeitos conscientes do uso equilibrado das TD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porém aca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nhados quanto à sua utilização.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Se encaixam no nível de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usuários medianos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com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controle sobre o uso do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smartphone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 da internet, não causando prejuízo laboral, físico e ou mental.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Referências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BRITO, Maria Fernanda Santos Figueiredo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Fatores associados ao estilo de vida de estudantes do ensino médio de escolas públicas. 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Revista Gaúcha de Enfermagem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Rio Grande do Sul, v. 40, n. e20180168, p. 1-8, 2019. Disponível em: https://www.scielo.br/j/rgenf/a/6R7RYsmWdpLJbcb7YMMwDYN/. Acesso em: 08 jan. 2024.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24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KHOURY. Júlia Machado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et al.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Bad Choices Make Good Stories: The Impaired Decision-Making Process and Skin Conductance Response in Subjects With Smartphone Addiction. 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Frontiers in Psychiatry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v. 10, n. 73.  Disponível em:  </w:t>
      </w:r>
      <w:hyperlink r:id="rId9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</w:rPr>
          <w:t>https://www.frontiersin.org/articles/10.3389/fpsyt.2019.00073/full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Acesso em: 18 jul. 2023.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SAVCI, Mustafa; AYSAN, Ferda. Technological Addictions and Social Connectedness: Predictor Effect of Internet Addiction, Social Media Addiction, Digital Game Addiction and Smartphone Addiction on Social Connectedness.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Dusunen Adam The Journal of Psychiatry and Neurological Sciences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v. 30, p. 202-216, 2017. Disponível em: https://arsiv.dusunenadamdergisi.org/ing/DergiPdf/DUSUNEN_ADAM_DERGISI_43e6742f9eee4938a1cd926cb527588d.pdf. Acesso em: 14 mar. 2023.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YOUNG, Kimberly Sue; ABREU, Cristiano Nabuco de.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Dependência de internet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 manual e guia de avaliação e tratamento. Artmed Editora, 2011.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10"/>
      <w:type w:val="nextPage"/>
      <w:pgSz w:h="16838" w:w="11906"/>
      <w:pgMar w:left="1701" w:top="1701" w:right="1134" w:bottom="1134" w:header="709" w:footer="0"/>
      <w:paperSrc w:first="0" w:other="0" a="0" b="0"/>
      <w:pgNumType w:fmt="decimal" w:start="1"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after="0" w:line="240" w:lineRule="auto"/>
      <w:tabs defTabSz="720">
        <w:tab w:val="center" w:pos="4252" w:leader="none"/>
        <w:tab w:val="right" w:pos="8504" w:leader="none"/>
      </w:tabs>
      <w:rPr>
        <w:color w:val="000000"/>
      </w:rPr>
    </w:pPr>
    <w:r>
      <w:rPr>
        <w:noProof/>
      </w:rPr>
      <w:drawing>
        <wp:inline distT="0" distB="0" distL="0" distR="0">
          <wp:extent cx="5760085" cy="174117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extLst>
                      <a:ext uri="smNativeData">
                        <sm:smNativeData xmlns:sm="smNativeData" val="SMDATA_16_9AVF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byMAALYK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741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579954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9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10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11" w:customStyle="1">
    <w:name w:val="annotation subject"/>
    <w:qFormat/>
    <w:basedOn w:val="para9"/>
    <w:next w:val="para9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sz w:val="20"/>
      <w:szCs w:val="20"/>
    </w:rPr>
  </w:style>
  <w:style w:type="character" w:styleId="char2" w:customStyle="1">
    <w:name w:val="annotation reference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cs="Segoe UI"/>
      <w:sz w:val="18"/>
      <w:szCs w:val="18"/>
    </w:rPr>
  </w:style>
  <w:style w:type="character" w:styleId="char4" w:customStyle="1">
    <w:name w:val="Assunto do comentário Char"/>
    <w:basedOn w:val="char1"/>
    <w:rPr>
      <w:b/>
      <w:bCs/>
      <w:sz w:val="20"/>
      <w:szCs w:val="20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9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10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11" w:customStyle="1">
    <w:name w:val="annotation subject"/>
    <w:qFormat/>
    <w:basedOn w:val="para9"/>
    <w:next w:val="para9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sz w:val="20"/>
      <w:szCs w:val="20"/>
    </w:rPr>
  </w:style>
  <w:style w:type="character" w:styleId="char2" w:customStyle="1">
    <w:name w:val="annotation reference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cs="Segoe UI"/>
      <w:sz w:val="18"/>
      <w:szCs w:val="18"/>
    </w:rPr>
  </w:style>
  <w:style w:type="character" w:styleId="char4" w:customStyle="1">
    <w:name w:val="Assunto do comentário Char"/>
    <w:basedOn w:val="char1"/>
    <w:rPr>
      <w:b/>
      <w:bCs/>
      <w:sz w:val="20"/>
      <w:szCs w:val="20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profmairam@gmail.com" TargetMode="External"/><Relationship Id="rId8" Type="http://schemas.openxmlformats.org/officeDocument/2006/relationships/hyperlink" Target="mailto:fabiamsv@gmail.com" TargetMode="External"/><Relationship Id="rId9" Type="http://schemas.openxmlformats.org/officeDocument/2006/relationships/hyperlink" Target="https://www.frontiersin.org/articles/10.3389/fpsyt.2019.00073/full" TargetMode="External"/><Relationship Id="rId10" Type="http://schemas.openxmlformats.org/officeDocument/2006/relationships/header" Target="head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2024-05-15T16:05:00Z</dcterms:created>
  <dcterms:modified xsi:type="dcterms:W3CDTF">2024-05-15T18:59:00Z</dcterms:modified>
</cp:coreProperties>
</file>