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760" w:rsidRDefault="00D20760" w:rsidP="00D20760">
      <w:pPr>
        <w:spacing w:after="0"/>
        <w:rPr>
          <w:rFonts w:ascii="Times New Roman" w:eastAsia="Times New Roman" w:hAnsi="Times New Roman" w:cs="Times New Roman"/>
          <w:b/>
          <w:bCs/>
          <w:sz w:val="28"/>
          <w:szCs w:val="28"/>
        </w:rPr>
      </w:pPr>
    </w:p>
    <w:p w:rsidR="00611418" w:rsidRDefault="00AE645D">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ACESSIBILIDADE NO ENSINO SUPERIOR: BARREIRAS E DESAFIOS NA INCLUSÃO DE ESTUDANTES COM DEFICIÊNCIA</w:t>
      </w:r>
    </w:p>
    <w:p w:rsidR="00611418" w:rsidRDefault="00611418" w:rsidP="00D20760">
      <w:pPr>
        <w:spacing w:after="0"/>
        <w:rPr>
          <w:rFonts w:ascii="Times New Roman" w:eastAsia="Times New Roman" w:hAnsi="Times New Roman" w:cs="Times New Roman"/>
          <w:b/>
          <w:bCs/>
        </w:rPr>
      </w:pPr>
    </w:p>
    <w:p w:rsidR="00611418" w:rsidRDefault="00611418">
      <w:pPr>
        <w:spacing w:after="0"/>
        <w:rPr>
          <w:rFonts w:ascii="Times New Roman" w:eastAsia="Times New Roman" w:hAnsi="Times New Roman" w:cs="Times New Roman"/>
          <w:b/>
          <w:bCs/>
        </w:rPr>
      </w:pPr>
      <w:bookmarkStart w:id="0" w:name="_GoBack"/>
      <w:bookmarkEnd w:id="0"/>
    </w:p>
    <w:p w:rsidR="00D20760" w:rsidRPr="00B05BBE" w:rsidRDefault="00D20760" w:rsidP="00D20760">
      <w:pPr>
        <w:spacing w:after="0" w:line="240" w:lineRule="auto"/>
        <w:jc w:val="right"/>
        <w:rPr>
          <w:rFonts w:ascii="Times New Roman" w:eastAsia="Times New Roman" w:hAnsi="Times New Roman" w:cs="Times New Roman"/>
          <w:bCs/>
        </w:rPr>
      </w:pPr>
      <w:r w:rsidRPr="00B05BBE">
        <w:rPr>
          <w:rFonts w:ascii="Times New Roman" w:eastAsia="Times New Roman" w:hAnsi="Times New Roman" w:cs="Times New Roman"/>
          <w:bCs/>
        </w:rPr>
        <w:t>Ricardo Wilame Santana de Almeida</w:t>
      </w:r>
    </w:p>
    <w:p w:rsidR="00D20760" w:rsidRPr="00B05BBE" w:rsidRDefault="00D20760" w:rsidP="00D20760">
      <w:pPr>
        <w:spacing w:after="0" w:line="240" w:lineRule="auto"/>
        <w:jc w:val="right"/>
        <w:rPr>
          <w:rFonts w:ascii="Times New Roman" w:eastAsia="Times New Roman" w:hAnsi="Times New Roman" w:cs="Times New Roman"/>
        </w:rPr>
      </w:pPr>
      <w:r w:rsidRPr="00B05BBE">
        <w:rPr>
          <w:rFonts w:ascii="Times New Roman" w:eastAsia="Times New Roman" w:hAnsi="Times New Roman" w:cs="Times New Roman"/>
        </w:rPr>
        <w:t>Docente vinculado ao departamento de educação da Universidade Estadual de Montes Claros</w:t>
      </w:r>
    </w:p>
    <w:p w:rsidR="00D20760" w:rsidRPr="00B05BBE" w:rsidRDefault="00D20760" w:rsidP="00D20760">
      <w:pPr>
        <w:spacing w:after="0" w:line="240" w:lineRule="auto"/>
        <w:jc w:val="right"/>
        <w:rPr>
          <w:rFonts w:ascii="Times New Roman" w:eastAsia="Times New Roman" w:hAnsi="Times New Roman" w:cs="Times New Roman"/>
        </w:rPr>
      </w:pPr>
      <w:r w:rsidRPr="00B05BBE">
        <w:rPr>
          <w:rFonts w:ascii="Times New Roman" w:eastAsia="Times New Roman" w:hAnsi="Times New Roman" w:cs="Times New Roman"/>
        </w:rPr>
        <w:t>Rikardow2014@gmail.com</w:t>
      </w:r>
    </w:p>
    <w:p w:rsidR="00D20760" w:rsidRPr="00B05BBE" w:rsidRDefault="00D20760" w:rsidP="00D20760">
      <w:pPr>
        <w:spacing w:after="0" w:line="240" w:lineRule="auto"/>
        <w:jc w:val="right"/>
        <w:rPr>
          <w:rFonts w:ascii="Times New Roman" w:eastAsia="Times New Roman" w:hAnsi="Times New Roman" w:cs="Times New Roman"/>
          <w:b/>
          <w:bCs/>
        </w:rPr>
      </w:pPr>
      <w:r w:rsidRPr="00B05BBE">
        <w:rPr>
          <w:rFonts w:ascii="Times New Roman" w:eastAsia="Times New Roman" w:hAnsi="Times New Roman" w:cs="Times New Roman"/>
          <w:b/>
          <w:bCs/>
        </w:rPr>
        <w:t xml:space="preserve">Eixo: </w:t>
      </w:r>
      <w:r w:rsidRPr="00B05BBE">
        <w:rPr>
          <w:rFonts w:ascii="Times New Roman" w:hAnsi="Times New Roman" w:cs="Times New Roman"/>
        </w:rPr>
        <w:t>Políticas Públicas e Gestão da Educação</w:t>
      </w:r>
    </w:p>
    <w:p w:rsidR="00D20760" w:rsidRPr="00B05BBE" w:rsidRDefault="00D20760" w:rsidP="00D20760">
      <w:pPr>
        <w:spacing w:after="0" w:line="240" w:lineRule="auto"/>
        <w:jc w:val="right"/>
        <w:rPr>
          <w:rFonts w:ascii="Times New Roman" w:eastAsia="Times New Roman" w:hAnsi="Times New Roman" w:cs="Times New Roman"/>
          <w:b/>
          <w:bCs/>
          <w:lang w:val="en-US"/>
        </w:rPr>
      </w:pPr>
      <w:r w:rsidRPr="00B05BBE">
        <w:rPr>
          <w:rFonts w:ascii="Times New Roman" w:eastAsia="Times New Roman" w:hAnsi="Times New Roman" w:cs="Times New Roman"/>
          <w:b/>
          <w:bCs/>
          <w:lang w:val="en-US"/>
        </w:rPr>
        <w:t xml:space="preserve">Palavras - chave: </w:t>
      </w:r>
      <w:r w:rsidRPr="00B05BBE">
        <w:rPr>
          <w:rFonts w:ascii="Times New Roman" w:hAnsi="Times New Roman" w:cs="Times New Roman"/>
          <w:color w:val="000000"/>
        </w:rPr>
        <w:t>Acessibilidade. Inclusão. Ensino superior. Estudantes com deficiência.</w:t>
      </w:r>
    </w:p>
    <w:p w:rsidR="00611418" w:rsidRDefault="00611418">
      <w:pPr>
        <w:spacing w:after="0"/>
        <w:rPr>
          <w:rFonts w:ascii="Times New Roman" w:eastAsia="Times New Roman" w:hAnsi="Times New Roman" w:cs="Times New Roman"/>
          <w:b/>
          <w:bCs/>
        </w:rPr>
      </w:pPr>
    </w:p>
    <w:p w:rsidR="00D20760" w:rsidRDefault="00D20760">
      <w:pPr>
        <w:spacing w:after="0"/>
        <w:rPr>
          <w:rFonts w:ascii="Times New Roman" w:eastAsia="Times New Roman" w:hAnsi="Times New Roman" w:cs="Times New Roman"/>
          <w:b/>
          <w:bCs/>
        </w:rPr>
      </w:pPr>
    </w:p>
    <w:p w:rsidR="00611418" w:rsidRDefault="00AE645D">
      <w:pPr>
        <w:spacing w:after="0"/>
        <w:rPr>
          <w:rFonts w:ascii="Times New Roman" w:eastAsia="Times New Roman" w:hAnsi="Times New Roman" w:cs="Times New Roman"/>
          <w:b/>
          <w:bCs/>
        </w:rPr>
      </w:pPr>
      <w:r>
        <w:rPr>
          <w:rFonts w:ascii="Times New Roman" w:eastAsia="Times New Roman" w:hAnsi="Times New Roman" w:cs="Times New Roman"/>
          <w:b/>
          <w:bCs/>
        </w:rPr>
        <w:t>RESUMO</w:t>
      </w:r>
    </w:p>
    <w:p w:rsidR="00611418" w:rsidRDefault="00611418">
      <w:pPr>
        <w:spacing w:after="0"/>
        <w:rPr>
          <w:rFonts w:ascii="Times New Roman" w:eastAsia="Times New Roman" w:hAnsi="Times New Roman" w:cs="Times New Roman"/>
          <w:b/>
          <w:bCs/>
        </w:rPr>
      </w:pPr>
    </w:p>
    <w:p w:rsidR="00611418" w:rsidRDefault="00AE645D">
      <w:pPr>
        <w:spacing w:after="0"/>
        <w:jc w:val="both"/>
        <w:rPr>
          <w:rFonts w:ascii="Times New Roman" w:eastAsia="Times New Roman" w:hAnsi="Times New Roman" w:cs="Times New Roman"/>
        </w:rPr>
      </w:pPr>
      <w:r>
        <w:rPr>
          <w:rFonts w:ascii="Times New Roman" w:eastAsia="Times New Roman" w:hAnsi="Times New Roman" w:cs="Times New Roman"/>
        </w:rPr>
        <w:t>Este estudo tem como objetivo analisar as principais barreiras e desafios relacionados à acessibilidade no ensino</w:t>
      </w:r>
      <w:r>
        <w:rPr>
          <w:rFonts w:ascii="Times New Roman" w:eastAsia="Times New Roman" w:hAnsi="Times New Roman" w:cs="Times New Roman"/>
        </w:rPr>
        <w:t xml:space="preserve"> superior, com foco na inclusão de estudantes com deficiência. Trata-se de uma revisão de literatura, de abordagem qualitativa, natureza descritiva e exploratória, realizada a partir de artigos científicos publicados entre 2020 e 2025 na base de dados SciE</w:t>
      </w:r>
      <w:r>
        <w:rPr>
          <w:rFonts w:ascii="Times New Roman" w:eastAsia="Times New Roman" w:hAnsi="Times New Roman" w:cs="Times New Roman"/>
        </w:rPr>
        <w:t>LO. A seleção dos estudos seguiu os critérios do protocolo PRISMA, resultando em uma amostra final de 10 artigos. Os resultados evidenciam que, apesar dos avanços nas políticas de acesso, a inclusão no ensino superior ainda enfrenta limitações significativ</w:t>
      </w:r>
      <w:r>
        <w:rPr>
          <w:rFonts w:ascii="Times New Roman" w:eastAsia="Times New Roman" w:hAnsi="Times New Roman" w:cs="Times New Roman"/>
        </w:rPr>
        <w:t>as, especialmente no que se refere às condições de permanência dos estudantes. Foram identificadas barreiras arquitetônicas, pedagógicas, comunicacionais e atitudinais que impactam diretamente a trajetória acadêmica, além de lacunas na oferta de tecnologia</w:t>
      </w:r>
      <w:r>
        <w:rPr>
          <w:rFonts w:ascii="Times New Roman" w:eastAsia="Times New Roman" w:hAnsi="Times New Roman" w:cs="Times New Roman"/>
        </w:rPr>
        <w:t>s assistivas e na formação docente. Observou-se, ainda, a existência de uma dissociação entre a legislação inclusiva e sua efetiva implementação nas instituições, bem como a tendência de responsabilização dos próprios estudantes pelo enfrentamento das barr</w:t>
      </w:r>
      <w:r>
        <w:rPr>
          <w:rFonts w:ascii="Times New Roman" w:eastAsia="Times New Roman" w:hAnsi="Times New Roman" w:cs="Times New Roman"/>
        </w:rPr>
        <w:t>eiras. Conclui-se que a promoção da acessibilidade no ensino superior exige uma abordagem sistêmica e integrada, que ultrapasse o acesso formal e contemple condições efetivas de participação, permanência e sucesso acadêmico, demandando mudanças institucion</w:t>
      </w:r>
      <w:r>
        <w:rPr>
          <w:rFonts w:ascii="Times New Roman" w:eastAsia="Times New Roman" w:hAnsi="Times New Roman" w:cs="Times New Roman"/>
        </w:rPr>
        <w:t xml:space="preserve">ais, pedagógicas e culturais. </w:t>
      </w:r>
    </w:p>
    <w:p w:rsidR="00611418" w:rsidRDefault="00611418">
      <w:pPr>
        <w:spacing w:after="0"/>
        <w:jc w:val="both"/>
        <w:rPr>
          <w:rFonts w:ascii="Times New Roman" w:eastAsia="Times New Roman" w:hAnsi="Times New Roman" w:cs="Times New Roman"/>
        </w:rPr>
      </w:pPr>
    </w:p>
    <w:p w:rsidR="00611418" w:rsidRDefault="00AE645D">
      <w:pPr>
        <w:spacing w:after="0"/>
        <w:jc w:val="both"/>
        <w:rPr>
          <w:rFonts w:ascii="Times New Roman" w:eastAsia="Times New Roman" w:hAnsi="Times New Roman" w:cs="Times New Roman"/>
        </w:rPr>
      </w:pPr>
      <w:r>
        <w:rPr>
          <w:rFonts w:ascii="Times New Roman" w:eastAsia="Times New Roman" w:hAnsi="Times New Roman" w:cs="Times New Roman"/>
          <w:b/>
          <w:bCs/>
        </w:rPr>
        <w:t xml:space="preserve">Palavras-chave: </w:t>
      </w:r>
      <w:r>
        <w:rPr>
          <w:rFonts w:ascii="Times New Roman" w:eastAsia="Times New Roman" w:hAnsi="Times New Roman" w:cs="Times New Roman"/>
        </w:rPr>
        <w:t xml:space="preserve">Acessibilidade. Ensino superior. Inclusão educacional. Estudantes com deficiência. Barreiras à inclusão. </w:t>
      </w:r>
    </w:p>
    <w:p w:rsidR="00611418" w:rsidRDefault="00611418">
      <w:pPr>
        <w:spacing w:after="0"/>
        <w:rPr>
          <w:rFonts w:ascii="Times New Roman" w:eastAsia="Times New Roman" w:hAnsi="Times New Roman" w:cs="Times New Roman"/>
          <w:b/>
          <w:bCs/>
        </w:rPr>
      </w:pPr>
    </w:p>
    <w:p w:rsidR="00611418" w:rsidRDefault="00AE645D">
      <w:pPr>
        <w:spacing w:after="0"/>
        <w:rPr>
          <w:rFonts w:ascii="Times New Roman" w:eastAsia="Times New Roman" w:hAnsi="Times New Roman" w:cs="Times New Roman"/>
          <w:b/>
          <w:bCs/>
        </w:rPr>
      </w:pPr>
      <w:r>
        <w:rPr>
          <w:rFonts w:ascii="Times New Roman" w:eastAsia="Times New Roman" w:hAnsi="Times New Roman" w:cs="Times New Roman"/>
          <w:b/>
          <w:bCs/>
        </w:rPr>
        <w:t xml:space="preserve">INTRODUÇÃO </w:t>
      </w:r>
    </w:p>
    <w:p w:rsidR="00611418" w:rsidRDefault="00611418">
      <w:pPr>
        <w:spacing w:after="0" w:line="360" w:lineRule="auto"/>
        <w:rPr>
          <w:rFonts w:ascii="Times New Roman" w:eastAsia="Times New Roman" w:hAnsi="Times New Roman" w:cs="Times New Roman"/>
          <w:b/>
          <w:bCs/>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ampliação do acesso de estudantes com deficiência ao ensino superior nas últimas décadas está diretamente relacionada ao fortalecimento de p</w:t>
      </w:r>
      <w:r>
        <w:rPr>
          <w:rFonts w:ascii="Times New Roman" w:eastAsia="Times New Roman" w:hAnsi="Times New Roman" w:cs="Times New Roman"/>
        </w:rPr>
        <w:t xml:space="preserve">olíticas públicas inclusivas e à </w:t>
      </w:r>
      <w:r>
        <w:rPr>
          <w:rFonts w:ascii="Times New Roman" w:eastAsia="Times New Roman" w:hAnsi="Times New Roman" w:cs="Times New Roman"/>
        </w:rPr>
        <w:lastRenderedPageBreak/>
        <w:t>consolidação de marcos legais que reconhecem a educação como um direito universal. Nesse contexto, a inclusão educacional passa a ser compreendida como um processo que envolve não apenas o ingresso, mas a garantia de partic</w:t>
      </w:r>
      <w:r>
        <w:rPr>
          <w:rFonts w:ascii="Times New Roman" w:eastAsia="Times New Roman" w:hAnsi="Times New Roman" w:cs="Times New Roman"/>
        </w:rPr>
        <w:t>ipação plena, aprendizagem e permanência dos estudantes nas instituições de ensino. No entanto, como destaca Sassaki (2009), a inclusão não se efetiva apenas por meio da inserção formal desses sujeitos no espaço educacional, sendo necessário promover trans</w:t>
      </w:r>
      <w:r>
        <w:rPr>
          <w:rFonts w:ascii="Times New Roman" w:eastAsia="Times New Roman" w:hAnsi="Times New Roman" w:cs="Times New Roman"/>
        </w:rPr>
        <w:t>formações estruturais e culturais que eliminem as barreiras que limitam sua participação.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acessibilidade, nesse cenário, assume papel central, sendo compreendida de forma ampliada, para além da dimensão arquitetônica. De acordo com Pimentel e Pimentel (2</w:t>
      </w:r>
      <w:r>
        <w:rPr>
          <w:rFonts w:ascii="Times New Roman" w:eastAsia="Times New Roman" w:hAnsi="Times New Roman" w:cs="Times New Roman"/>
        </w:rPr>
        <w:t>017), a acessibilidade no ensino superior deve abranger dimensões pedagógicas, comunicacionais, informacionais e atitudinais, constituindo-se como elemento fundamental para a construção de ambientes educacionais inclusivos. Nessa mesma perspectiva, Freitas</w:t>
      </w:r>
      <w:r>
        <w:rPr>
          <w:rFonts w:ascii="Times New Roman" w:eastAsia="Times New Roman" w:hAnsi="Times New Roman" w:cs="Times New Roman"/>
        </w:rPr>
        <w:t xml:space="preserve"> (2023) ressalta que o acesso à universidade não garante, por si só, a inclusão, sendo imprescindível a criação de condições que assegurem a permanência e o sucesso acadêmico dos estudantes com deficiência.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Apesar dos avanços normativos, estudos evidenciam que a inclusão no ensino superior brasileiro ainda se apresenta de forma limitada e desigual. Cabral et al. (2020) apontam que, mesmo com a ampliação das matrículas, a presença de estudantes com deficiência</w:t>
      </w:r>
      <w:r>
        <w:rPr>
          <w:rFonts w:ascii="Times New Roman" w:eastAsia="Times New Roman" w:hAnsi="Times New Roman" w:cs="Times New Roman"/>
        </w:rPr>
        <w:t xml:space="preserve"> nas universidades ainda é reduzida, revelando um cenário persistente de exclusão. De forma complementar, Cantorani et al. (2020) destacam que a implementação de políticas de inclusão, como a Lei nº 13.409/2016, enfrenta dificuldades estruturais nas instit</w:t>
      </w:r>
      <w:r>
        <w:rPr>
          <w:rFonts w:ascii="Times New Roman" w:eastAsia="Times New Roman" w:hAnsi="Times New Roman" w:cs="Times New Roman"/>
        </w:rPr>
        <w:t>uições, evidenciando a distância entre a legislação e sua efetivação.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disso, a literatura aponta que a permanência desses estudantes é fortemente impactada pela presença de barreiras múltiplas no ambiente universitário. Almeida et al. (2025) evidencia</w:t>
      </w:r>
      <w:r>
        <w:rPr>
          <w:rFonts w:ascii="Times New Roman" w:eastAsia="Times New Roman" w:hAnsi="Times New Roman" w:cs="Times New Roman"/>
        </w:rPr>
        <w:t xml:space="preserve">m que barreiras arquitetônicas, pedagógicas e atitudinais continuam presentes, mesmo em instituições que possuem iniciativas voltadas à inclusão. Do mesmo modo, Silva e Pimentel (2022) destacam que tais barreiras afetam diretamente a trajetória acadêmica, </w:t>
      </w:r>
      <w:r>
        <w:rPr>
          <w:rFonts w:ascii="Times New Roman" w:eastAsia="Times New Roman" w:hAnsi="Times New Roman" w:cs="Times New Roman"/>
        </w:rPr>
        <w:t>comprometendo o desempenho e a experiência universitária dos estudantes com deficiência. Esses achados reforçam a necessidade de compreender a acessibilidade como um processo complexo e contínuo, que exige ações integradas e compromisso institucional.</w:t>
      </w:r>
    </w:p>
    <w:p w:rsidR="00D20760" w:rsidRDefault="00D20760" w:rsidP="00D20760">
      <w:pPr>
        <w:pStyle w:val="NormalWeb"/>
        <w:spacing w:before="0" w:beforeAutospacing="0" w:after="0" w:afterAutospacing="0" w:line="360" w:lineRule="auto"/>
        <w:ind w:firstLine="709"/>
        <w:jc w:val="both"/>
      </w:pPr>
      <w:r>
        <w:lastRenderedPageBreak/>
        <w:t xml:space="preserve">A justificativa para o presente estudo fundamenta-se na relevância social, educacional e científica da temática da inclusão de estudantes com deficiência no ensino superior, especialmente em um contexto marcado por avanços legais que ainda não se traduzem plenamente em práticas institucionais efetivas. Apesar das conquistas normativas e do reconhecimento da educação como um direito universal, observa-se que a permanência e o sucesso acadêmico desses estudantes continuam sendo atravessados por múltiplas barreiras, o que evidencia a necessidade de aprofundar o debate e ampliar a produção de conhecimento na área. </w:t>
      </w:r>
    </w:p>
    <w:p w:rsidR="00D20760" w:rsidRDefault="00D20760" w:rsidP="00D20760">
      <w:pPr>
        <w:pStyle w:val="NormalWeb"/>
        <w:spacing w:before="0" w:beforeAutospacing="0" w:after="0" w:afterAutospacing="0" w:line="360" w:lineRule="auto"/>
        <w:ind w:firstLine="709"/>
        <w:jc w:val="both"/>
      </w:pPr>
      <w:r>
        <w:t>Assim, investigar os desafios da inclusão no ensino superior torna-se essencial para subsidiar a formulação de políticas mais eficazes, promover práticas pedagógicas inclusivas e contribuir para a construção de ambientes educacionais mais equitativos e acessíveis. Além disso, o estudo se justifica por seu potencial de provocar reflexões críticas sobre os paradigmas educacionais vigentes, incentivando a superação de modelos excludentes e a valorização da diversidade como princípio estruturante da educação.</w:t>
      </w:r>
    </w:p>
    <w:p w:rsidR="00D20760" w:rsidRDefault="00D20760" w:rsidP="00D20760">
      <w:pPr>
        <w:pStyle w:val="NormalWeb"/>
        <w:spacing w:before="0" w:beforeAutospacing="0" w:after="0" w:afterAutospacing="0" w:line="360" w:lineRule="auto"/>
        <w:ind w:firstLine="709"/>
        <w:jc w:val="both"/>
      </w:pPr>
      <w:r w:rsidRPr="004557F8">
        <w:rPr>
          <w:color w:val="000000"/>
        </w:rPr>
        <w:t>Metodologicamente, trata-se de uma pesquisa bibliográfica de natureza qualitativa, fundamentada na análise crítica de autores que atuam no campo da inclusão educacional, como Sassaki (2007; 2009), Pimentel e Pimentel (2017), Duarte e Cohen (2018), entre outros. A seleção das fontes priorizou estudos acadêmicos, legislações e documentos institucionais que abordam a temática da acessibilidade no ensino superior.</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ian</w:t>
      </w:r>
      <w:r>
        <w:rPr>
          <w:rFonts w:ascii="Times New Roman" w:eastAsia="Times New Roman" w:hAnsi="Times New Roman" w:cs="Times New Roman"/>
        </w:rPr>
        <w:t>te desse cenário, torna-se relevante analisar como a produção científica recente tem abordado a temática da acessibilidade no ensino superior, especialmente no que se refere às barreiras e desafios enfrentados por estudantes com deficiência. Assim, este es</w:t>
      </w:r>
      <w:r>
        <w:rPr>
          <w:rFonts w:ascii="Times New Roman" w:eastAsia="Times New Roman" w:hAnsi="Times New Roman" w:cs="Times New Roman"/>
        </w:rPr>
        <w:t>tudo tem como objetivo investigar, por meio de uma revisão de literatura, os principais entraves e possibilidades relacionados à inclusão no ensino superior, contribuindo para a reflexão crítica sobre as práticas institucionais e para o fortalecimento de p</w:t>
      </w:r>
      <w:r>
        <w:rPr>
          <w:rFonts w:ascii="Times New Roman" w:eastAsia="Times New Roman" w:hAnsi="Times New Roman" w:cs="Times New Roman"/>
        </w:rPr>
        <w:t>olíticas educacionais mais efetivas.</w:t>
      </w:r>
    </w:p>
    <w:p w:rsidR="00611418" w:rsidRDefault="00611418">
      <w:pPr>
        <w:spacing w:after="0"/>
        <w:jc w:val="both"/>
        <w:rPr>
          <w:rFonts w:ascii="Times New Roman" w:eastAsia="Times New Roman" w:hAnsi="Times New Roman" w:cs="Times New Roman"/>
        </w:rPr>
      </w:pPr>
    </w:p>
    <w:p w:rsidR="00611418" w:rsidRDefault="00AE645D">
      <w:pPr>
        <w:spacing w:after="0"/>
        <w:rPr>
          <w:rFonts w:ascii="Times New Roman" w:eastAsia="Times New Roman" w:hAnsi="Times New Roman" w:cs="Times New Roman"/>
          <w:b/>
          <w:bCs/>
        </w:rPr>
      </w:pPr>
      <w:r>
        <w:rPr>
          <w:rFonts w:ascii="Times New Roman" w:eastAsia="Times New Roman" w:hAnsi="Times New Roman" w:cs="Times New Roman"/>
          <w:b/>
          <w:bCs/>
        </w:rPr>
        <w:t xml:space="preserve">2 REFERENCIAL TEÓRICO </w:t>
      </w:r>
    </w:p>
    <w:p w:rsidR="00611418" w:rsidRDefault="00611418">
      <w:pPr>
        <w:spacing w:after="0" w:line="360" w:lineRule="auto"/>
        <w:jc w:val="both"/>
        <w:rPr>
          <w:rFonts w:ascii="Times New Roman" w:eastAsia="Times New Roman" w:hAnsi="Times New Roman" w:cs="Times New Roman"/>
        </w:rPr>
      </w:pPr>
    </w:p>
    <w:p w:rsidR="00611418" w:rsidRDefault="00AE645D">
      <w:pPr>
        <w:spacing w:after="0"/>
        <w:jc w:val="both"/>
        <w:rPr>
          <w:rFonts w:ascii="Times New Roman" w:eastAsia="Times New Roman" w:hAnsi="Times New Roman" w:cs="Times New Roman"/>
        </w:rPr>
      </w:pPr>
      <w:r>
        <w:rPr>
          <w:rFonts w:ascii="Times New Roman" w:eastAsia="Times New Roman" w:hAnsi="Times New Roman" w:cs="Times New Roman"/>
        </w:rPr>
        <w:t>2.1 ACESSIBILIDADE, BARREIRAS E INCLUSÃO NO ENSINO SUPERIOR</w:t>
      </w:r>
    </w:p>
    <w:p w:rsidR="00611418" w:rsidRDefault="00611418">
      <w:pPr>
        <w:spacing w:after="0" w:line="360" w:lineRule="auto"/>
        <w:jc w:val="both"/>
        <w:rPr>
          <w:rFonts w:ascii="Times New Roman" w:eastAsia="Times New Roman" w:hAnsi="Times New Roman" w:cs="Times New Roman"/>
          <w:b/>
          <w:bCs/>
        </w:rPr>
      </w:pPr>
    </w:p>
    <w:p w:rsidR="00611418" w:rsidRDefault="00AE645D">
      <w:pPr>
        <w:spacing w:after="0" w:line="360" w:lineRule="auto"/>
        <w:ind w:firstLine="709"/>
        <w:jc w:val="both"/>
        <w:rPr>
          <w:rFonts w:ascii="Times New Roman" w:eastAsia="Times New Roman" w:hAnsi="Times New Roman" w:cs="Times New Roman"/>
        </w:rPr>
      </w:pPr>
      <w:bookmarkStart w:id="1" w:name="_k5w0ytg6f5n" w:colFirst="0" w:colLast="0"/>
      <w:bookmarkEnd w:id="1"/>
      <w:r>
        <w:rPr>
          <w:rFonts w:ascii="Times New Roman" w:eastAsia="Times New Roman" w:hAnsi="Times New Roman" w:cs="Times New Roman"/>
        </w:rPr>
        <w:lastRenderedPageBreak/>
        <w:t xml:space="preserve">A discussão sobre acessibilidade no ensino superior revela-se central no contexto das políticas educacionais contemporâneas, especialmente diante da crescente demanda por equidade e inclusão. Mais do que assegurar o ingresso de estudantes com deficiência, </w:t>
      </w:r>
      <w:r>
        <w:rPr>
          <w:rFonts w:ascii="Times New Roman" w:eastAsia="Times New Roman" w:hAnsi="Times New Roman" w:cs="Times New Roman"/>
        </w:rPr>
        <w:t>torna-se fundamental refletir sobre as condições efetivas de participação, permanência e sucesso acadêmico, o que exige uma compreensão ampliada e integrada da acessibilidade no ambiente universitário.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acessibilidade no ensino superior deve ser compreend</w:t>
      </w:r>
      <w:r>
        <w:rPr>
          <w:rFonts w:ascii="Times New Roman" w:eastAsia="Times New Roman" w:hAnsi="Times New Roman" w:cs="Times New Roman"/>
        </w:rPr>
        <w:t>ida a partir de uma perspectiva ampliada, que ultrapassa a dimensão arquitetônica e incorpora aspectos comunicacionais, pedagógicos, informacionais e atitudinais. Conforme o Conselho Nacional do Ministério Público (2025), trata-se da garantia de acesso ple</w:t>
      </w:r>
      <w:r>
        <w:rPr>
          <w:rFonts w:ascii="Times New Roman" w:eastAsia="Times New Roman" w:hAnsi="Times New Roman" w:cs="Times New Roman"/>
        </w:rPr>
        <w:t>no aos espaços e serviços por todas as pessoas, incluindo aquelas com deficiência. Contudo, como argumenta Sassaki (2009), a acessibilidade só se concretiza quando articulada à inclusão, sendo insuficiente a simples adequação estrutural das instituições.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rPr>
        <w:t>essa direção, Bueno (2007) destaca que a acessibilidade constitui condição fundamental para a construção de uma sociedade inclusiva, enquanto Freitas (2023) diferencia acesso, acessibilidade e inclusão, evidenciando que o ingresso na universidade não asseg</w:t>
      </w:r>
      <w:r>
        <w:rPr>
          <w:rFonts w:ascii="Times New Roman" w:eastAsia="Times New Roman" w:hAnsi="Times New Roman" w:cs="Times New Roman"/>
        </w:rPr>
        <w:t>ura, por si só, a permanência e a participação efetiva dos estudantes. Pimentel e Pimentel (2017) reforçam essa compreensão ao afirmar que a acessibilidade deve ser entendida como instrumento de transformação institucional, e não apenas como adaptação físi</w:t>
      </w:r>
      <w:r>
        <w:rPr>
          <w:rFonts w:ascii="Times New Roman" w:eastAsia="Times New Roman" w:hAnsi="Times New Roman" w:cs="Times New Roman"/>
        </w:rPr>
        <w:t>ca. Complementarmente, Duarte e Cohen (2018) introduzem o conceito de acessibilidade emocional, destacando o papel do acolhimento, do pertencimento e das relações interpessoais na trajetória acadêmica dos estudantes com deficiência.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Nesse contexto, a liter</w:t>
      </w:r>
      <w:r>
        <w:rPr>
          <w:rFonts w:ascii="Times New Roman" w:eastAsia="Times New Roman" w:hAnsi="Times New Roman" w:cs="Times New Roman"/>
        </w:rPr>
        <w:t>atura evidencia que a inclusão é atravessada por múltiplas barreiras que comprometem o acesso, a permanência e o desempenho acadêmico. De acordo com Teixeira e Sumiya (2024), essas barreiras manifestam-se em diferentes dimensões, destacando-se as atitudina</w:t>
      </w:r>
      <w:r>
        <w:rPr>
          <w:rFonts w:ascii="Times New Roman" w:eastAsia="Times New Roman" w:hAnsi="Times New Roman" w:cs="Times New Roman"/>
        </w:rPr>
        <w:t>is, pedagógicas, arquitetônicas e comunicacionais. As barreiras atitudinais, segundo Sassaki (2009), são as mais profundas, pois estruturam as demais formas de exclusão ao estarem associadas a preconceitos, estigmas e à ausência de preparo da comunidade ac</w:t>
      </w:r>
      <w:r>
        <w:rPr>
          <w:rFonts w:ascii="Times New Roman" w:eastAsia="Times New Roman" w:hAnsi="Times New Roman" w:cs="Times New Roman"/>
        </w:rPr>
        <w:t>adêmica.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As barreiras arquitetônicas ainda persistem em diversas instituições, revelando limitações na infraestrutura e no cumprimento das normas de acessibilidade (Batistel; Carvalho, 2021). Já as barreiras pedagógicas estão relacionadas à ausência de met</w:t>
      </w:r>
      <w:r>
        <w:rPr>
          <w:rFonts w:ascii="Times New Roman" w:eastAsia="Times New Roman" w:hAnsi="Times New Roman" w:cs="Times New Roman"/>
        </w:rPr>
        <w:t>odologias inclusivas e à insuficiente formação docente, fator amplamente destacado por Lima (2019). As barreiras comunicacionais e informacionais, por sua vez, comprometem o acesso ao conhecimento, sobretudo pela ausência de materiais acessíveis e tecnolog</w:t>
      </w:r>
      <w:r>
        <w:rPr>
          <w:rFonts w:ascii="Times New Roman" w:eastAsia="Times New Roman" w:hAnsi="Times New Roman" w:cs="Times New Roman"/>
        </w:rPr>
        <w:t>ias assistivas adequadas (Pimentel; Pimentel, 2017). Soma-se a esse cenário a dimensão emocional, marcada por sentimentos de não pertencimento e invisibilização, que impactam diretamente a permanência dos estudantes (Duarte; Cohen, 2018).</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dessas dimen</w:t>
      </w:r>
      <w:r>
        <w:rPr>
          <w:rFonts w:ascii="Times New Roman" w:eastAsia="Times New Roman" w:hAnsi="Times New Roman" w:cs="Times New Roman"/>
        </w:rPr>
        <w:t>sões, observa-se que a desarticulação institucional também configura uma barreira relevante, evidenciando a distância entre as políticas inclusivas e sua efetiva implementação nas universidades (Ribeiro Júnior, 2017). Dessa forma, compreender a acessibilid</w:t>
      </w:r>
      <w:r>
        <w:rPr>
          <w:rFonts w:ascii="Times New Roman" w:eastAsia="Times New Roman" w:hAnsi="Times New Roman" w:cs="Times New Roman"/>
        </w:rPr>
        <w:t>ade de maneira integrada implica reconhecer a complexidade dessas barreiras e a necessidade de estratégias institucionais que promovam não apenas o acesso, mas a inclusão plena dos estudantes com deficiência.</w:t>
      </w: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2.2 PERMANÊNCIA, POLÍTICAS E PARADIGMAS DA INC</w:t>
      </w:r>
      <w:r>
        <w:rPr>
          <w:rFonts w:ascii="Times New Roman" w:eastAsia="Times New Roman" w:hAnsi="Times New Roman" w:cs="Times New Roman"/>
        </w:rPr>
        <w:t>LUSÃO</w:t>
      </w: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inclusão de estudantes com deficiência no ensino superior não se limita ao acesso, mas envolve a garantia de permanência e sucesso acadêmico como direito. Segundo Lima e Carmo (2023), é necessário assegurar condições pedagógicas, estruturais e emo</w:t>
      </w:r>
      <w:r>
        <w:rPr>
          <w:rFonts w:ascii="Times New Roman" w:eastAsia="Times New Roman" w:hAnsi="Times New Roman" w:cs="Times New Roman"/>
        </w:rPr>
        <w:t>cionais que possibilitem a participação plena desses estudantes, superando a lógica da inclusão meramente formal. Freitas (2023) reforça que a permanência depende da adoção de práticas pedagógicas inclusivas, flexibilização curricular e suporte institucion</w:t>
      </w:r>
      <w:r>
        <w:rPr>
          <w:rFonts w:ascii="Times New Roman" w:eastAsia="Times New Roman" w:hAnsi="Times New Roman" w:cs="Times New Roman"/>
        </w:rPr>
        <w:t>al contínuo.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Nesse processo, a gestão institucional desempenha papel central. Pimentel e Pimentel (2017) defendem que a acessibilidade deve ser incorporada como política institucional, enquanto Ribeiro Júnior (2017) aponta que muitas universidades ainda ap</w:t>
      </w:r>
      <w:r>
        <w:rPr>
          <w:rFonts w:ascii="Times New Roman" w:eastAsia="Times New Roman" w:hAnsi="Times New Roman" w:cs="Times New Roman"/>
        </w:rPr>
        <w:t>resentam estruturas frágeis e desarticuladas, comprometendo a efetividade das ações inclusivas. Assim, a inclusão exige planejamento, articulação entre setores e compromisso institucional com a equidade.</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Do ponto de vista teórico, a discussão sobre inclusã</w:t>
      </w:r>
      <w:r>
        <w:rPr>
          <w:rFonts w:ascii="Times New Roman" w:eastAsia="Times New Roman" w:hAnsi="Times New Roman" w:cs="Times New Roman"/>
        </w:rPr>
        <w:t>o implica a superação do paradigma da integração. Conforme Sassaki (2009) e Pagni (2024), o modelo integrador ainda predomina em muitas instituições, exigindo que o estudante se adapte às estruturas existentes. Em contraposição, o paradigma inclusivo propõ</w:t>
      </w:r>
      <w:r>
        <w:rPr>
          <w:rFonts w:ascii="Times New Roman" w:eastAsia="Times New Roman" w:hAnsi="Times New Roman" w:cs="Times New Roman"/>
        </w:rPr>
        <w:t>e a transformação do ambiente educacional, reconhecendo a diversidade como elemento constitutivo do processo educativo. A Declaração de Salamanca (1994) reforça essa perspectiva ao defender sistemas educacionais inclusivos como meio de promoção da equidade</w:t>
      </w:r>
      <w:r>
        <w:rPr>
          <w:rFonts w:ascii="Times New Roman" w:eastAsia="Times New Roman" w:hAnsi="Times New Roman" w:cs="Times New Roman"/>
        </w:rPr>
        <w:t xml:space="preserve"> e da participação de todos.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disso, a literatura evidencia que a permanência está diretamente relacionada ao suporte institucional e ao acolhimento dos estudantes. A ausência de formação docente adequada, a precariedade de recursos e a falta de contin</w:t>
      </w:r>
      <w:r>
        <w:rPr>
          <w:rFonts w:ascii="Times New Roman" w:eastAsia="Times New Roman" w:hAnsi="Times New Roman" w:cs="Times New Roman"/>
        </w:rPr>
        <w:t>uidade das políticas inclusivas contribuem para a evasão e para a desigualdade de oportunidades (Lima, 2019; Saraiva, 2015). Por outro lado, a ampliação da produção científica sobre o tema e o aumento da presença de estudantes com deficiência no ensino sup</w:t>
      </w:r>
      <w:r>
        <w:rPr>
          <w:rFonts w:ascii="Times New Roman" w:eastAsia="Times New Roman" w:hAnsi="Times New Roman" w:cs="Times New Roman"/>
        </w:rPr>
        <w:t>erior indicam avanços importantes, ainda que insuficientes (Cabral; Melo, 2017).</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Por fim, destaca-se a importância da participação ativa das pessoas com deficiência na construção das políticas educacionais, conforme defendem Ribeiro (2016) e Mendes (2015),</w:t>
      </w:r>
      <w:r>
        <w:rPr>
          <w:rFonts w:ascii="Times New Roman" w:eastAsia="Times New Roman" w:hAnsi="Times New Roman" w:cs="Times New Roman"/>
        </w:rPr>
        <w:t xml:space="preserve"> em consonância com o princípio do “nada sobre nós sem nós” (Sassaki, 2007). Assim, a consolidação de um ensino superior inclusivo exige uma mudança paradigmática, sustentada por práticas institucionais, políticas públicas e ações pedagógicas que promovam,</w:t>
      </w:r>
      <w:r>
        <w:rPr>
          <w:rFonts w:ascii="Times New Roman" w:eastAsia="Times New Roman" w:hAnsi="Times New Roman" w:cs="Times New Roman"/>
        </w:rPr>
        <w:t xml:space="preserve"> de forma efetiva, o acesso, a permanência e o sucesso acadêmico.</w:t>
      </w:r>
    </w:p>
    <w:p w:rsidR="00611418" w:rsidRDefault="00611418">
      <w:pPr>
        <w:jc w:val="both"/>
        <w:rPr>
          <w:rFonts w:ascii="Times New Roman" w:eastAsia="Times New Roman" w:hAnsi="Times New Roman" w:cs="Times New Roman"/>
        </w:rPr>
      </w:pPr>
    </w:p>
    <w:p w:rsidR="00611418" w:rsidRDefault="00AE645D">
      <w:p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3 METODOLOGIA</w:t>
      </w: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A presente pesquisa caracteriza-se como uma revisão de literatura, de abordagem qualitativa, natureza descritiva e exploratória e desenvolvimento por meio de revisão bibliográfica, uma vez que se fundamenta na identificação, seleção e análise de produções </w:t>
      </w:r>
      <w:r>
        <w:rPr>
          <w:rFonts w:ascii="Times New Roman" w:eastAsia="Times New Roman" w:hAnsi="Times New Roman" w:cs="Times New Roman"/>
        </w:rPr>
        <w:t>científicas relacionadas à acessibilidade no ensino superior e aos desafios enfrentados por estudantes com deficiência nesse contexto. A adoção desse percurso metodológico mostrou-se adequada ao objetivo do estudo, pois possibilita reunir e interpretar cri</w:t>
      </w:r>
      <w:r>
        <w:rPr>
          <w:rFonts w:ascii="Times New Roman" w:eastAsia="Times New Roman" w:hAnsi="Times New Roman" w:cs="Times New Roman"/>
        </w:rPr>
        <w:t xml:space="preserve">ticamente conhecimentos já produzidos sobre a temática, favorecendo uma compreensão mais ampla das barreiras à </w:t>
      </w:r>
      <w:r>
        <w:rPr>
          <w:rFonts w:ascii="Times New Roman" w:eastAsia="Times New Roman" w:hAnsi="Times New Roman" w:cs="Times New Roman"/>
        </w:rPr>
        <w:lastRenderedPageBreak/>
        <w:t>inclusão, das limitações institucionais e das estratégias de permanência no ambiente universitário.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Com a finalidade de sistematizar o percurso m</w:t>
      </w:r>
      <w:r>
        <w:rPr>
          <w:rFonts w:ascii="Times New Roman" w:eastAsia="Times New Roman" w:hAnsi="Times New Roman" w:cs="Times New Roman"/>
        </w:rPr>
        <w:t>etodológico adotado, apresenta-se, a seguir, o Quadro 1, no qual estão sintetizados os principais elementos da pesquisa, incluindo tipo de estudo, base de dados, recorte temporal, descritores, critérios de inclusão e exclusão, etapas de seleção e técnica d</w:t>
      </w:r>
      <w:r>
        <w:rPr>
          <w:rFonts w:ascii="Times New Roman" w:eastAsia="Times New Roman" w:hAnsi="Times New Roman" w:cs="Times New Roman"/>
        </w:rPr>
        <w:t>e análise.</w:t>
      </w:r>
    </w:p>
    <w:p w:rsidR="00611418" w:rsidRDefault="00AE645D">
      <w:pPr>
        <w:rPr>
          <w:rFonts w:ascii="Times New Roman" w:eastAsia="Times New Roman" w:hAnsi="Times New Roman" w:cs="Times New Roman"/>
          <w:b/>
          <w:bCs/>
        </w:rPr>
      </w:pPr>
      <w:r>
        <w:rPr>
          <w:rFonts w:ascii="Times New Roman" w:eastAsia="Times New Roman" w:hAnsi="Times New Roman" w:cs="Times New Roman"/>
        </w:rPr>
        <w:t>Quadro 1 -</w:t>
      </w:r>
      <w:r>
        <w:rPr>
          <w:rFonts w:ascii="Times New Roman" w:eastAsia="Times New Roman" w:hAnsi="Times New Roman" w:cs="Times New Roman"/>
          <w:b/>
          <w:bCs/>
        </w:rPr>
        <w:t xml:space="preserve"> </w:t>
      </w:r>
      <w:r>
        <w:rPr>
          <w:rFonts w:ascii="Times New Roman" w:eastAsia="Times New Roman" w:hAnsi="Times New Roman" w:cs="Times New Roman"/>
        </w:rPr>
        <w:t>Síntese metodológica da pesquisa</w:t>
      </w:r>
    </w:p>
    <w:tbl>
      <w:tblPr>
        <w:tblStyle w:val="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6636"/>
      </w:tblGrid>
      <w:tr w:rsidR="00611418">
        <w:tc>
          <w:tcPr>
            <w:tcW w:w="2425" w:type="dxa"/>
          </w:tcPr>
          <w:p w:rsidR="00611418" w:rsidRDefault="00AE645D">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Elemento</w:t>
            </w:r>
          </w:p>
        </w:tc>
        <w:tc>
          <w:tcPr>
            <w:tcW w:w="6636" w:type="dxa"/>
          </w:tcPr>
          <w:p w:rsidR="00611418" w:rsidRDefault="00AE645D">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Descrição</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Tipo de pesquisa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Revisão de literatura de abordagem qualitativa</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Natureza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Descritiva e exploratória</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Método</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Revisão bibliográfica</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Base de dados</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SciELO</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Período de busca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2020 a 2025</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Idiomas</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Português e espanhol</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Descritores</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“pessoas com deficiência”, “estudantes com deficiência”, “ensino superior”, “educação superior”, “acessibilidade”, “inclusão”, “barreiras”, “educação inclusiva”</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Estratégia de busca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Utilização de operadores booleanos (AND/OR) para combinação dos descritores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Critérios de inclusão</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Estudos que abordam acessibilidade, inclusão e barreiras enfrentadas por estudantes com deficiência no ensino superior; artigos completos disponíveis; public</w:t>
            </w:r>
            <w:r>
              <w:rPr>
                <w:rFonts w:ascii="Times New Roman" w:eastAsia="Times New Roman" w:hAnsi="Times New Roman" w:cs="Times New Roman"/>
              </w:rPr>
              <w:t>ações no período definido</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Critérios de exclusão</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Estudos voltados à educação básica; pesquisas com foco exclusivo em mercado de trabalho; artigos que tratam apenas de políticas de acesso sem discutir permanência; duplicados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Processo de seleção</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Leitura de títulos, resumos e textos completos, conforme protocolo PRISMA</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Estudos identificados</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21 artigos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Estudos excluídos (título/resumo)</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8 artigos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Estudos elegíveis (leitura completa)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13 artigos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Estudos excluídos (após leitura completa)</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3 artigos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Amostra final</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10 artigos</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Técnica de análise</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Análise qualitativa de conteúdo</w:t>
            </w:r>
          </w:p>
        </w:tc>
      </w:tr>
      <w:tr w:rsidR="00611418">
        <w:tc>
          <w:tcPr>
            <w:tcW w:w="2425"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Objetivo da análise</w:t>
            </w:r>
          </w:p>
        </w:tc>
        <w:tc>
          <w:tcPr>
            <w:tcW w:w="6636" w:type="dxa"/>
          </w:tcPr>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rPr>
              <w:t>Identificar barreiras, desafios e estratégias de inclusão no ensino superior para estudantes com deficiência</w:t>
            </w:r>
          </w:p>
        </w:tc>
      </w:tr>
    </w:tbl>
    <w:p w:rsidR="00611418" w:rsidRDefault="00AE645D">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Fonte: Elaborado pelo autor (2026)</w:t>
      </w:r>
    </w:p>
    <w:p w:rsidR="00611418" w:rsidRDefault="00AE645D">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A busca bibliográfica foi realizada na base SciELO, considerando publicações entre 2020 e 2025, nos idiomas português e espanhol. Para o levantamento dos estudos, foram empregados os descritores “pessoas com deficiência”, “estudantes com deficiência”, “ens</w:t>
      </w:r>
      <w:r>
        <w:rPr>
          <w:rFonts w:ascii="Times New Roman" w:eastAsia="Times New Roman" w:hAnsi="Times New Roman" w:cs="Times New Roman"/>
        </w:rPr>
        <w:t xml:space="preserve">ino superior”, “educação superior”, “acessibilidade”, “inclusão”, “barreiras” e “educação inclusiva”, combinados com os operadores booleanos AND e OR, de modo a ampliar o alcance da busca e recuperar estudos diretamente relacionados ao objeto investigado. </w:t>
      </w:r>
      <w:r>
        <w:rPr>
          <w:rFonts w:ascii="Times New Roman" w:eastAsia="Times New Roman" w:hAnsi="Times New Roman" w:cs="Times New Roman"/>
        </w:rPr>
        <w:t>Como critérios de inclusão, definiram-se artigos que abordassem acessibilidade, inclusão e barreiras enfrentadas por estudantes com deficiência no ensino superior, com texto completo disponível e publicação dentro do período delimitado. Em contrapartida, f</w:t>
      </w:r>
      <w:r>
        <w:rPr>
          <w:rFonts w:ascii="Times New Roman" w:eastAsia="Times New Roman" w:hAnsi="Times New Roman" w:cs="Times New Roman"/>
        </w:rPr>
        <w:t>oram excluídos estudos voltados à educação básica, pesquisas centradas exclusivamente no mercado de trabalho, artigos que tratassem apenas do acesso sem discutir permanência e trabalhos duplicados.</w:t>
      </w:r>
    </w:p>
    <w:p w:rsidR="00611418" w:rsidRDefault="00AE645D">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O processo de identificação, triagem, elegibilidade e incl</w:t>
      </w:r>
      <w:r>
        <w:rPr>
          <w:rFonts w:ascii="Times New Roman" w:eastAsia="Times New Roman" w:hAnsi="Times New Roman" w:cs="Times New Roman"/>
        </w:rPr>
        <w:t>usão dos estudos foi organizado com base na lógica do protocolo PRISMA, permitindo maior clareza e rigor na seleção do corpus da revisão. Inicialmente, foram identificados 21 artigos na base consultada. Após a leitura dos títulos e resumos, 8 estudos foram</w:t>
      </w:r>
      <w:r>
        <w:rPr>
          <w:rFonts w:ascii="Times New Roman" w:eastAsia="Times New Roman" w:hAnsi="Times New Roman" w:cs="Times New Roman"/>
        </w:rPr>
        <w:t xml:space="preserve"> excluídos por não atenderem aos critérios previamente definidos. Em seguida, 13 artigos foram selecionados para leitura na íntegra e, após essa etapa, 3 trabalhos foram excluídos, resultando em uma amostra final de 10 artigos. Para melhor visualização des</w:t>
      </w:r>
      <w:r>
        <w:rPr>
          <w:rFonts w:ascii="Times New Roman" w:eastAsia="Times New Roman" w:hAnsi="Times New Roman" w:cs="Times New Roman"/>
        </w:rPr>
        <w:t>sas etapas, apresenta-se o Fluxograma 1, que sintetiza o percurso de seleção dos estudos.</w:t>
      </w:r>
    </w:p>
    <w:p w:rsidR="00611418" w:rsidRDefault="00611418">
      <w:pPr>
        <w:spacing w:after="0" w:line="360" w:lineRule="auto"/>
        <w:ind w:firstLine="708"/>
        <w:jc w:val="both"/>
        <w:rPr>
          <w:rFonts w:ascii="Times New Roman" w:eastAsia="Times New Roman" w:hAnsi="Times New Roman" w:cs="Times New Roman"/>
        </w:rPr>
      </w:pPr>
    </w:p>
    <w:p w:rsidR="00611418" w:rsidRDefault="00AE645D">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Fluxograma 1</w:t>
      </w:r>
      <w:r>
        <w:rPr>
          <w:rFonts w:ascii="Times New Roman" w:eastAsia="Times New Roman" w:hAnsi="Times New Roman" w:cs="Times New Roman"/>
        </w:rPr>
        <w:t xml:space="preserve"> – Estratégia PRISMA</w:t>
      </w:r>
      <w:r>
        <w:rPr>
          <w:noProof/>
        </w:rPr>
        <mc:AlternateContent>
          <mc:Choice Requires="wps">
            <w:drawing>
              <wp:anchor distT="0" distB="0" distL="114300" distR="114300" simplePos="0" relativeHeight="251658240" behindDoc="0" locked="0" layoutInCell="1" hidden="0" allowOverlap="1">
                <wp:simplePos x="0" y="0"/>
                <wp:positionH relativeFrom="column">
                  <wp:posOffset>-8888</wp:posOffset>
                </wp:positionH>
                <wp:positionV relativeFrom="paragraph">
                  <wp:posOffset>271145</wp:posOffset>
                </wp:positionV>
                <wp:extent cx="383540" cy="865505"/>
                <wp:effectExtent l="0" t="0" r="0" b="0"/>
                <wp:wrapNone/>
                <wp:docPr id="1" name="Retângulo 1"/>
                <wp:cNvGraphicFramePr/>
                <a:graphic xmlns:a="http://schemas.openxmlformats.org/drawingml/2006/main">
                  <a:graphicData uri="http://schemas.microsoft.com/office/word/2010/wordprocessingShape">
                    <wps:wsp>
                      <wps:cNvSpPr/>
                      <wps:spPr>
                        <a:xfrm rot="-5400000">
                          <a:off x="4919598" y="3594580"/>
                          <a:ext cx="852805" cy="370840"/>
                        </a:xfrm>
                        <a:prstGeom prst="rect">
                          <a:avLst/>
                        </a:prstGeom>
                        <a:noFill/>
                        <a:ln w="12700" cap="flat" cmpd="sng">
                          <a:solidFill>
                            <a:schemeClr val="dk1"/>
                          </a:solidFill>
                          <a:prstDash val="solid"/>
                          <a:miter lim="800000"/>
                          <a:headEnd type="none" w="sm" len="sm"/>
                          <a:tailEnd type="none" w="sm" len="sm"/>
                        </a:ln>
                      </wps:spPr>
                      <wps:txbx>
                        <w:txbxContent>
                          <w:p w:rsidR="00611418" w:rsidRDefault="00AE645D">
                            <w:pPr>
                              <w:spacing w:line="277" w:lineRule="auto"/>
                              <w:jc w:val="center"/>
                              <w:textDirection w:val="btLr"/>
                            </w:pPr>
                            <w:r>
                              <w:rPr>
                                <w:rFonts w:ascii="Times New Roman" w:eastAsia="Times New Roman" w:hAnsi="Times New Roman" w:cs="Times New Roman"/>
                                <w:color w:val="000000"/>
                              </w:rPr>
                              <w:t>TRIAGEM</w:t>
                            </w:r>
                          </w:p>
                        </w:txbxContent>
                      </wps:txbx>
                      <wps:bodyPr spcFirstLastPara="1" wrap="square" lIns="91425" tIns="45700" rIns="91425" bIns="45700" anchor="ctr" anchorCtr="0">
                        <a:noAutofit/>
                      </wps:bodyPr>
                    </wps:wsp>
                  </a:graphicData>
                </a:graphic>
              </wp:anchor>
            </w:drawing>
          </mc:Choice>
          <mc:Fallback>
            <w:pict>
              <v:rect id="Retângulo 1" o:spid="_x0000_s1026" style="position:absolute;left:0;text-align:left;margin-left:-.7pt;margin-top:21.35pt;width:30.2pt;height:68.15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" filled="f" strokecolor="black [3200]" strokeweight="1pt">
                <v:stroke startarrowwidth="narrow" startarrowlength="short" endarrowwidth="narrow" endarrowlength="short"/>
                <v:textbox inset="2.53958mm,1.2694mm,2.53958mm,1.2694mm">
                  <w:txbxContent>
                    <w:p w:rsidR="00611418" w:rsidRDefault="00AE645D">
                      <w:pPr>
                        <w:spacing w:line="277" w:lineRule="auto"/>
                        <w:jc w:val="center"/>
                        <w:textDirection w:val="btLr"/>
                      </w:pPr>
                      <w:r>
                        <w:rPr>
                          <w:rFonts w:ascii="Times New Roman" w:eastAsia="Times New Roman" w:hAnsi="Times New Roman" w:cs="Times New Roman"/>
                          <w:color w:val="000000"/>
                        </w:rPr>
                        <w:t>TRIAGEM</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864235</wp:posOffset>
                </wp:positionH>
                <wp:positionV relativeFrom="paragraph">
                  <wp:posOffset>255906</wp:posOffset>
                </wp:positionV>
                <wp:extent cx="4896485" cy="927100"/>
                <wp:effectExtent l="0" t="0" r="0" b="0"/>
                <wp:wrapNone/>
                <wp:docPr id="9" name="Retângulo 9"/>
                <wp:cNvGraphicFramePr/>
                <a:graphic xmlns:a="http://schemas.openxmlformats.org/drawingml/2006/main">
                  <a:graphicData uri="http://schemas.microsoft.com/office/word/2010/wordprocessingShape">
                    <wps:wsp>
                      <wps:cNvSpPr/>
                      <wps:spPr>
                        <a:xfrm>
                          <a:off x="2904108" y="3322800"/>
                          <a:ext cx="4883785" cy="914400"/>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after="0" w:line="277" w:lineRule="auto"/>
                              <w:jc w:val="both"/>
                              <w:textDirection w:val="btLr"/>
                            </w:pPr>
                            <w:r>
                              <w:rPr>
                                <w:rFonts w:ascii="Times New Roman" w:eastAsia="Times New Roman" w:hAnsi="Times New Roman" w:cs="Times New Roman"/>
                                <w:b/>
                                <w:color w:val="000000"/>
                              </w:rPr>
                              <w:t>Busca na base de dados:</w:t>
                            </w:r>
                          </w:p>
                          <w:p w:rsidR="00611418" w:rsidRDefault="00AE645D">
                            <w:pPr>
                              <w:spacing w:after="0" w:line="277" w:lineRule="auto"/>
                              <w:jc w:val="both"/>
                              <w:textDirection w:val="btLr"/>
                            </w:pPr>
                            <w:r>
                              <w:rPr>
                                <w:rFonts w:ascii="Times New Roman" w:eastAsia="Times New Roman" w:hAnsi="Times New Roman" w:cs="Times New Roman"/>
                                <w:color w:val="000000"/>
                              </w:rPr>
                              <w:t>ScieloBr</w:t>
                            </w:r>
                          </w:p>
                          <w:p w:rsidR="00611418" w:rsidRDefault="00AE645D">
                            <w:pPr>
                              <w:spacing w:after="0" w:line="277" w:lineRule="auto"/>
                              <w:jc w:val="both"/>
                              <w:textDirection w:val="btLr"/>
                            </w:pPr>
                            <w:r>
                              <w:rPr>
                                <w:rFonts w:ascii="Times New Roman" w:eastAsia="Times New Roman" w:hAnsi="Times New Roman" w:cs="Times New Roman"/>
                                <w:b/>
                                <w:color w:val="000000"/>
                              </w:rPr>
                              <w:t>Descritores:</w:t>
                            </w:r>
                            <w:r>
                              <w:rPr>
                                <w:rFonts w:ascii="Times New Roman" w:eastAsia="Times New Roman" w:hAnsi="Times New Roman" w:cs="Times New Roman"/>
                                <w:color w:val="000000"/>
                              </w:rPr>
                              <w:t xml:space="preserve"> “pessoas com deficiência”, “estudantes com deficiência”, “ensino superior”, “educação superior”, “acessibilidade”, “inclusão”, “barreiras”, “educação inclusiva”</w:t>
                            </w:r>
                          </w:p>
                        </w:txbxContent>
                      </wps:txbx>
                      <wps:bodyPr spcFirstLastPara="1" wrap="square" lIns="91425" tIns="45700" rIns="91425" bIns="45700" anchor="t" anchorCtr="0">
                        <a:noAutofit/>
                      </wps:bodyPr>
                    </wps:wsp>
                  </a:graphicData>
                </a:graphic>
              </wp:anchor>
            </w:drawing>
          </mc:Choice>
          <mc:Fallback>
            <w:pict>
              <v:rect id="Retângulo 9" o:spid="_x0000_s1027" style="position:absolute;left:0;text-align:left;margin-left:68.05pt;margin-top:20.15pt;width:385.55pt;height:7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" filled="f" strokecolor="#082836" strokeweight="1pt">
                <v:stroke startarrowwidth="narrow" startarrowlength="short" endarrowwidth="narrow" endarrowlength="short"/>
                <v:textbox inset="2.53958mm,1.2694mm,2.53958mm,1.2694mm">
                  <w:txbxContent>
                    <w:p w:rsidR="00611418" w:rsidRDefault="00AE645D">
                      <w:pPr>
                        <w:spacing w:after="0" w:line="277" w:lineRule="auto"/>
                        <w:jc w:val="both"/>
                        <w:textDirection w:val="btLr"/>
                      </w:pPr>
                      <w:r>
                        <w:rPr>
                          <w:rFonts w:ascii="Times New Roman" w:eastAsia="Times New Roman" w:hAnsi="Times New Roman" w:cs="Times New Roman"/>
                          <w:b/>
                          <w:color w:val="000000"/>
                        </w:rPr>
                        <w:t>Busca na base de dados:</w:t>
                      </w:r>
                    </w:p>
                    <w:p w:rsidR="00611418" w:rsidRDefault="00AE645D">
                      <w:pPr>
                        <w:spacing w:after="0" w:line="277" w:lineRule="auto"/>
                        <w:jc w:val="both"/>
                        <w:textDirection w:val="btLr"/>
                      </w:pPr>
                      <w:r>
                        <w:rPr>
                          <w:rFonts w:ascii="Times New Roman" w:eastAsia="Times New Roman" w:hAnsi="Times New Roman" w:cs="Times New Roman"/>
                          <w:color w:val="000000"/>
                        </w:rPr>
                        <w:t>ScieloBr</w:t>
                      </w:r>
                    </w:p>
                    <w:p w:rsidR="00611418" w:rsidRDefault="00AE645D">
                      <w:pPr>
                        <w:spacing w:after="0" w:line="277" w:lineRule="auto"/>
                        <w:jc w:val="both"/>
                        <w:textDirection w:val="btLr"/>
                      </w:pPr>
                      <w:r>
                        <w:rPr>
                          <w:rFonts w:ascii="Times New Roman" w:eastAsia="Times New Roman" w:hAnsi="Times New Roman" w:cs="Times New Roman"/>
                          <w:b/>
                          <w:color w:val="000000"/>
                        </w:rPr>
                        <w:t>Descritores:</w:t>
                      </w:r>
                      <w:r>
                        <w:rPr>
                          <w:rFonts w:ascii="Times New Roman" w:eastAsia="Times New Roman" w:hAnsi="Times New Roman" w:cs="Times New Roman"/>
                          <w:color w:val="000000"/>
                        </w:rPr>
                        <w:t xml:space="preserve"> “pessoas com deficiência”, “estudantes com deficiência”, “ensino superior”, “educação superior”, “acessibilidade”, “inclusão”, “barreiras”, “educação inclusiva”</w:t>
                      </w:r>
                    </w:p>
                  </w:txbxContent>
                </v:textbox>
              </v:rect>
            </w:pict>
          </mc:Fallback>
        </mc:AlternateContent>
      </w:r>
    </w:p>
    <w:p w:rsidR="00611418" w:rsidRDefault="00611418">
      <w:pPr>
        <w:spacing w:line="360" w:lineRule="auto"/>
        <w:jc w:val="both"/>
      </w:pPr>
    </w:p>
    <w:p w:rsidR="00611418" w:rsidRDefault="00611418">
      <w:pPr>
        <w:spacing w:line="360" w:lineRule="auto"/>
        <w:jc w:val="both"/>
      </w:pPr>
    </w:p>
    <w:p w:rsidR="00611418" w:rsidRDefault="00AE645D">
      <w:pPr>
        <w:spacing w:line="360" w:lineRule="auto"/>
        <w:jc w:val="both"/>
        <w:rPr>
          <w:b/>
          <w:bCs/>
        </w:rPr>
      </w:pPr>
      <w:r>
        <w:rPr>
          <w:noProof/>
        </w:rPr>
        <mc:AlternateContent>
          <mc:Choice Requires="wpg">
            <w:drawing>
              <wp:anchor distT="0" distB="0" distL="114300" distR="114300" simplePos="0" relativeHeight="251660288" behindDoc="0" locked="0" layoutInCell="1" hidden="0" allowOverlap="1">
                <wp:simplePos x="0" y="0"/>
                <wp:positionH relativeFrom="column">
                  <wp:posOffset>3202305</wp:posOffset>
                </wp:positionH>
                <wp:positionV relativeFrom="paragraph">
                  <wp:posOffset>88900</wp:posOffset>
                </wp:positionV>
                <wp:extent cx="12700" cy="361950"/>
                <wp:effectExtent l="0" t="0" r="0" b="0"/>
                <wp:wrapNone/>
                <wp:docPr id="2" name="Conector de Seta Reta 2"/>
                <wp:cNvGraphicFramePr/>
                <a:graphic xmlns:a="http://schemas.openxmlformats.org/drawingml/2006/main">
                  <a:graphicData uri="http://schemas.microsoft.com/office/word/2010/wordprocessingShape">
                    <wps:wsp>
                      <wps:cNvCnPr/>
                      <wps:spPr>
                        <a:xfrm>
                          <a:off x="5346000" y="3599025"/>
                          <a:ext cx="0" cy="36195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3202305</wp:posOffset>
                </wp:positionH>
                <wp:positionV relativeFrom="paragraph">
                  <wp:posOffset>88900</wp:posOffset>
                </wp:positionV>
                <wp:extent cx="12700" cy="36195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361950"/>
                        </a:xfrm>
                        <a:prstGeom prst="rect"/>
                        <a:ln/>
                      </pic:spPr>
                    </pic:pic>
                  </a:graphicData>
                </a:graphic>
              </wp:anchor>
            </w:drawing>
          </mc:Fallback>
        </mc:AlternateContent>
      </w:r>
    </w:p>
    <w:p w:rsidR="00611418" w:rsidRDefault="00AE645D">
      <w:pPr>
        <w:spacing w:line="360" w:lineRule="auto"/>
        <w:jc w:val="both"/>
        <w:rPr>
          <w:b/>
          <w:bCs/>
        </w:rPr>
      </w:pPr>
      <w:r>
        <w:rPr>
          <w:noProof/>
        </w:rPr>
        <mc:AlternateContent>
          <mc:Choice Requires="wps">
            <w:drawing>
              <wp:anchor distT="0" distB="0" distL="114300" distR="114300" simplePos="0" relativeHeight="251661312" behindDoc="0" locked="0" layoutInCell="1" hidden="0" allowOverlap="1">
                <wp:simplePos x="0" y="0"/>
                <wp:positionH relativeFrom="column">
                  <wp:posOffset>-2538</wp:posOffset>
                </wp:positionH>
                <wp:positionV relativeFrom="paragraph">
                  <wp:posOffset>142240</wp:posOffset>
                </wp:positionV>
                <wp:extent cx="383540" cy="1568450"/>
                <wp:effectExtent l="0" t="0" r="0" b="0"/>
                <wp:wrapNone/>
                <wp:docPr id="13" name="Retângulo 13"/>
                <wp:cNvGraphicFramePr/>
                <a:graphic xmlns:a="http://schemas.openxmlformats.org/drawingml/2006/main">
                  <a:graphicData uri="http://schemas.microsoft.com/office/word/2010/wordprocessingShape">
                    <wps:wsp>
                      <wps:cNvSpPr/>
                      <wps:spPr>
                        <a:xfrm rot="-5400000">
                          <a:off x="4568125" y="3594580"/>
                          <a:ext cx="1555750" cy="370840"/>
                        </a:xfrm>
                        <a:prstGeom prst="rect">
                          <a:avLst/>
                        </a:prstGeom>
                        <a:noFill/>
                        <a:ln w="12700" cap="flat" cmpd="sng">
                          <a:solidFill>
                            <a:schemeClr val="dk1"/>
                          </a:solidFill>
                          <a:prstDash val="solid"/>
                          <a:miter lim="800000"/>
                          <a:headEnd type="none" w="sm" len="sm"/>
                          <a:tailEnd type="none" w="sm" len="sm"/>
                        </a:ln>
                      </wps:spPr>
                      <wps:txbx>
                        <w:txbxContent>
                          <w:p w:rsidR="00611418" w:rsidRDefault="00AE645D">
                            <w:pPr>
                              <w:spacing w:line="277" w:lineRule="auto"/>
                              <w:jc w:val="center"/>
                              <w:textDirection w:val="btLr"/>
                            </w:pPr>
                            <w:r>
                              <w:rPr>
                                <w:rFonts w:ascii="Times New Roman" w:eastAsia="Times New Roman" w:hAnsi="Times New Roman" w:cs="Times New Roman"/>
                                <w:color w:val="000000"/>
                              </w:rPr>
                              <w:t>ELEGIBILIDADE</w:t>
                            </w:r>
                          </w:p>
                        </w:txbxContent>
                      </wps:txbx>
                      <wps:bodyPr spcFirstLastPara="1" wrap="square" lIns="91425" tIns="45700" rIns="91425" bIns="45700" anchor="ctr" anchorCtr="0">
                        <a:noAutofit/>
                      </wps:bodyPr>
                    </wps:wsp>
                  </a:graphicData>
                </a:graphic>
              </wp:anchor>
            </w:drawing>
          </mc:Choice>
          <mc:Fallback>
            <w:pict>
              <v:rect id="Retângulo 13" o:spid="_x0000_s1028" style="position:absolute;left:0;text-align:left;margin-left:-.2pt;margin-top:11.2pt;width:30.2pt;height:123.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" filled="f" strokecolor="black [3200]" strokeweight="1pt">
                <v:stroke startarrowwidth="narrow" startarrowlength="short" endarrowwidth="narrow" endarrowlength="short"/>
                <v:textbox inset="2.53958mm,1.2694mm,2.53958mm,1.2694mm">
                  <w:txbxContent>
                    <w:p w:rsidR="00611418" w:rsidRDefault="00AE645D">
                      <w:pPr>
                        <w:spacing w:line="277" w:lineRule="auto"/>
                        <w:jc w:val="center"/>
                        <w:textDirection w:val="btLr"/>
                      </w:pPr>
                      <w:r>
                        <w:rPr>
                          <w:rFonts w:ascii="Times New Roman" w:eastAsia="Times New Roman" w:hAnsi="Times New Roman" w:cs="Times New Roman"/>
                          <w:color w:val="000000"/>
                        </w:rPr>
                        <w:t>ELEGIBILIDADE</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897890</wp:posOffset>
                </wp:positionH>
                <wp:positionV relativeFrom="paragraph">
                  <wp:posOffset>145415</wp:posOffset>
                </wp:positionV>
                <wp:extent cx="4859020" cy="522605"/>
                <wp:effectExtent l="0" t="0" r="0" b="0"/>
                <wp:wrapNone/>
                <wp:docPr id="10" name="Retângulo 10"/>
                <wp:cNvGraphicFramePr/>
                <a:graphic xmlns:a="http://schemas.openxmlformats.org/drawingml/2006/main">
                  <a:graphicData uri="http://schemas.microsoft.com/office/word/2010/wordprocessingShape">
                    <wps:wsp>
                      <wps:cNvSpPr/>
                      <wps:spPr>
                        <a:xfrm>
                          <a:off x="2922840" y="3525048"/>
                          <a:ext cx="4846320" cy="509905"/>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after="0" w:line="277" w:lineRule="auto"/>
                              <w:jc w:val="both"/>
                              <w:textDirection w:val="btLr"/>
                            </w:pPr>
                            <w:r>
                              <w:rPr>
                                <w:rFonts w:ascii="Times New Roman" w:eastAsia="Times New Roman" w:hAnsi="Times New Roman" w:cs="Times New Roman"/>
                                <w:b/>
                                <w:color w:val="000000"/>
                              </w:rPr>
                              <w:t xml:space="preserve">Estudos identificados: </w:t>
                            </w:r>
                          </w:p>
                          <w:p w:rsidR="00611418" w:rsidRDefault="00AE645D">
                            <w:pPr>
                              <w:spacing w:after="0" w:line="277" w:lineRule="auto"/>
                              <w:jc w:val="both"/>
                              <w:textDirection w:val="btLr"/>
                            </w:pPr>
                            <w:r>
                              <w:rPr>
                                <w:rFonts w:ascii="Times New Roman" w:eastAsia="Times New Roman" w:hAnsi="Times New Roman" w:cs="Times New Roman"/>
                                <w:color w:val="000000"/>
                              </w:rPr>
                              <w:t>ScieloBr: 21 artigos</w:t>
                            </w:r>
                          </w:p>
                        </w:txbxContent>
                      </wps:txbx>
                      <wps:bodyPr spcFirstLastPara="1" wrap="square" lIns="91425" tIns="45700" rIns="91425" bIns="45700" anchor="t" anchorCtr="0">
                        <a:noAutofit/>
                      </wps:bodyPr>
                    </wps:wsp>
                  </a:graphicData>
                </a:graphic>
              </wp:anchor>
            </w:drawing>
          </mc:Choice>
          <mc:Fallback>
            <w:pict>
              <v:rect id="Retângulo 10" o:spid="_x0000_s1029" style="position:absolute;left:0;text-align:left;margin-left:70.7pt;margin-top:11.45pt;width:382.6pt;height:41.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" filled="f" strokecolor="#082836" strokeweight="1pt">
                <v:stroke startarrowwidth="narrow" startarrowlength="short" endarrowwidth="narrow" endarrowlength="short"/>
                <v:textbox inset="2.53958mm,1.2694mm,2.53958mm,1.2694mm">
                  <w:txbxContent>
                    <w:p w:rsidR="00611418" w:rsidRDefault="00AE645D">
                      <w:pPr>
                        <w:spacing w:after="0" w:line="277" w:lineRule="auto"/>
                        <w:jc w:val="both"/>
                        <w:textDirection w:val="btLr"/>
                      </w:pPr>
                      <w:r>
                        <w:rPr>
                          <w:rFonts w:ascii="Times New Roman" w:eastAsia="Times New Roman" w:hAnsi="Times New Roman" w:cs="Times New Roman"/>
                          <w:b/>
                          <w:color w:val="000000"/>
                        </w:rPr>
                        <w:t xml:space="preserve">Estudos identificados: </w:t>
                      </w:r>
                    </w:p>
                    <w:p w:rsidR="00611418" w:rsidRDefault="00AE645D">
                      <w:pPr>
                        <w:spacing w:after="0" w:line="277" w:lineRule="auto"/>
                        <w:jc w:val="both"/>
                        <w:textDirection w:val="btLr"/>
                      </w:pPr>
                      <w:r>
                        <w:rPr>
                          <w:rFonts w:ascii="Times New Roman" w:eastAsia="Times New Roman" w:hAnsi="Times New Roman" w:cs="Times New Roman"/>
                          <w:color w:val="000000"/>
                        </w:rPr>
                        <w:t>ScieloBr: 21 artigos</w:t>
                      </w:r>
                    </w:p>
                  </w:txbxContent>
                </v:textbox>
              </v:rect>
            </w:pict>
          </mc:Fallback>
        </mc:AlternateContent>
      </w:r>
    </w:p>
    <w:p w:rsidR="00611418" w:rsidRDefault="00611418">
      <w:pPr>
        <w:spacing w:line="360" w:lineRule="auto"/>
        <w:jc w:val="both"/>
        <w:rPr>
          <w:b/>
          <w:bCs/>
        </w:rPr>
      </w:pPr>
    </w:p>
    <w:p w:rsidR="00611418" w:rsidRDefault="00AE645D">
      <w:pPr>
        <w:spacing w:line="360" w:lineRule="auto"/>
        <w:jc w:val="both"/>
        <w:rPr>
          <w:b/>
          <w:bCs/>
        </w:rPr>
      </w:pPr>
      <w:r>
        <w:rPr>
          <w:noProof/>
        </w:rPr>
        <mc:AlternateContent>
          <mc:Choice Requires="wps">
            <w:drawing>
              <wp:anchor distT="0" distB="0" distL="114300" distR="114300" simplePos="0" relativeHeight="251663360" behindDoc="0" locked="0" layoutInCell="1" hidden="0" allowOverlap="1">
                <wp:simplePos x="0" y="0"/>
                <wp:positionH relativeFrom="column">
                  <wp:posOffset>864235</wp:posOffset>
                </wp:positionH>
                <wp:positionV relativeFrom="paragraph">
                  <wp:posOffset>372110</wp:posOffset>
                </wp:positionV>
                <wp:extent cx="2056765" cy="530860"/>
                <wp:effectExtent l="0" t="0" r="0" b="0"/>
                <wp:wrapNone/>
                <wp:docPr id="5" name="Retângulo 5"/>
                <wp:cNvGraphicFramePr/>
                <a:graphic xmlns:a="http://schemas.openxmlformats.org/drawingml/2006/main">
                  <a:graphicData uri="http://schemas.microsoft.com/office/word/2010/wordprocessingShape">
                    <wps:wsp>
                      <wps:cNvSpPr/>
                      <wps:spPr>
                        <a:xfrm>
                          <a:off x="4323968" y="3520920"/>
                          <a:ext cx="2044065" cy="518160"/>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line="277" w:lineRule="auto"/>
                              <w:jc w:val="both"/>
                              <w:textDirection w:val="btLr"/>
                            </w:pPr>
                            <w:r>
                              <w:rPr>
                                <w:rFonts w:ascii="Times New Roman" w:eastAsia="Times New Roman" w:hAnsi="Times New Roman" w:cs="Times New Roman"/>
                                <w:b/>
                                <w:color w:val="000000"/>
                              </w:rPr>
                              <w:t>Estudos excluídos c</w:t>
                            </w:r>
                            <w:r>
                              <w:rPr>
                                <w:rFonts w:ascii="Times New Roman" w:eastAsia="Times New Roman" w:hAnsi="Times New Roman" w:cs="Times New Roman"/>
                                <w:b/>
                                <w:color w:val="000000"/>
                              </w:rPr>
                              <w:t xml:space="preserve">om base no título e resumo: </w:t>
                            </w:r>
                            <w:r>
                              <w:rPr>
                                <w:rFonts w:ascii="Times New Roman" w:eastAsia="Times New Roman" w:hAnsi="Times New Roman" w:cs="Times New Roman"/>
                                <w:color w:val="000000"/>
                              </w:rPr>
                              <w:t>8</w:t>
                            </w:r>
                          </w:p>
                        </w:txbxContent>
                      </wps:txbx>
                      <wps:bodyPr spcFirstLastPara="1" wrap="square" lIns="91425" tIns="45700" rIns="91425" bIns="45700" anchor="t" anchorCtr="0">
                        <a:noAutofit/>
                      </wps:bodyPr>
                    </wps:wsp>
                  </a:graphicData>
                </a:graphic>
              </wp:anchor>
            </w:drawing>
          </mc:Choice>
          <mc:Fallback>
            <w:pict>
              <v:rect id="Retângulo 5" o:spid="_x0000_s1030" style="position:absolute;left:0;text-align:left;margin-left:68.05pt;margin-top:29.3pt;width:161.95pt;height:4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" filled="f" strokecolor="#082836" strokeweight="1pt">
                <v:stroke startarrowwidth="narrow" startarrowlength="short" endarrowwidth="narrow" endarrowlength="short"/>
                <v:textbox inset="2.53958mm,1.2694mm,2.53958mm,1.2694mm">
                  <w:txbxContent>
                    <w:p w:rsidR="00611418" w:rsidRDefault="00AE645D">
                      <w:pPr>
                        <w:spacing w:line="277" w:lineRule="auto"/>
                        <w:jc w:val="both"/>
                        <w:textDirection w:val="btLr"/>
                      </w:pPr>
                      <w:r>
                        <w:rPr>
                          <w:rFonts w:ascii="Times New Roman" w:eastAsia="Times New Roman" w:hAnsi="Times New Roman" w:cs="Times New Roman"/>
                          <w:b/>
                          <w:color w:val="000000"/>
                        </w:rPr>
                        <w:t>Estudos excluídos c</w:t>
                      </w:r>
                      <w:r>
                        <w:rPr>
                          <w:rFonts w:ascii="Times New Roman" w:eastAsia="Times New Roman" w:hAnsi="Times New Roman" w:cs="Times New Roman"/>
                          <w:b/>
                          <w:color w:val="000000"/>
                        </w:rPr>
                        <w:t xml:space="preserve">om base no título e resumo: </w:t>
                      </w:r>
                      <w:r>
                        <w:rPr>
                          <w:rFonts w:ascii="Times New Roman" w:eastAsia="Times New Roman" w:hAnsi="Times New Roman" w:cs="Times New Roman"/>
                          <w:color w:val="000000"/>
                        </w:rPr>
                        <w:t>8</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3515995</wp:posOffset>
                </wp:positionH>
                <wp:positionV relativeFrom="paragraph">
                  <wp:posOffset>372110</wp:posOffset>
                </wp:positionV>
                <wp:extent cx="2073910" cy="549275"/>
                <wp:effectExtent l="0" t="0" r="0" b="0"/>
                <wp:wrapNone/>
                <wp:docPr id="12" name="Retângulo 12"/>
                <wp:cNvGraphicFramePr/>
                <a:graphic xmlns:a="http://schemas.openxmlformats.org/drawingml/2006/main">
                  <a:graphicData uri="http://schemas.microsoft.com/office/word/2010/wordprocessingShape">
                    <wps:wsp>
                      <wps:cNvSpPr/>
                      <wps:spPr>
                        <a:xfrm>
                          <a:off x="4315395" y="3511713"/>
                          <a:ext cx="2061210" cy="536575"/>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after="0" w:line="277" w:lineRule="auto"/>
                              <w:jc w:val="both"/>
                              <w:textDirection w:val="btLr"/>
                            </w:pPr>
                            <w:r>
                              <w:rPr>
                                <w:rFonts w:ascii="Times New Roman" w:eastAsia="Times New Roman" w:hAnsi="Times New Roman" w:cs="Times New Roman"/>
                                <w:b/>
                                <w:color w:val="000000"/>
                              </w:rPr>
                              <w:t>Estudos selecionados para leitura na íntegra:</w:t>
                            </w:r>
                            <w:r>
                              <w:rPr>
                                <w:rFonts w:ascii="Times New Roman" w:eastAsia="Times New Roman" w:hAnsi="Times New Roman" w:cs="Times New Roman"/>
                                <w:color w:val="000000"/>
                              </w:rPr>
                              <w:t xml:space="preserve"> 13 artigos</w:t>
                            </w:r>
                          </w:p>
                        </w:txbxContent>
                      </wps:txbx>
                      <wps:bodyPr spcFirstLastPara="1" wrap="square" lIns="91425" tIns="45700" rIns="91425" bIns="45700" anchor="t" anchorCtr="0">
                        <a:noAutofit/>
                      </wps:bodyPr>
                    </wps:wsp>
                  </a:graphicData>
                </a:graphic>
              </wp:anchor>
            </w:drawing>
          </mc:Choice>
          <mc:Fallback>
            <w:pict>
              <v:rect id="Retângulo 12" o:spid="_x0000_s1031" style="position:absolute;left:0;text-align:left;margin-left:276.85pt;margin-top:29.3pt;width:163.3pt;height:43.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" filled="f" strokecolor="#082836" strokeweight="1pt">
                <v:stroke startarrowwidth="narrow" startarrowlength="short" endarrowwidth="narrow" endarrowlength="short"/>
                <v:textbox inset="2.53958mm,1.2694mm,2.53958mm,1.2694mm">
                  <w:txbxContent>
                    <w:p w:rsidR="00611418" w:rsidRDefault="00AE645D">
                      <w:pPr>
                        <w:spacing w:after="0" w:line="277" w:lineRule="auto"/>
                        <w:jc w:val="both"/>
                        <w:textDirection w:val="btLr"/>
                      </w:pPr>
                      <w:r>
                        <w:rPr>
                          <w:rFonts w:ascii="Times New Roman" w:eastAsia="Times New Roman" w:hAnsi="Times New Roman" w:cs="Times New Roman"/>
                          <w:b/>
                          <w:color w:val="000000"/>
                        </w:rPr>
                        <w:t>Estudos selecionados para leitura na íntegra:</w:t>
                      </w:r>
                      <w:r>
                        <w:rPr>
                          <w:rFonts w:ascii="Times New Roman" w:eastAsia="Times New Roman" w:hAnsi="Times New Roman" w:cs="Times New Roman"/>
                          <w:color w:val="000000"/>
                        </w:rPr>
                        <w:t xml:space="preserve"> 13 artigos</w:t>
                      </w:r>
                    </w:p>
                  </w:txbxContent>
                </v:textbox>
              </v:rect>
            </w:pict>
          </mc:Fallback>
        </mc:AlternateContent>
      </w:r>
      <w:r>
        <w:rPr>
          <w:noProof/>
        </w:rPr>
        <mc:AlternateContent>
          <mc:Choice Requires="wpg">
            <w:drawing>
              <wp:anchor distT="0" distB="0" distL="114300" distR="114300" simplePos="0" relativeHeight="251665408" behindDoc="0" locked="0" layoutInCell="1" hidden="0" allowOverlap="1">
                <wp:simplePos x="0" y="0"/>
                <wp:positionH relativeFrom="column">
                  <wp:posOffset>3213735</wp:posOffset>
                </wp:positionH>
                <wp:positionV relativeFrom="paragraph">
                  <wp:posOffset>201930</wp:posOffset>
                </wp:positionV>
                <wp:extent cx="12700" cy="217805"/>
                <wp:effectExtent l="0" t="0" r="0" b="0"/>
                <wp:wrapNone/>
                <wp:docPr id="8" name="Conector de Seta Reta 8"/>
                <wp:cNvGraphicFramePr/>
                <a:graphic xmlns:a="http://schemas.openxmlformats.org/drawingml/2006/main">
                  <a:graphicData uri="http://schemas.microsoft.com/office/word/2010/wordprocessingShape">
                    <wps:wsp>
                      <wps:cNvCnPr/>
                      <wps:spPr>
                        <a:xfrm>
                          <a:off x="5343460" y="3671098"/>
                          <a:ext cx="5080" cy="217805"/>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3213735</wp:posOffset>
                </wp:positionH>
                <wp:positionV relativeFrom="paragraph">
                  <wp:posOffset>201930</wp:posOffset>
                </wp:positionV>
                <wp:extent cx="12700" cy="217805"/>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2700" cy="217805"/>
                        </a:xfrm>
                        <a:prstGeom prst="rect"/>
                        <a:ln/>
                      </pic:spPr>
                    </pic:pic>
                  </a:graphicData>
                </a:graphic>
              </wp:anchor>
            </w:drawing>
          </mc:Fallback>
        </mc:AlternateContent>
      </w:r>
    </w:p>
    <w:p w:rsidR="00611418" w:rsidRDefault="00AE645D">
      <w:pPr>
        <w:spacing w:line="360" w:lineRule="auto"/>
        <w:jc w:val="both"/>
        <w:rPr>
          <w:b/>
          <w:bCs/>
        </w:rPr>
      </w:pPr>
      <w:r>
        <w:rPr>
          <w:noProof/>
        </w:rPr>
        <mc:AlternateContent>
          <mc:Choice Requires="wpg">
            <w:drawing>
              <wp:anchor distT="0" distB="0" distL="114300" distR="114300" simplePos="0" relativeHeight="251666432" behindDoc="0" locked="0" layoutInCell="1" hidden="0" allowOverlap="1">
                <wp:simplePos x="0" y="0"/>
                <wp:positionH relativeFrom="column">
                  <wp:posOffset>3004185</wp:posOffset>
                </wp:positionH>
                <wp:positionV relativeFrom="paragraph">
                  <wp:posOffset>258445</wp:posOffset>
                </wp:positionV>
                <wp:extent cx="429895" cy="12700"/>
                <wp:effectExtent l="0" t="0" r="0" b="0"/>
                <wp:wrapNone/>
                <wp:docPr id="3" name="Conector de Seta Reta 3"/>
                <wp:cNvGraphicFramePr/>
                <a:graphic xmlns:a="http://schemas.openxmlformats.org/drawingml/2006/main">
                  <a:graphicData uri="http://schemas.microsoft.com/office/word/2010/wordprocessingShape">
                    <wps:wsp>
                      <wps:cNvCnPr/>
                      <wps:spPr>
                        <a:xfrm>
                          <a:off x="5131053" y="3780000"/>
                          <a:ext cx="4298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3004185</wp:posOffset>
                </wp:positionH>
                <wp:positionV relativeFrom="paragraph">
                  <wp:posOffset>258445</wp:posOffset>
                </wp:positionV>
                <wp:extent cx="429895"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29895" cy="1270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simplePos x="0" y="0"/>
                <wp:positionH relativeFrom="column">
                  <wp:posOffset>3226435</wp:posOffset>
                </wp:positionH>
                <wp:positionV relativeFrom="paragraph">
                  <wp:posOffset>328295</wp:posOffset>
                </wp:positionV>
                <wp:extent cx="12700" cy="553720"/>
                <wp:effectExtent l="0" t="0" r="0" b="0"/>
                <wp:wrapNone/>
                <wp:docPr id="7" name="Conector de Seta Reta 7"/>
                <wp:cNvGraphicFramePr/>
                <a:graphic xmlns:a="http://schemas.openxmlformats.org/drawingml/2006/main">
                  <a:graphicData uri="http://schemas.microsoft.com/office/word/2010/wordprocessingShape">
                    <wps:wsp>
                      <wps:cNvCnPr/>
                      <wps:spPr>
                        <a:xfrm>
                          <a:off x="5346000" y="3503140"/>
                          <a:ext cx="0" cy="55372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3226435</wp:posOffset>
                </wp:positionH>
                <wp:positionV relativeFrom="paragraph">
                  <wp:posOffset>328295</wp:posOffset>
                </wp:positionV>
                <wp:extent cx="12700" cy="553720"/>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2700" cy="553720"/>
                        </a:xfrm>
                        <a:prstGeom prst="rect"/>
                        <a:ln/>
                      </pic:spPr>
                    </pic:pic>
                  </a:graphicData>
                </a:graphic>
              </wp:anchor>
            </w:drawing>
          </mc:Fallback>
        </mc:AlternateContent>
      </w:r>
    </w:p>
    <w:p w:rsidR="00611418" w:rsidRDefault="00611418">
      <w:pPr>
        <w:spacing w:line="360" w:lineRule="auto"/>
        <w:jc w:val="both"/>
        <w:rPr>
          <w:b/>
          <w:bCs/>
        </w:rPr>
      </w:pPr>
    </w:p>
    <w:p w:rsidR="00611418" w:rsidRDefault="00AE645D">
      <w:pPr>
        <w:spacing w:line="360" w:lineRule="auto"/>
        <w:jc w:val="both"/>
        <w:rPr>
          <w:b/>
          <w:bCs/>
        </w:rPr>
      </w:pPr>
      <w:r>
        <w:rPr>
          <w:noProof/>
        </w:rPr>
        <mc:AlternateContent>
          <mc:Choice Requires="wps">
            <w:drawing>
              <wp:anchor distT="0" distB="0" distL="114300" distR="114300" simplePos="0" relativeHeight="251668480" behindDoc="0" locked="0" layoutInCell="1" hidden="0" allowOverlap="1">
                <wp:simplePos x="0" y="0"/>
                <wp:positionH relativeFrom="column">
                  <wp:posOffset>2220595</wp:posOffset>
                </wp:positionH>
                <wp:positionV relativeFrom="paragraph">
                  <wp:posOffset>243204</wp:posOffset>
                </wp:positionV>
                <wp:extent cx="2057400" cy="706120"/>
                <wp:effectExtent l="0" t="0" r="0" b="0"/>
                <wp:wrapNone/>
                <wp:docPr id="11" name="Retângulo 11"/>
                <wp:cNvGraphicFramePr/>
                <a:graphic xmlns:a="http://schemas.openxmlformats.org/drawingml/2006/main">
                  <a:graphicData uri="http://schemas.microsoft.com/office/word/2010/wordprocessingShape">
                    <wps:wsp>
                      <wps:cNvSpPr/>
                      <wps:spPr>
                        <a:xfrm>
                          <a:off x="4323650" y="3433290"/>
                          <a:ext cx="2044700" cy="693420"/>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after="0" w:line="277" w:lineRule="auto"/>
                              <w:jc w:val="center"/>
                              <w:textDirection w:val="btLr"/>
                            </w:pPr>
                            <w:r>
                              <w:rPr>
                                <w:rFonts w:ascii="Times New Roman" w:eastAsia="Times New Roman" w:hAnsi="Times New Roman" w:cs="Times New Roman"/>
                                <w:b/>
                                <w:color w:val="000000"/>
                              </w:rPr>
                              <w:t xml:space="preserve">Estudos excluídos com base nos critérios adotados: </w:t>
                            </w:r>
                            <w:r>
                              <w:rPr>
                                <w:rFonts w:ascii="Times New Roman" w:eastAsia="Times New Roman" w:hAnsi="Times New Roman" w:cs="Times New Roman"/>
                                <w:color w:val="000000"/>
                              </w:rPr>
                              <w:t>03 artigos</w:t>
                            </w:r>
                          </w:p>
                        </w:txbxContent>
                      </wps:txbx>
                      <wps:bodyPr spcFirstLastPara="1" wrap="square" lIns="91425" tIns="45700" rIns="91425" bIns="45700" anchor="t" anchorCtr="0">
                        <a:noAutofit/>
                      </wps:bodyPr>
                    </wps:wsp>
                  </a:graphicData>
                </a:graphic>
              </wp:anchor>
            </w:drawing>
          </mc:Choice>
          <mc:Fallback>
            <w:pict>
              <v:rect id="Retângulo 11" o:spid="_x0000_s1032" style="position:absolute;left:0;text-align:left;margin-left:174.85pt;margin-top:19.15pt;width:162pt;height:55.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" filled="f" strokecolor="#082836" strokeweight="1pt">
                <v:stroke startarrowwidth="narrow" startarrowlength="short" endarrowwidth="narrow" endarrowlength="short"/>
                <v:textbox inset="2.53958mm,1.2694mm,2.53958mm,1.2694mm">
                  <w:txbxContent>
                    <w:p w:rsidR="00611418" w:rsidRDefault="00AE645D">
                      <w:pPr>
                        <w:spacing w:after="0" w:line="277" w:lineRule="auto"/>
                        <w:jc w:val="center"/>
                        <w:textDirection w:val="btLr"/>
                      </w:pPr>
                      <w:r>
                        <w:rPr>
                          <w:rFonts w:ascii="Times New Roman" w:eastAsia="Times New Roman" w:hAnsi="Times New Roman" w:cs="Times New Roman"/>
                          <w:b/>
                          <w:color w:val="000000"/>
                        </w:rPr>
                        <w:t xml:space="preserve">Estudos excluídos com base nos critérios adotados: </w:t>
                      </w:r>
                      <w:r>
                        <w:rPr>
                          <w:rFonts w:ascii="Times New Roman" w:eastAsia="Times New Roman" w:hAnsi="Times New Roman" w:cs="Times New Roman"/>
                          <w:color w:val="000000"/>
                        </w:rPr>
                        <w:t>03 artigos</w:t>
                      </w:r>
                    </w:p>
                  </w:txbxContent>
                </v:textbox>
              </v:rect>
            </w:pict>
          </mc:Fallback>
        </mc:AlternateContent>
      </w:r>
    </w:p>
    <w:p w:rsidR="00611418" w:rsidRDefault="00AE645D">
      <w:pPr>
        <w:spacing w:line="360" w:lineRule="auto"/>
        <w:jc w:val="both"/>
        <w:rPr>
          <w:b/>
          <w:bCs/>
        </w:rPr>
      </w:pPr>
      <w:r>
        <w:rPr>
          <w:noProof/>
        </w:rPr>
        <mc:AlternateContent>
          <mc:Choice Requires="wps">
            <w:drawing>
              <wp:anchor distT="0" distB="0" distL="114300" distR="114300" simplePos="0" relativeHeight="251669504" behindDoc="0" locked="0" layoutInCell="1" hidden="0" allowOverlap="1">
                <wp:simplePos x="0" y="0"/>
                <wp:positionH relativeFrom="column">
                  <wp:posOffset>-2538</wp:posOffset>
                </wp:positionH>
                <wp:positionV relativeFrom="paragraph">
                  <wp:posOffset>158750</wp:posOffset>
                </wp:positionV>
                <wp:extent cx="383540" cy="1071880"/>
                <wp:effectExtent l="0" t="0" r="0" b="0"/>
                <wp:wrapNone/>
                <wp:docPr id="14" name="Retângulo 14"/>
                <wp:cNvGraphicFramePr/>
                <a:graphic xmlns:a="http://schemas.openxmlformats.org/drawingml/2006/main">
                  <a:graphicData uri="http://schemas.microsoft.com/office/word/2010/wordprocessingShape">
                    <wps:wsp>
                      <wps:cNvSpPr/>
                      <wps:spPr>
                        <a:xfrm rot="-5400000">
                          <a:off x="4816410" y="3594580"/>
                          <a:ext cx="1059180" cy="370840"/>
                        </a:xfrm>
                        <a:prstGeom prst="rect">
                          <a:avLst/>
                        </a:prstGeom>
                        <a:noFill/>
                        <a:ln w="12700" cap="flat" cmpd="sng">
                          <a:solidFill>
                            <a:schemeClr val="dk1"/>
                          </a:solidFill>
                          <a:prstDash val="solid"/>
                          <a:miter lim="800000"/>
                          <a:headEnd type="none" w="sm" len="sm"/>
                          <a:tailEnd type="none" w="sm" len="sm"/>
                        </a:ln>
                      </wps:spPr>
                      <wps:txbx>
                        <w:txbxContent>
                          <w:p w:rsidR="00611418" w:rsidRDefault="00AE645D">
                            <w:pPr>
                              <w:spacing w:line="277" w:lineRule="auto"/>
                              <w:jc w:val="center"/>
                              <w:textDirection w:val="btLr"/>
                            </w:pPr>
                            <w:r>
                              <w:rPr>
                                <w:rFonts w:ascii="Times New Roman" w:eastAsia="Times New Roman" w:hAnsi="Times New Roman" w:cs="Times New Roman"/>
                                <w:color w:val="000000"/>
                              </w:rPr>
                              <w:t>INCLUÍDOS</w:t>
                            </w:r>
                          </w:p>
                        </w:txbxContent>
                      </wps:txbx>
                      <wps:bodyPr spcFirstLastPara="1" wrap="square" lIns="91425" tIns="45700" rIns="91425" bIns="45700" anchor="ctr" anchorCtr="0">
                        <a:noAutofit/>
                      </wps:bodyPr>
                    </wps:wsp>
                  </a:graphicData>
                </a:graphic>
              </wp:anchor>
            </w:drawing>
          </mc:Choice>
          <mc:Fallback>
            <w:pict>
              <v:rect id="Retângulo 14" o:spid="_x0000_s1033" style="position:absolute;left:0;text-align:left;margin-left:-.2pt;margin-top:12.5pt;width:30.2pt;height:84.4pt;rotation:-9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" filled="f" strokecolor="black [3200]" strokeweight="1pt">
                <v:stroke startarrowwidth="narrow" startarrowlength="short" endarrowwidth="narrow" endarrowlength="short"/>
                <v:textbox inset="2.53958mm,1.2694mm,2.53958mm,1.2694mm">
                  <w:txbxContent>
                    <w:p w:rsidR="00611418" w:rsidRDefault="00AE645D">
                      <w:pPr>
                        <w:spacing w:line="277" w:lineRule="auto"/>
                        <w:jc w:val="center"/>
                        <w:textDirection w:val="btLr"/>
                      </w:pPr>
                      <w:r>
                        <w:rPr>
                          <w:rFonts w:ascii="Times New Roman" w:eastAsia="Times New Roman" w:hAnsi="Times New Roman" w:cs="Times New Roman"/>
                          <w:color w:val="000000"/>
                        </w:rPr>
                        <w:t>INCLUÍDOS</w:t>
                      </w:r>
                    </w:p>
                  </w:txbxContent>
                </v:textbox>
              </v:rect>
            </w:pict>
          </mc:Fallback>
        </mc:AlternateContent>
      </w:r>
    </w:p>
    <w:p w:rsidR="00611418" w:rsidRDefault="00AE645D">
      <w:pPr>
        <w:spacing w:line="360" w:lineRule="auto"/>
        <w:jc w:val="both"/>
        <w:rPr>
          <w:b/>
          <w:bCs/>
        </w:rPr>
      </w:pPr>
      <w:r>
        <w:rPr>
          <w:noProof/>
        </w:rPr>
        <mc:AlternateContent>
          <mc:Choice Requires="wpg">
            <w:drawing>
              <wp:anchor distT="0" distB="0" distL="114300" distR="114300" simplePos="0" relativeHeight="251670528" behindDoc="0" locked="0" layoutInCell="1" hidden="0" allowOverlap="1">
                <wp:simplePos x="0" y="0"/>
                <wp:positionH relativeFrom="column">
                  <wp:posOffset>3281679</wp:posOffset>
                </wp:positionH>
                <wp:positionV relativeFrom="paragraph">
                  <wp:posOffset>274955</wp:posOffset>
                </wp:positionV>
                <wp:extent cx="12700" cy="259080"/>
                <wp:effectExtent l="0" t="0" r="0" b="0"/>
                <wp:wrapNone/>
                <wp:docPr id="4" name="Conector de Seta Reta 4"/>
                <wp:cNvGraphicFramePr/>
                <a:graphic xmlns:a="http://schemas.openxmlformats.org/drawingml/2006/main">
                  <a:graphicData uri="http://schemas.microsoft.com/office/word/2010/wordprocessingShape">
                    <wps:wsp>
                      <wps:cNvCnPr/>
                      <wps:spPr>
                        <a:xfrm>
                          <a:off x="5346000" y="3650460"/>
                          <a:ext cx="0" cy="25908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3281679</wp:posOffset>
                </wp:positionH>
                <wp:positionV relativeFrom="paragraph">
                  <wp:posOffset>274955</wp:posOffset>
                </wp:positionV>
                <wp:extent cx="12700" cy="25908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0" cy="259080"/>
                        </a:xfrm>
                        <a:prstGeom prst="rect"/>
                        <a:ln/>
                      </pic:spPr>
                    </pic:pic>
                  </a:graphicData>
                </a:graphic>
              </wp:anchor>
            </w:drawing>
          </mc:Fallback>
        </mc:AlternateContent>
      </w:r>
    </w:p>
    <w:p w:rsidR="00611418" w:rsidRDefault="00AE645D">
      <w:pPr>
        <w:spacing w:line="360" w:lineRule="auto"/>
        <w:jc w:val="both"/>
        <w:rPr>
          <w:b/>
          <w:bCs/>
        </w:rPr>
      </w:pPr>
      <w:r>
        <w:rPr>
          <w:noProof/>
        </w:rPr>
        <mc:AlternateContent>
          <mc:Choice Requires="wps">
            <w:drawing>
              <wp:anchor distT="0" distB="0" distL="114300" distR="114300" simplePos="0" relativeHeight="251671552" behindDoc="0" locked="0" layoutInCell="1" hidden="0" allowOverlap="1">
                <wp:simplePos x="0" y="0"/>
                <wp:positionH relativeFrom="column">
                  <wp:posOffset>864235</wp:posOffset>
                </wp:positionH>
                <wp:positionV relativeFrom="paragraph">
                  <wp:posOffset>236854</wp:posOffset>
                </wp:positionV>
                <wp:extent cx="4891405" cy="530860"/>
                <wp:effectExtent l="0" t="0" r="0" b="0"/>
                <wp:wrapNone/>
                <wp:docPr id="6" name="Retângulo 6"/>
                <wp:cNvGraphicFramePr/>
                <a:graphic xmlns:a="http://schemas.openxmlformats.org/drawingml/2006/main">
                  <a:graphicData uri="http://schemas.microsoft.com/office/word/2010/wordprocessingShape">
                    <wps:wsp>
                      <wps:cNvSpPr/>
                      <wps:spPr>
                        <a:xfrm>
                          <a:off x="2906648" y="3520920"/>
                          <a:ext cx="4878705" cy="518160"/>
                        </a:xfrm>
                        <a:prstGeom prst="rect">
                          <a:avLst/>
                        </a:prstGeom>
                        <a:noFill/>
                        <a:ln w="12700" cap="flat" cmpd="sng">
                          <a:solidFill>
                            <a:srgbClr val="082836"/>
                          </a:solidFill>
                          <a:prstDash val="solid"/>
                          <a:miter lim="800000"/>
                          <a:headEnd type="none" w="sm" len="sm"/>
                          <a:tailEnd type="none" w="sm" len="sm"/>
                        </a:ln>
                      </wps:spPr>
                      <wps:txbx>
                        <w:txbxContent>
                          <w:p w:rsidR="00611418" w:rsidRDefault="00AE645D">
                            <w:pPr>
                              <w:spacing w:after="0" w:line="277" w:lineRule="auto"/>
                              <w:jc w:val="center"/>
                              <w:textDirection w:val="btLr"/>
                            </w:pPr>
                            <w:r>
                              <w:rPr>
                                <w:rFonts w:ascii="Times New Roman" w:eastAsia="Times New Roman" w:hAnsi="Times New Roman" w:cs="Times New Roman"/>
                                <w:b/>
                                <w:color w:val="000000"/>
                              </w:rPr>
                              <w:t>Amostra final:</w:t>
                            </w:r>
                          </w:p>
                          <w:p w:rsidR="00611418" w:rsidRDefault="00AE645D">
                            <w:pPr>
                              <w:spacing w:after="0" w:line="277" w:lineRule="auto"/>
                              <w:jc w:val="center"/>
                              <w:textDirection w:val="btLr"/>
                            </w:pPr>
                            <w:r>
                              <w:rPr>
                                <w:rFonts w:ascii="Times New Roman" w:eastAsia="Times New Roman" w:hAnsi="Times New Roman" w:cs="Times New Roman"/>
                                <w:color w:val="000000"/>
                              </w:rPr>
                              <w:t xml:space="preserve">10 artigos </w:t>
                            </w:r>
                          </w:p>
                        </w:txbxContent>
                      </wps:txbx>
                      <wps:bodyPr spcFirstLastPara="1" wrap="square" lIns="91425" tIns="45700" rIns="91425" bIns="45700" anchor="t" anchorCtr="0">
                        <a:noAutofit/>
                      </wps:bodyPr>
                    </wps:wsp>
                  </a:graphicData>
                </a:graphic>
              </wp:anchor>
            </w:drawing>
          </mc:Choice>
          <mc:Fallback>
            <w:pict>
              <v:rect id="Retângulo 6" o:spid="_x0000_s1034" style="position:absolute;left:0;text-align:left;margin-left:68.05pt;margin-top:18.65pt;width:385.15pt;height:4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" filled="f" strokecolor="#082836" strokeweight="1pt">
                <v:stroke startarrowwidth="narrow" startarrowlength="short" endarrowwidth="narrow" endarrowlength="short"/>
                <v:textbox inset="2.53958mm,1.2694mm,2.53958mm,1.2694mm">
                  <w:txbxContent>
                    <w:p w:rsidR="00611418" w:rsidRDefault="00AE645D">
                      <w:pPr>
                        <w:spacing w:after="0" w:line="277" w:lineRule="auto"/>
                        <w:jc w:val="center"/>
                        <w:textDirection w:val="btLr"/>
                      </w:pPr>
                      <w:r>
                        <w:rPr>
                          <w:rFonts w:ascii="Times New Roman" w:eastAsia="Times New Roman" w:hAnsi="Times New Roman" w:cs="Times New Roman"/>
                          <w:b/>
                          <w:color w:val="000000"/>
                        </w:rPr>
                        <w:t>Amostra final:</w:t>
                      </w:r>
                    </w:p>
                    <w:p w:rsidR="00611418" w:rsidRDefault="00AE645D">
                      <w:pPr>
                        <w:spacing w:after="0" w:line="277" w:lineRule="auto"/>
                        <w:jc w:val="center"/>
                        <w:textDirection w:val="btLr"/>
                      </w:pPr>
                      <w:r>
                        <w:rPr>
                          <w:rFonts w:ascii="Times New Roman" w:eastAsia="Times New Roman" w:hAnsi="Times New Roman" w:cs="Times New Roman"/>
                          <w:color w:val="000000"/>
                        </w:rPr>
                        <w:t xml:space="preserve">10 artigos </w:t>
                      </w:r>
                    </w:p>
                  </w:txbxContent>
                </v:textbox>
              </v:rect>
            </w:pict>
          </mc:Fallback>
        </mc:AlternateContent>
      </w:r>
    </w:p>
    <w:p w:rsidR="00611418" w:rsidRDefault="00611418">
      <w:pPr>
        <w:spacing w:line="360" w:lineRule="auto"/>
        <w:jc w:val="both"/>
        <w:rPr>
          <w:b/>
          <w:bCs/>
        </w:rPr>
      </w:pP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Definida a amostra final, procedeu-se à organização dos estudos incluídos, com vistas a explicitar os elementos centrais de cada produção analisada. Essa sistematização permite visualizar, de maneira comparativa, informações como autoria, ano de publicação</w:t>
      </w:r>
      <w:r>
        <w:rPr>
          <w:rFonts w:ascii="Times New Roman" w:eastAsia="Times New Roman" w:hAnsi="Times New Roman" w:cs="Times New Roman"/>
        </w:rPr>
        <w:t>, objetivo, metodologia e principais resultados, favorecendo a compreensão do conjunto do material selecionado e oferecendo maior transparência ao processo analítico. Assim, apresenta-se o Quadro 2, com a caracterização dos estudos incluídos na revisão.</w:t>
      </w: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rPr>
          <w:rFonts w:ascii="Times New Roman" w:eastAsia="Times New Roman" w:hAnsi="Times New Roman" w:cs="Times New Roman"/>
        </w:rPr>
      </w:pPr>
      <w:r>
        <w:rPr>
          <w:rFonts w:ascii="Times New Roman" w:eastAsia="Times New Roman" w:hAnsi="Times New Roman" w:cs="Times New Roman"/>
        </w:rPr>
        <w:t>Q</w:t>
      </w:r>
      <w:r>
        <w:rPr>
          <w:rFonts w:ascii="Times New Roman" w:eastAsia="Times New Roman" w:hAnsi="Times New Roman" w:cs="Times New Roman"/>
        </w:rPr>
        <w:t>uadro 2 - Caracterização dos estudos incluídos na revisão</w:t>
      </w: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
        <w:gridCol w:w="1384"/>
        <w:gridCol w:w="1837"/>
        <w:gridCol w:w="1760"/>
        <w:gridCol w:w="1528"/>
        <w:gridCol w:w="2083"/>
      </w:tblGrid>
      <w:tr w:rsidR="00611418">
        <w:tc>
          <w:tcPr>
            <w:tcW w:w="469" w:type="dxa"/>
          </w:tcPr>
          <w:p w:rsidR="00611418" w:rsidRDefault="00AE645D">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lastRenderedPageBreak/>
              <w:t>Nº</w:t>
            </w:r>
          </w:p>
        </w:tc>
        <w:tc>
          <w:tcPr>
            <w:tcW w:w="1384" w:type="dxa"/>
          </w:tcPr>
          <w:p w:rsidR="00611418" w:rsidRDefault="00AE645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b/>
                <w:bCs/>
              </w:rPr>
              <w:t>Autor(es) / Ano</w:t>
            </w:r>
          </w:p>
        </w:tc>
        <w:tc>
          <w:tcPr>
            <w:tcW w:w="1837" w:type="dxa"/>
          </w:tcPr>
          <w:p w:rsidR="00611418" w:rsidRDefault="00AE645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b/>
                <w:bCs/>
              </w:rPr>
              <w:t>Título do estudo</w:t>
            </w:r>
          </w:p>
        </w:tc>
        <w:tc>
          <w:tcPr>
            <w:tcW w:w="1760" w:type="dxa"/>
          </w:tcPr>
          <w:p w:rsidR="00611418" w:rsidRDefault="00AE645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b/>
                <w:bCs/>
              </w:rPr>
              <w:t>Objetivo</w:t>
            </w:r>
          </w:p>
        </w:tc>
        <w:tc>
          <w:tcPr>
            <w:tcW w:w="1528" w:type="dxa"/>
          </w:tcPr>
          <w:p w:rsidR="00611418" w:rsidRDefault="00AE645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b/>
                <w:bCs/>
              </w:rPr>
              <w:t>Metodologia</w:t>
            </w:r>
          </w:p>
        </w:tc>
        <w:tc>
          <w:tcPr>
            <w:tcW w:w="2083" w:type="dxa"/>
          </w:tcPr>
          <w:p w:rsidR="00611418" w:rsidRDefault="00AE645D">
            <w:pPr>
              <w:spacing w:after="160" w:line="278" w:lineRule="auto"/>
              <w:jc w:val="center"/>
              <w:rPr>
                <w:rFonts w:ascii="Times New Roman" w:eastAsia="Times New Roman" w:hAnsi="Times New Roman" w:cs="Times New Roman"/>
                <w:b/>
                <w:bCs/>
              </w:rPr>
            </w:pPr>
            <w:r>
              <w:rPr>
                <w:rFonts w:ascii="Times New Roman" w:eastAsia="Times New Roman" w:hAnsi="Times New Roman" w:cs="Times New Roman"/>
                <w:b/>
                <w:bCs/>
              </w:rPr>
              <w:t>Principais resultados</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1</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Muccini (2025)</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Acessibilidade como um campo transdisciplinar de estágio: práticas disruptivas e inventivas na formação universitária</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Refletir sobre o estágio em acessibilidade no ensino superior</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Qualitativa, narrativa teórico-prática</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Estágio em acessibilidade atua como d</w:t>
            </w:r>
            <w:r>
              <w:rPr>
                <w:rFonts w:ascii="Times New Roman" w:eastAsia="Times New Roman" w:hAnsi="Times New Roman" w:cs="Times New Roman"/>
              </w:rPr>
              <w:t>ispositivo anticapacitista e promove inclusão institucional</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2</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Almeida et al. (2025)</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Barreiras e estratégias de acesso nas trajetórias de pessoas com deficiência no ensino superior</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barreiras e estratégias de acesso de estudantes com deficiência</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Qualitativa (entrevistas)</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Identifica barreiras arquitetônicas, pedagógicas e atitudinais persistentes</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3</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Pimentel e Miranda (2025)</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Acessibilidade de estudantes com deficiência ao ensino remoto em universidades da Bahia</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acessibilidade no ensino rem</w:t>
            </w:r>
            <w:r>
              <w:rPr>
                <w:rFonts w:ascii="Times New Roman" w:eastAsia="Times New Roman" w:hAnsi="Times New Roman" w:cs="Times New Roman"/>
              </w:rPr>
              <w:t>oto</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Qualitativa documental</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Ênfase na acessibilidade digital; lacunas em dimensões comunicacionais e atitudinais</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4</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Nascimento et al. (2022)</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Tecnologias assistivas para deficiência visual e auditiva ofertadas aos estudantes de medicina no Brasil</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Avaliar ofe</w:t>
            </w:r>
            <w:r>
              <w:rPr>
                <w:rFonts w:ascii="Times New Roman" w:eastAsia="Times New Roman" w:hAnsi="Times New Roman" w:cs="Times New Roman"/>
              </w:rPr>
              <w:t>rta de tecnologias assistivas</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Estudo descritivo (dados do INEP)</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Oferta de TA é desigual e incompleta, com maior presença em instituições privadas</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5</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Nogueira e Oliver (2022)</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 xml:space="preserve">Contribuições e desafios para a gestão de </w:t>
            </w:r>
            <w:r>
              <w:rPr>
                <w:rFonts w:ascii="Times New Roman" w:eastAsia="Times New Roman" w:hAnsi="Times New Roman" w:cs="Times New Roman"/>
              </w:rPr>
              <w:lastRenderedPageBreak/>
              <w:t>terapeutas ocupacionais em programas de inclusão no ensino superior</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Discutir atuação de terapeutas </w:t>
            </w:r>
            <w:r>
              <w:rPr>
                <w:rFonts w:ascii="Times New Roman" w:eastAsia="Times New Roman" w:hAnsi="Times New Roman" w:cs="Times New Roman"/>
              </w:rPr>
              <w:lastRenderedPageBreak/>
              <w:t>ocupacionais na inclusão</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lastRenderedPageBreak/>
              <w:t>Qualitativa (entrevistas)</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 xml:space="preserve">Profissionais atuam como mediadores na </w:t>
            </w:r>
            <w:r>
              <w:rPr>
                <w:rFonts w:ascii="Times New Roman" w:eastAsia="Times New Roman" w:hAnsi="Times New Roman" w:cs="Times New Roman"/>
              </w:rPr>
              <w:lastRenderedPageBreak/>
              <w:t>inclusão e permanência do</w:t>
            </w:r>
            <w:r>
              <w:rPr>
                <w:rFonts w:ascii="Times New Roman" w:eastAsia="Times New Roman" w:hAnsi="Times New Roman" w:cs="Times New Roman"/>
              </w:rPr>
              <w:t>s estudantes</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Silva e Pimentel (2022)</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 inclusão no ensino superior: vivências de estudantes com deficiência visual</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experiências de estudantes com deficiência visual</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Qualitativa (entrevistas)</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Presença de barreiras físicas, pedagógicas e atitudinais que impactam desempenho acadêmico</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7</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Martins et al. (2021)</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Serviços para estudantes com deficiência nas universidades: dificuldades e desafios</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serviços de apoio nas universidades</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Survey com 62 instituições</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Serviços são essenciais, mas ainda enfrentam limitações estruturais e de gestão</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8</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Silva e Pimentel (2021)</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Inclusão educacional da pessoa com deficiência visual no ensino superior</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produção científica sobre inclusão de de</w:t>
            </w:r>
            <w:r>
              <w:rPr>
                <w:rFonts w:ascii="Times New Roman" w:eastAsia="Times New Roman" w:hAnsi="Times New Roman" w:cs="Times New Roman"/>
              </w:rPr>
              <w:t>ficientes visuais</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Revisão integrativa</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Inclusão ainda depende de infraestrutura e formação docente adequada</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9</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Cantorani et al. (2020)</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 acessibilidade e a inclusão em uma instituição federal de ensino superior a partir da Lei n. 13.409</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implementaç</w:t>
            </w:r>
            <w:r>
              <w:rPr>
                <w:rFonts w:ascii="Times New Roman" w:eastAsia="Times New Roman" w:hAnsi="Times New Roman" w:cs="Times New Roman"/>
              </w:rPr>
              <w:t>ão da lei de cotas</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Estudo de caso qualitativo</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Instituições ainda não possuem estrutura adequada para inclusão efetiva</w:t>
            </w:r>
          </w:p>
        </w:tc>
      </w:tr>
      <w:tr w:rsidR="00611418">
        <w:tc>
          <w:tcPr>
            <w:tcW w:w="469" w:type="dxa"/>
          </w:tcPr>
          <w:p w:rsidR="00611418" w:rsidRDefault="00AE645D">
            <w:pPr>
              <w:spacing w:after="160" w:line="278" w:lineRule="auto"/>
              <w:rPr>
                <w:rFonts w:ascii="Times New Roman" w:eastAsia="Times New Roman" w:hAnsi="Times New Roman" w:cs="Times New Roman"/>
              </w:rPr>
            </w:pPr>
            <w:r>
              <w:rPr>
                <w:rFonts w:ascii="Times New Roman" w:eastAsia="Times New Roman" w:hAnsi="Times New Roman" w:cs="Times New Roman"/>
              </w:rPr>
              <w:t>10</w:t>
            </w:r>
          </w:p>
        </w:tc>
        <w:tc>
          <w:tcPr>
            <w:tcW w:w="1384"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Cabral et al. (2020)</w:t>
            </w:r>
          </w:p>
        </w:tc>
        <w:tc>
          <w:tcPr>
            <w:tcW w:w="1837"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O retrato da exclusão nas universidades brasileiras: os limites da inclusão</w:t>
            </w:r>
          </w:p>
        </w:tc>
        <w:tc>
          <w:tcPr>
            <w:tcW w:w="1760"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Analisar acesso de estudantes com deficiência no Brasil</w:t>
            </w:r>
          </w:p>
        </w:tc>
        <w:tc>
          <w:tcPr>
            <w:tcW w:w="1528"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Análise documental (IBGE e INEP)</w:t>
            </w:r>
          </w:p>
        </w:tc>
        <w:tc>
          <w:tcPr>
            <w:tcW w:w="2083" w:type="dxa"/>
          </w:tcPr>
          <w:p w:rsidR="00611418" w:rsidRDefault="00AE645D">
            <w:pPr>
              <w:spacing w:after="160" w:line="278" w:lineRule="auto"/>
              <w:jc w:val="both"/>
              <w:rPr>
                <w:rFonts w:ascii="Times New Roman" w:eastAsia="Times New Roman" w:hAnsi="Times New Roman" w:cs="Times New Roman"/>
              </w:rPr>
            </w:pPr>
            <w:r>
              <w:rPr>
                <w:rFonts w:ascii="Times New Roman" w:eastAsia="Times New Roman" w:hAnsi="Times New Roman" w:cs="Times New Roman"/>
              </w:rPr>
              <w:t>Persistência da exclusão e baixa representatividade no ensino superior</w:t>
            </w:r>
          </w:p>
        </w:tc>
      </w:tr>
    </w:tbl>
    <w:p w:rsidR="00611418" w:rsidRDefault="00AE645D">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Fonte: Elaborado pelo autor (2026)</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partir dessa composição final, os artigos selecionados for</w:t>
      </w:r>
      <w:r>
        <w:rPr>
          <w:rFonts w:ascii="Times New Roman" w:eastAsia="Times New Roman" w:hAnsi="Times New Roman" w:cs="Times New Roman"/>
        </w:rPr>
        <w:t>am submetidos à análise qualitativa de conteúdo, buscando identificar os principais núcleos temáticos presentes na literatura acerca da acessibilidade no ensino superior. Desse modo, a organização metodológica aqui descrita não apenas assegura rigor na sel</w:t>
      </w:r>
      <w:r>
        <w:rPr>
          <w:rFonts w:ascii="Times New Roman" w:eastAsia="Times New Roman" w:hAnsi="Times New Roman" w:cs="Times New Roman"/>
        </w:rPr>
        <w:t>eção dos estudos, mas também sustenta a análise crítica das produções reunidas, permitindo evidenciar as principais barreiras, desafios e estratégias de inclusão dirigidas aos estudantes com deficiência no contexto universitário.</w:t>
      </w:r>
    </w:p>
    <w:p w:rsidR="00611418" w:rsidRDefault="00611418">
      <w:pPr>
        <w:spacing w:after="0" w:line="360" w:lineRule="auto"/>
        <w:jc w:val="both"/>
        <w:rPr>
          <w:rFonts w:ascii="Times New Roman" w:eastAsia="Times New Roman" w:hAnsi="Times New Roman" w:cs="Times New Roman"/>
        </w:rPr>
      </w:pPr>
    </w:p>
    <w:p w:rsidR="00611418" w:rsidRDefault="00AE645D">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4 RESULTADOS E DISCUSSÕES</w:t>
      </w:r>
    </w:p>
    <w:p w:rsidR="00611418" w:rsidRDefault="00611418">
      <w:pPr>
        <w:spacing w:after="0" w:line="360" w:lineRule="auto"/>
        <w:jc w:val="both"/>
        <w:rPr>
          <w:rFonts w:ascii="Times New Roman" w:eastAsia="Times New Roman" w:hAnsi="Times New Roman" w:cs="Times New Roman"/>
          <w:b/>
          <w:bCs/>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análise dos estudos incluídos na revisão evidencia que a acessibilidade no ensino superior ainda se configura como um processo em construção, marcado por avanços pontuais, mas também por limitações estruturais, pedagógicas e institucionais. De modo geral</w:t>
      </w:r>
      <w:r>
        <w:rPr>
          <w:rFonts w:ascii="Times New Roman" w:eastAsia="Times New Roman" w:hAnsi="Times New Roman" w:cs="Times New Roman"/>
        </w:rPr>
        <w:t>, os resultados convergem para a compreensão de que a inclusão de estudantes com deficiência não se efetiva apenas pelo acesso às instituições, mas depende diretamente das condições de permanência e participação acadêmica.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Inicialmente, destaca-se que a pr</w:t>
      </w:r>
      <w:r>
        <w:rPr>
          <w:rFonts w:ascii="Times New Roman" w:eastAsia="Times New Roman" w:hAnsi="Times New Roman" w:cs="Times New Roman"/>
        </w:rPr>
        <w:t>esença de múltiplas barreiras permanece como elemento central nos estudos analisados. A pesquisa de Almeida et al. (2025) demonstra que, mesmo em instituições que possuem núcleos de inclusão, persistem barreiras arquitetônicas, pedagógicas e atitudinais qu</w:t>
      </w:r>
      <w:r>
        <w:rPr>
          <w:rFonts w:ascii="Times New Roman" w:eastAsia="Times New Roman" w:hAnsi="Times New Roman" w:cs="Times New Roman"/>
        </w:rPr>
        <w:t xml:space="preserve">e dificultam a efetivação das políticas inclusivas. Essa constatação é reforçada por Silva e Pimentel (2022), ao evidenciar que estudantes com deficiência visual enfrentam dificuldades relacionadas não apenas ao espaço físico, mas também à disponibilidade </w:t>
      </w:r>
      <w:r>
        <w:rPr>
          <w:rFonts w:ascii="Times New Roman" w:eastAsia="Times New Roman" w:hAnsi="Times New Roman" w:cs="Times New Roman"/>
        </w:rPr>
        <w:t>de recursos didáticos e ao preparo da comunidade acadêmica. Tais achados confirmam que as barreiras não são isoladas, mas interdependentes, impactando diretamente o desempenho acadêmico e a permanência dos estudantes.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disso, os dados indicam que as ba</w:t>
      </w:r>
      <w:r>
        <w:rPr>
          <w:rFonts w:ascii="Times New Roman" w:eastAsia="Times New Roman" w:hAnsi="Times New Roman" w:cs="Times New Roman"/>
        </w:rPr>
        <w:t>rreiras atitudinais e institucionais assumem papel estruturante nesse processo. Cabral et al. (2020), ao analisar dados nacionais, apontam que, apesar do avanço das políticas públicas, a presença de estudantes com deficiência no ensino superior ainda é red</w:t>
      </w:r>
      <w:r>
        <w:rPr>
          <w:rFonts w:ascii="Times New Roman" w:eastAsia="Times New Roman" w:hAnsi="Times New Roman" w:cs="Times New Roman"/>
        </w:rPr>
        <w:t xml:space="preserve">uzida, evidenciando um cenário persistente de exclusão. De forma complementar, o estudo de Cantorani et al. (2020) revela que, mesmo com a implementação de </w:t>
      </w:r>
      <w:r>
        <w:rPr>
          <w:rFonts w:ascii="Times New Roman" w:eastAsia="Times New Roman" w:hAnsi="Times New Roman" w:cs="Times New Roman"/>
        </w:rPr>
        <w:lastRenderedPageBreak/>
        <w:t>políticas como a Lei nº 13.409/2016, as instituições não apresentam condições adequadas para garanti</w:t>
      </w:r>
      <w:r>
        <w:rPr>
          <w:rFonts w:ascii="Times New Roman" w:eastAsia="Times New Roman" w:hAnsi="Times New Roman" w:cs="Times New Roman"/>
        </w:rPr>
        <w:t>r sua efetivação, transformando, muitas vezes, a inclusão formal em um processo de exclusão prática. Esses resultados evidenciam uma lacuna entre o que está previsto na legislação e sua materialização no cotidiano universitário.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Outro aspecto recorrente re</w:t>
      </w:r>
      <w:r>
        <w:rPr>
          <w:rFonts w:ascii="Times New Roman" w:eastAsia="Times New Roman" w:hAnsi="Times New Roman" w:cs="Times New Roman"/>
        </w:rPr>
        <w:t>fere-se às limitações na oferta de recursos e tecnologias assistivas. Nascimento et al. (2022) identificam que, embora a maioria dos cursos de medicina disponibilize algum tipo de tecnologia assistiva, essa oferta ocorre de forma incompleta e desigual, sen</w:t>
      </w:r>
      <w:r>
        <w:rPr>
          <w:rFonts w:ascii="Times New Roman" w:eastAsia="Times New Roman" w:hAnsi="Times New Roman" w:cs="Times New Roman"/>
        </w:rPr>
        <w:t>do mais frequente em instituições privadas. Esse dado reforça a existência de desigualdades no acesso aos recursos educacionais, ampliando as dificuldades enfrentadas pelos estudantes com deficiência e evidenciando a necessidade de políticas mais equitativ</w:t>
      </w:r>
      <w:r>
        <w:rPr>
          <w:rFonts w:ascii="Times New Roman" w:eastAsia="Times New Roman" w:hAnsi="Times New Roman" w:cs="Times New Roman"/>
        </w:rPr>
        <w:t>as.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No que se refere às estratégias institucionais de apoio, os estudos apontam avanços, mas também fragilidades. Martins et al. (2021) destacam que os serviços de apoio desempenham papel fundamental na inclusão, oferecendo suporte direto e indireto aos es</w:t>
      </w:r>
      <w:r>
        <w:rPr>
          <w:rFonts w:ascii="Times New Roman" w:eastAsia="Times New Roman" w:hAnsi="Times New Roman" w:cs="Times New Roman"/>
        </w:rPr>
        <w:t>tudantes, porém ainda enfrentam limitações relacionadas à gestão, autonomia e disponibilidade de recursos. Nessa mesma direção, Nogueira e Oliver (2022) evidenciam a importância da atuação de terapeutas ocupacionais como mediadores no processo de inclusão,</w:t>
      </w:r>
      <w:r>
        <w:rPr>
          <w:rFonts w:ascii="Times New Roman" w:eastAsia="Times New Roman" w:hAnsi="Times New Roman" w:cs="Times New Roman"/>
        </w:rPr>
        <w:t xml:space="preserve"> articulando demandas institucionais e necessidades individuais dos estudantes. Esses achados indicam que, embora existam iniciativas relevantes, elas ainda não são suficientes para garantir uma inclusão efetiva e sistematizada.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Outro ponto relevante refere-se às mudanças nas formas de ensino, especialmente no contexto do ensino remoto. O estudo de Pimentel e Miranda (2025) evidencia que, durante a pandemia, as instituições passaram a adotar estratégias voltadas à acessibilidade d</w:t>
      </w:r>
      <w:r>
        <w:rPr>
          <w:rFonts w:ascii="Times New Roman" w:eastAsia="Times New Roman" w:hAnsi="Times New Roman" w:cs="Times New Roman"/>
        </w:rPr>
        <w:t>igital, porém com lacunas importantes nas dimensões comunicacionais e atitudinais. Isso demonstra que a ampliação do uso de tecnologias não garante, por si só, a inclusão, sendo necessário considerar a acessibilidade de forma integral.</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Por outro lado, algu</w:t>
      </w:r>
      <w:r>
        <w:rPr>
          <w:rFonts w:ascii="Times New Roman" w:eastAsia="Times New Roman" w:hAnsi="Times New Roman" w:cs="Times New Roman"/>
        </w:rPr>
        <w:t>ns estudos apontam possibilidades de transformação no contexto universitário. Muccini (2025) destaca o estágio em acessibilidade como uma prática formativa capaz de promover mudanças institucionais e tensionar a cultura capacitista presente nas universidad</w:t>
      </w:r>
      <w:r>
        <w:rPr>
          <w:rFonts w:ascii="Times New Roman" w:eastAsia="Times New Roman" w:hAnsi="Times New Roman" w:cs="Times New Roman"/>
        </w:rPr>
        <w:t xml:space="preserve">es, configurando-se como um dispositivo de inclusão e formação crítica. De forma complementar, Silva e Pimentel (2021), ao realizarem uma revisão integrativa, indicam que a </w:t>
      </w:r>
      <w:r>
        <w:rPr>
          <w:rFonts w:ascii="Times New Roman" w:eastAsia="Times New Roman" w:hAnsi="Times New Roman" w:cs="Times New Roman"/>
        </w:rPr>
        <w:lastRenderedPageBreak/>
        <w:t>inclusão depende da articulação entre infraestrutura adequada, formação docente e d</w:t>
      </w:r>
      <w:r>
        <w:rPr>
          <w:rFonts w:ascii="Times New Roman" w:eastAsia="Times New Roman" w:hAnsi="Times New Roman" w:cs="Times New Roman"/>
        </w:rPr>
        <w:t>isponibilidade de recursos acessíveis.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Diante desse conjunto de evidências, observa-se que a inclusão no ensino superior brasileiro ainda está fortemente condicionada a fatores estruturais e institucionais, sendo insuficiente a existência de políticas de a</w:t>
      </w:r>
      <w:r>
        <w:rPr>
          <w:rFonts w:ascii="Times New Roman" w:eastAsia="Times New Roman" w:hAnsi="Times New Roman" w:cs="Times New Roman"/>
        </w:rPr>
        <w:t>cesso sem a garantia de condições efetivas de permanência. Os estudos analisados convergem ao demonstrar que a acessibilidade deve ser compreendida como um processo contínuo, que envolve não apenas adaptações físicas, mas também mudanças pedagógicas, cultu</w:t>
      </w:r>
      <w:r>
        <w:rPr>
          <w:rFonts w:ascii="Times New Roman" w:eastAsia="Times New Roman" w:hAnsi="Times New Roman" w:cs="Times New Roman"/>
        </w:rPr>
        <w:t>rais e organizacionais.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disso, ao analisar conjuntamente os estudos, observa-se uma contradição estrutural entre a expansão das políticas de acesso e a fragilidade das condições de permanência. Embora haja avanços normativos e ampliação do ingresso de</w:t>
      </w:r>
      <w:r>
        <w:rPr>
          <w:rFonts w:ascii="Times New Roman" w:eastAsia="Times New Roman" w:hAnsi="Times New Roman" w:cs="Times New Roman"/>
        </w:rPr>
        <w:t xml:space="preserve"> estudantes com deficiência no ensino superior, os resultados indicam que as instituições ainda operam sob uma lógica de inclusão parcial, na qual o acesso é garantido formalmente, mas não se traduz em participação efetiva. Essa dissociação evidencia que a</w:t>
      </w:r>
      <w:r>
        <w:rPr>
          <w:rFonts w:ascii="Times New Roman" w:eastAsia="Times New Roman" w:hAnsi="Times New Roman" w:cs="Times New Roman"/>
        </w:rPr>
        <w:t xml:space="preserve"> inclusão tem sido tratada, em muitos casos, como cumprimento de exigências legais, e não como um compromisso institucional com a transformação das práticas acadêmicas. Assim, a permanência dos estudantes continua condicionada à sua capacidade individual d</w:t>
      </w:r>
      <w:r>
        <w:rPr>
          <w:rFonts w:ascii="Times New Roman" w:eastAsia="Times New Roman" w:hAnsi="Times New Roman" w:cs="Times New Roman"/>
        </w:rPr>
        <w:t>e adaptação, o que revela a persistência de uma lógica integracionista no interior das universidades.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Outro aspecto que emerge de forma crítica refere-se à responsabilização indireta dos próprios estudantes com deficiência pelo enfrentamento das barreiras </w:t>
      </w:r>
      <w:r>
        <w:rPr>
          <w:rFonts w:ascii="Times New Roman" w:eastAsia="Times New Roman" w:hAnsi="Times New Roman" w:cs="Times New Roman"/>
        </w:rPr>
        <w:t>institucionais. Conforme apontado por Almeida et al. (2025), os estudantes frequentemente assumem o papel de identificar suas necessidades e propor soluções diante das limitações existentes. Essa dinâmica evidencia uma inversão de responsabilidades, na qua</w:t>
      </w:r>
      <w:r>
        <w:rPr>
          <w:rFonts w:ascii="Times New Roman" w:eastAsia="Times New Roman" w:hAnsi="Times New Roman" w:cs="Times New Roman"/>
        </w:rPr>
        <w:t>l a instituição, que deveria garantir condições de acessibilidade, transfere para o sujeito a tarefa de viabilizar sua própria inclusão. Tal cenário reforça desigualdades, uma vez que nem todos os estudantes possuem os mesmos recursos sociais, emocionais e</w:t>
      </w:r>
      <w:r>
        <w:rPr>
          <w:rFonts w:ascii="Times New Roman" w:eastAsia="Times New Roman" w:hAnsi="Times New Roman" w:cs="Times New Roman"/>
        </w:rPr>
        <w:t xml:space="preserve"> acadêmicos para lidar com essas exigências, contribuindo para processos de desgaste, exclusão e, em alguns casos, evasão.</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Por fim, os estudos analisados permitem problematizar a própria concepção de acessibilidade adotada no ensino superior, que ainda se </w:t>
      </w:r>
      <w:r>
        <w:rPr>
          <w:rFonts w:ascii="Times New Roman" w:eastAsia="Times New Roman" w:hAnsi="Times New Roman" w:cs="Times New Roman"/>
        </w:rPr>
        <w:t xml:space="preserve">apresenta, em muitos contextos, de forma fragmentada e reativa. A ênfase em soluções pontuais - como adaptações físicas isoladas </w:t>
      </w:r>
      <w:r>
        <w:rPr>
          <w:rFonts w:ascii="Times New Roman" w:eastAsia="Times New Roman" w:hAnsi="Times New Roman" w:cs="Times New Roman"/>
        </w:rPr>
        <w:lastRenderedPageBreak/>
        <w:t>ou oferta limitada de tecnologias assistivas - demonstra que a acessibilidade não tem sido incorporada como princípio estrutura</w:t>
      </w:r>
      <w:r>
        <w:rPr>
          <w:rFonts w:ascii="Times New Roman" w:eastAsia="Times New Roman" w:hAnsi="Times New Roman" w:cs="Times New Roman"/>
        </w:rPr>
        <w:t>nte das políticas educacionais. Nesse sentido, a ausência de uma abordagem sistêmica e integrada impede que as ações desenvolvidas produzam impactos duradouros. Torna-se evidente, portanto, a necessidade de avançar para um modelo de inclusão que não apenas</w:t>
      </w:r>
      <w:r>
        <w:rPr>
          <w:rFonts w:ascii="Times New Roman" w:eastAsia="Times New Roman" w:hAnsi="Times New Roman" w:cs="Times New Roman"/>
        </w:rPr>
        <w:t xml:space="preserve"> elimine barreiras, mas que reconfigure as práticas institucionais, pedagógicas e culturais, de modo a reconhecer a diversidade como elemento constitutivo do processo educativo e não como exceção a ser administrada.</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5 CONSIDERAÇÕES FINAIS </w:t>
      </w:r>
    </w:p>
    <w:p w:rsidR="00611418" w:rsidRDefault="00611418">
      <w:pPr>
        <w:spacing w:after="0" w:line="360" w:lineRule="auto"/>
        <w:jc w:val="both"/>
        <w:rPr>
          <w:rFonts w:ascii="Times New Roman" w:eastAsia="Times New Roman" w:hAnsi="Times New Roman" w:cs="Times New Roman"/>
        </w:rPr>
      </w:pP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partir da an</w:t>
      </w:r>
      <w:r>
        <w:rPr>
          <w:rFonts w:ascii="Times New Roman" w:eastAsia="Times New Roman" w:hAnsi="Times New Roman" w:cs="Times New Roman"/>
        </w:rPr>
        <w:t>álise dos estudos selecionados, foi possível constatar que a acessibilidade no ensino superior ainda se configura como um desafio complexo, marcado pela coexistência de avanços institucionais e persistência de barreiras estruturais e culturais. Embora as p</w:t>
      </w:r>
      <w:r>
        <w:rPr>
          <w:rFonts w:ascii="Times New Roman" w:eastAsia="Times New Roman" w:hAnsi="Times New Roman" w:cs="Times New Roman"/>
        </w:rPr>
        <w:t>olíticas públicas tenham contribuído para a ampliação do acesso de estudantes com deficiência às universidades, os resultados evidenciam que a inclusão não se efetiva de maneira plena, sobretudo no que se refere às condições de permanência e participação a</w:t>
      </w:r>
      <w:r>
        <w:rPr>
          <w:rFonts w:ascii="Times New Roman" w:eastAsia="Times New Roman" w:hAnsi="Times New Roman" w:cs="Times New Roman"/>
        </w:rPr>
        <w:t>cadêmica.</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Observou-se que as barreiras arquitetônicas, pedagógicas, comunicacionais e, principalmente, atitudinais continuam presentes no cotidiano das instituições, impactando diretamente a trajetória acadêmica desses estudantes. Além disso, verificou-se </w:t>
      </w:r>
      <w:r>
        <w:rPr>
          <w:rFonts w:ascii="Times New Roman" w:eastAsia="Times New Roman" w:hAnsi="Times New Roman" w:cs="Times New Roman"/>
        </w:rPr>
        <w:t>uma tendência de responsabilização individual, na qual os próprios estudantes assumem o papel de enfrentar e contornar as limitações institucionais, o que reforça desigualdades e evidencia fragilidades na implementação das políticas inclusivas.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Outro aspec</w:t>
      </w:r>
      <w:r>
        <w:rPr>
          <w:rFonts w:ascii="Times New Roman" w:eastAsia="Times New Roman" w:hAnsi="Times New Roman" w:cs="Times New Roman"/>
        </w:rPr>
        <w:t>to relevante diz respeito à distância entre a legislação e sua efetiva aplicação. Os estudos analisados indicam que, embora existam dispositivos legais que asseguram o direito à inclusão, as instituições ainda carecem de planejamento, recursos e articulaçã</w:t>
      </w:r>
      <w:r>
        <w:rPr>
          <w:rFonts w:ascii="Times New Roman" w:eastAsia="Times New Roman" w:hAnsi="Times New Roman" w:cs="Times New Roman"/>
        </w:rPr>
        <w:t>o interna para garantir sua concretização. Nesse sentido, a acessibilidade permanece, em muitos casos, restrita a ações pontuais e fragmentadas, sem se consolidar como um princípio estruturante das práticas educacionais.</w:t>
      </w:r>
    </w:p>
    <w:p w:rsidR="00611418" w:rsidRDefault="00AE645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Diante desse contexto, conclui-se q</w:t>
      </w:r>
      <w:r>
        <w:rPr>
          <w:rFonts w:ascii="Times New Roman" w:eastAsia="Times New Roman" w:hAnsi="Times New Roman" w:cs="Times New Roman"/>
        </w:rPr>
        <w:t xml:space="preserve">ue a promoção de um ensino superior inclusivo exige a superação de uma perspectiva centrada exclusivamente no acesso, avançando para a construção de condições efetivas de permanência, participação e sucesso acadêmico. Isso </w:t>
      </w:r>
      <w:r>
        <w:rPr>
          <w:rFonts w:ascii="Times New Roman" w:eastAsia="Times New Roman" w:hAnsi="Times New Roman" w:cs="Times New Roman"/>
        </w:rPr>
        <w:lastRenderedPageBreak/>
        <w:t>implica a adoção de políticas ins</w:t>
      </w:r>
      <w:r>
        <w:rPr>
          <w:rFonts w:ascii="Times New Roman" w:eastAsia="Times New Roman" w:hAnsi="Times New Roman" w:cs="Times New Roman"/>
        </w:rPr>
        <w:t>titucionais integradas, investimento em formação docente, ampliação de recursos acessíveis e, sobretudo, a transformação das práticas e culturas acadêmicas. Por fim, destaca-se a importância de novos estudos que aprofundem a compreensão sobre a inclusão no</w:t>
      </w:r>
      <w:r>
        <w:rPr>
          <w:rFonts w:ascii="Times New Roman" w:eastAsia="Times New Roman" w:hAnsi="Times New Roman" w:cs="Times New Roman"/>
        </w:rPr>
        <w:t xml:space="preserve"> ensino superior, especialmente a partir das experiências dos próprios estudantes com deficiência, contribuindo para o aprimoramento das políticas e práticas educacionais.</w:t>
      </w:r>
    </w:p>
    <w:p w:rsidR="00611418" w:rsidRDefault="00611418">
      <w:pPr>
        <w:spacing w:after="0" w:line="360" w:lineRule="auto"/>
        <w:ind w:firstLine="709"/>
        <w:jc w:val="both"/>
        <w:rPr>
          <w:rFonts w:ascii="Times New Roman" w:eastAsia="Times New Roman" w:hAnsi="Times New Roman" w:cs="Times New Roman"/>
        </w:rPr>
      </w:pPr>
    </w:p>
    <w:p w:rsidR="00611418" w:rsidRDefault="00AE645D">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REFERÊNCIAS BIBLIOGRÁFICAS</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ALMEIDA, Lidiane Pires dos Santos Ribeiro de et al. Bar</w:t>
      </w:r>
      <w:r>
        <w:rPr>
          <w:rFonts w:ascii="Times New Roman" w:eastAsia="Times New Roman" w:hAnsi="Times New Roman" w:cs="Times New Roman"/>
        </w:rPr>
        <w:t xml:space="preserve">reiras e estratégias de acesso nas trajetórias de pessoas com deficiência (PcD) no ensino superior: uma leitura a partir do conceito de territorialidades. </w:t>
      </w:r>
      <w:r>
        <w:rPr>
          <w:rFonts w:ascii="Times New Roman" w:eastAsia="Times New Roman" w:hAnsi="Times New Roman" w:cs="Times New Roman"/>
          <w:b/>
          <w:bCs/>
        </w:rPr>
        <w:t>Revista Brasileira de Educação Especial</w:t>
      </w:r>
      <w:r>
        <w:rPr>
          <w:rFonts w:ascii="Times New Roman" w:eastAsia="Times New Roman" w:hAnsi="Times New Roman" w:cs="Times New Roman"/>
        </w:rPr>
        <w:t xml:space="preserve">, Corumbá, v. 31, e0132, 2025. DOI: </w:t>
      </w:r>
      <w:hyperlink r:id="rId8">
        <w:r>
          <w:rPr>
            <w:rFonts w:ascii="Times New Roman" w:eastAsia="Times New Roman" w:hAnsi="Times New Roman" w:cs="Times New Roman"/>
            <w:color w:val="467886"/>
            <w:u w:val="single"/>
          </w:rPr>
          <w:t>https://doi.org/10.1590/1980-54702025v31e0132</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BATISTEL, Juliana; CARVALHO, Hilda Alberton. Acessibilidade e inclusão da pessoa com deficiência em centros esportivos–estudo de caso. </w:t>
      </w:r>
      <w:r>
        <w:rPr>
          <w:rFonts w:ascii="Times New Roman" w:eastAsia="Times New Roman" w:hAnsi="Times New Roman" w:cs="Times New Roman"/>
          <w:b/>
          <w:bCs/>
        </w:rPr>
        <w:t>Brazilian Journal of Development</w:t>
      </w:r>
      <w:r>
        <w:rPr>
          <w:rFonts w:ascii="Times New Roman" w:eastAsia="Times New Roman" w:hAnsi="Times New Roman" w:cs="Times New Roman"/>
        </w:rPr>
        <w:t>,</w:t>
      </w:r>
      <w:r>
        <w:rPr>
          <w:rFonts w:ascii="Times New Roman" w:eastAsia="Times New Roman" w:hAnsi="Times New Roman" w:cs="Times New Roman"/>
        </w:rPr>
        <w:t xml:space="preserve"> v. 7, n. 2, p. 12279-12294, 2021. Disponível em: </w:t>
      </w:r>
      <w:hyperlink r:id="rId9">
        <w:r>
          <w:rPr>
            <w:rFonts w:ascii="Times New Roman" w:eastAsia="Times New Roman" w:hAnsi="Times New Roman" w:cs="Times New Roman"/>
            <w:color w:val="467886"/>
            <w:u w:val="single"/>
          </w:rPr>
          <w:t>https://ojs.brazilianjournals.com.br/ojs/index.php/BRJD/article/view/24163</w:t>
        </w:r>
      </w:hyperlink>
      <w:r>
        <w:rPr>
          <w:rFonts w:ascii="Times New Roman" w:eastAsia="Times New Roman" w:hAnsi="Times New Roman" w:cs="Times New Roman"/>
        </w:rPr>
        <w:t xml:space="preserve"> Acesso em: 17/07/2025.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BUENO, C. L. R.; PAULA, A. R. Acessibilidade no mundo do trabalho. São Paulo: SORRIBRASIL, 2007.</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CABRAL, Leonardo Santos Amâncio; MELO, Francisco Ricardo Lins Vieira de. Entre a normatização e a legitimação do acesso, participação e formação do público-al</w:t>
      </w:r>
      <w:r>
        <w:rPr>
          <w:rFonts w:ascii="Times New Roman" w:eastAsia="Times New Roman" w:hAnsi="Times New Roman" w:cs="Times New Roman"/>
        </w:rPr>
        <w:t>vo da educação especial em instituições de ensino superior brasileiras. </w:t>
      </w:r>
      <w:r>
        <w:rPr>
          <w:rFonts w:ascii="Times New Roman" w:eastAsia="Times New Roman" w:hAnsi="Times New Roman" w:cs="Times New Roman"/>
          <w:b/>
          <w:bCs/>
        </w:rPr>
        <w:t>Educar em Revista</w:t>
      </w:r>
      <w:r>
        <w:rPr>
          <w:rFonts w:ascii="Times New Roman" w:eastAsia="Times New Roman" w:hAnsi="Times New Roman" w:cs="Times New Roman"/>
        </w:rPr>
        <w:t>, p. 55-70, 2017.</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CABRAL, Vinícius Neves de; ORLANDO, Rosimeire Maria; MELETTI, Silvia Márcia Ferreira. O retrato da exclusão nas universidades brasileiras: os limite</w:t>
      </w:r>
      <w:r>
        <w:rPr>
          <w:rFonts w:ascii="Times New Roman" w:eastAsia="Times New Roman" w:hAnsi="Times New Roman" w:cs="Times New Roman"/>
        </w:rPr>
        <w:t xml:space="preserve">s da inclusão. </w:t>
      </w:r>
      <w:r>
        <w:rPr>
          <w:rFonts w:ascii="Times New Roman" w:eastAsia="Times New Roman" w:hAnsi="Times New Roman" w:cs="Times New Roman"/>
          <w:b/>
          <w:bCs/>
        </w:rPr>
        <w:t>Educação &amp; Realidade</w:t>
      </w:r>
      <w:r>
        <w:rPr>
          <w:rFonts w:ascii="Times New Roman" w:eastAsia="Times New Roman" w:hAnsi="Times New Roman" w:cs="Times New Roman"/>
        </w:rPr>
        <w:t xml:space="preserve">, Porto Alegre, v. 45, n. 4, e105412, 2020. DOI: </w:t>
      </w:r>
      <w:hyperlink r:id="rId10">
        <w:r>
          <w:rPr>
            <w:rFonts w:ascii="Times New Roman" w:eastAsia="Times New Roman" w:hAnsi="Times New Roman" w:cs="Times New Roman"/>
            <w:color w:val="467886"/>
            <w:u w:val="single"/>
          </w:rPr>
          <w:t>http://dx.doi.org/10.1590/2175-6236105412</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CANTORANI, José Roberto Herrera et al. A acessibilidade e a inclus</w:t>
      </w:r>
      <w:r>
        <w:rPr>
          <w:rFonts w:ascii="Times New Roman" w:eastAsia="Times New Roman" w:hAnsi="Times New Roman" w:cs="Times New Roman"/>
        </w:rPr>
        <w:t xml:space="preserve">ão em uma instituição federal de ensino superior a partir da Lei n. 13.409. </w:t>
      </w:r>
      <w:r>
        <w:rPr>
          <w:rFonts w:ascii="Times New Roman" w:eastAsia="Times New Roman" w:hAnsi="Times New Roman" w:cs="Times New Roman"/>
          <w:b/>
          <w:bCs/>
        </w:rPr>
        <w:t>Revista Brasileira de Educação</w:t>
      </w:r>
      <w:r>
        <w:rPr>
          <w:rFonts w:ascii="Times New Roman" w:eastAsia="Times New Roman" w:hAnsi="Times New Roman" w:cs="Times New Roman"/>
        </w:rPr>
        <w:t xml:space="preserve">, v. 25, e250016, 2020. DOI: </w:t>
      </w:r>
      <w:hyperlink r:id="rId11">
        <w:r>
          <w:rPr>
            <w:rFonts w:ascii="Times New Roman" w:eastAsia="Times New Roman" w:hAnsi="Times New Roman" w:cs="Times New Roman"/>
            <w:color w:val="467886"/>
            <w:u w:val="single"/>
          </w:rPr>
          <w:t>https://doi.org/10.1590/S1413-24782020250016</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DUARTE, C</w:t>
      </w:r>
      <w:r>
        <w:rPr>
          <w:rFonts w:ascii="Times New Roman" w:eastAsia="Times New Roman" w:hAnsi="Times New Roman" w:cs="Times New Roman"/>
        </w:rPr>
        <w:t>ristiane Rose de Siqueira; COHEN, Regina. Acessibilidade emocional. </w:t>
      </w:r>
      <w:r>
        <w:rPr>
          <w:rFonts w:ascii="Times New Roman" w:eastAsia="Times New Roman" w:hAnsi="Times New Roman" w:cs="Times New Roman"/>
          <w:b/>
          <w:bCs/>
        </w:rPr>
        <w:t>VII Encontro Nacional de Ergonomia do Ambiente Construído/VIII Seminário Brasileiro de Acessibilidade Integral. Anais do</w:t>
      </w:r>
      <w:r>
        <w:rPr>
          <w:rFonts w:ascii="Times New Roman" w:eastAsia="Times New Roman" w:hAnsi="Times New Roman" w:cs="Times New Roman"/>
        </w:rPr>
        <w:t xml:space="preserve">, v. 4, n. 2, p. 6-10, 2018. Disponível em: </w:t>
      </w:r>
      <w:hyperlink r:id="rId12">
        <w:r>
          <w:rPr>
            <w:rFonts w:ascii="Times New Roman" w:eastAsia="Times New Roman" w:hAnsi="Times New Roman" w:cs="Times New Roman"/>
            <w:color w:val="467886"/>
            <w:u w:val="single"/>
          </w:rPr>
          <w:t>https://pdf.blucher.com.br/designproceedings/eneac2018/duarte.pdf</w:t>
        </w:r>
      </w:hyperlink>
      <w:r>
        <w:rPr>
          <w:rFonts w:ascii="Times New Roman" w:eastAsia="Times New Roman" w:hAnsi="Times New Roman" w:cs="Times New Roman"/>
        </w:rPr>
        <w:t xml:space="preserve"> Acesso em: 17/07/2025.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FREITAS, Marcos Cezar de. Educação inclusiva: diferenças entre acesso, acessibilida</w:t>
      </w:r>
      <w:r>
        <w:rPr>
          <w:rFonts w:ascii="Times New Roman" w:eastAsia="Times New Roman" w:hAnsi="Times New Roman" w:cs="Times New Roman"/>
        </w:rPr>
        <w:t>de e inclusão. </w:t>
      </w:r>
      <w:r>
        <w:rPr>
          <w:rFonts w:ascii="Times New Roman" w:eastAsia="Times New Roman" w:hAnsi="Times New Roman" w:cs="Times New Roman"/>
          <w:b/>
          <w:bCs/>
        </w:rPr>
        <w:t>Cadernos de Pesquisa</w:t>
      </w:r>
      <w:r>
        <w:rPr>
          <w:rFonts w:ascii="Times New Roman" w:eastAsia="Times New Roman" w:hAnsi="Times New Roman" w:cs="Times New Roman"/>
        </w:rPr>
        <w:t xml:space="preserve">, v. 53, p. e10084, 2023. Disponível em: </w:t>
      </w:r>
      <w:hyperlink r:id="rId13">
        <w:r>
          <w:rPr>
            <w:rFonts w:ascii="Times New Roman" w:eastAsia="Times New Roman" w:hAnsi="Times New Roman" w:cs="Times New Roman"/>
            <w:color w:val="467886"/>
            <w:u w:val="single"/>
          </w:rPr>
          <w:t>https://www.scielo.br/j/cp/a/VqdK7vhZtZMDtp6j5gLbfwv/?format=pdf&amp;lang=pt</w:t>
        </w:r>
      </w:hyperlink>
      <w:r>
        <w:rPr>
          <w:rFonts w:ascii="Times New Roman" w:eastAsia="Times New Roman" w:hAnsi="Times New Roman" w:cs="Times New Roman"/>
        </w:rPr>
        <w:t xml:space="preserve"> Acesso em: 17/0</w:t>
      </w:r>
      <w:r>
        <w:rPr>
          <w:rFonts w:ascii="Times New Roman" w:eastAsia="Times New Roman" w:hAnsi="Times New Roman" w:cs="Times New Roman"/>
        </w:rPr>
        <w:t>7/2025.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LIMA, Aleska Trindade; CARMO, M. A. Acessibilidade e inclusão no ensino superior: experiências e desafios à permanência de pessoas com deficiência. </w:t>
      </w:r>
      <w:r>
        <w:rPr>
          <w:rFonts w:ascii="Times New Roman" w:eastAsia="Times New Roman" w:hAnsi="Times New Roman" w:cs="Times New Roman"/>
          <w:b/>
          <w:bCs/>
        </w:rPr>
        <w:t>Revista Educação e Políticas em Debate</w:t>
      </w:r>
      <w:r>
        <w:rPr>
          <w:rFonts w:ascii="Times New Roman" w:eastAsia="Times New Roman" w:hAnsi="Times New Roman" w:cs="Times New Roman"/>
        </w:rPr>
        <w:t>, v. 12, n. 3, p. 1132-1150, 2023.</w:t>
      </w: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LIMA, Morgama Mara Nogueir</w:t>
      </w:r>
      <w:r>
        <w:rPr>
          <w:rFonts w:ascii="Times New Roman" w:eastAsia="Times New Roman" w:hAnsi="Times New Roman" w:cs="Times New Roman"/>
        </w:rPr>
        <w:t xml:space="preserve">a. Manual sobre acessibilidade e inclusão do aluno com deficiência no ensino básico. 2019. 133 p. </w:t>
      </w:r>
      <w:r>
        <w:rPr>
          <w:rFonts w:ascii="Times New Roman" w:eastAsia="Times New Roman" w:hAnsi="Times New Roman" w:cs="Times New Roman"/>
          <w:b/>
          <w:bCs/>
        </w:rPr>
        <w:t>Dissertação de Mestrado apresentada ao Programa de Pós-Graduação em Enfermagem (PPGENF)</w:t>
      </w:r>
      <w:r>
        <w:rPr>
          <w:rFonts w:ascii="Times New Roman" w:eastAsia="Times New Roman" w:hAnsi="Times New Roman" w:cs="Times New Roman"/>
        </w:rPr>
        <w:t>. Instituto de Instituto de Ciências da Saúde – ICS, Universidade da In</w:t>
      </w:r>
      <w:r>
        <w:rPr>
          <w:rFonts w:ascii="Times New Roman" w:eastAsia="Times New Roman" w:hAnsi="Times New Roman" w:cs="Times New Roman"/>
        </w:rPr>
        <w:t xml:space="preserve">tegração Internacional da Lusofonia Afro-Brasileira. Redenção, 2019. Disponível em: </w:t>
      </w:r>
      <w:hyperlink r:id="rId14">
        <w:r>
          <w:rPr>
            <w:rFonts w:ascii="Times New Roman" w:eastAsia="Times New Roman" w:hAnsi="Times New Roman" w:cs="Times New Roman"/>
            <w:color w:val="467886"/>
            <w:u w:val="single"/>
          </w:rPr>
          <w:t>https://repositorio.unilab.edu.br/jspui/handle/123456789/2140</w:t>
        </w:r>
      </w:hyperlink>
      <w:r>
        <w:rPr>
          <w:rFonts w:ascii="Times New Roman" w:eastAsia="Times New Roman" w:hAnsi="Times New Roman" w:cs="Times New Roman"/>
        </w:rPr>
        <w:t xml:space="preserve"> Acesso em: 17/07/2025.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MARTI</w:t>
      </w:r>
      <w:r>
        <w:rPr>
          <w:rFonts w:ascii="Times New Roman" w:eastAsia="Times New Roman" w:hAnsi="Times New Roman" w:cs="Times New Roman"/>
        </w:rPr>
        <w:t xml:space="preserve">NS, Maria Helena Venâncio et al. Serviços para estudantes com deficiência nas universidades: dificuldades e desafios. </w:t>
      </w:r>
      <w:r>
        <w:rPr>
          <w:rFonts w:ascii="Times New Roman" w:eastAsia="Times New Roman" w:hAnsi="Times New Roman" w:cs="Times New Roman"/>
          <w:b/>
          <w:bCs/>
        </w:rPr>
        <w:t>Educação em Revista</w:t>
      </w:r>
      <w:r>
        <w:rPr>
          <w:rFonts w:ascii="Times New Roman" w:eastAsia="Times New Roman" w:hAnsi="Times New Roman" w:cs="Times New Roman"/>
        </w:rPr>
        <w:t xml:space="preserve">, Belo Horizonte, v. 37, e27022, 2021. DOI: </w:t>
      </w:r>
      <w:hyperlink r:id="rId15">
        <w:r>
          <w:rPr>
            <w:rFonts w:ascii="Times New Roman" w:eastAsia="Times New Roman" w:hAnsi="Times New Roman" w:cs="Times New Roman"/>
            <w:color w:val="467886"/>
            <w:u w:val="single"/>
          </w:rPr>
          <w:t>https://doi.org/1</w:t>
        </w:r>
        <w:r>
          <w:rPr>
            <w:rFonts w:ascii="Times New Roman" w:eastAsia="Times New Roman" w:hAnsi="Times New Roman" w:cs="Times New Roman"/>
            <w:color w:val="467886"/>
            <w:u w:val="single"/>
          </w:rPr>
          <w:t>0.1590/0102-469827022</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MENDES, H. da S. F. </w:t>
      </w:r>
      <w:r>
        <w:rPr>
          <w:rFonts w:ascii="Times New Roman" w:eastAsia="Times New Roman" w:hAnsi="Times New Roman" w:cs="Times New Roman"/>
          <w:b/>
          <w:bCs/>
        </w:rPr>
        <w:t>A inclusão da pessoa com deficiência na Educação Superior:</w:t>
      </w:r>
      <w:r>
        <w:rPr>
          <w:rFonts w:ascii="Times New Roman" w:eastAsia="Times New Roman" w:hAnsi="Times New Roman" w:cs="Times New Roman"/>
        </w:rPr>
        <w:t xml:space="preserve"> um estudo sobre o acesso, permanência e aprendizagem. 2015. 121 f. Dissertação (Mestrado em Educação) - Universidade Estadual do Oeste do Paraná, Cascav</w:t>
      </w:r>
      <w:r>
        <w:rPr>
          <w:rFonts w:ascii="Times New Roman" w:eastAsia="Times New Roman" w:hAnsi="Times New Roman" w:cs="Times New Roman"/>
        </w:rPr>
        <w:t>el, 2015.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MUCCINI, Patrícia. Acessibilidade como um campo transdisciplinar de estágio: práticas disruptivas e inventivas na formação universitária. </w:t>
      </w:r>
      <w:r>
        <w:rPr>
          <w:rFonts w:ascii="Times New Roman" w:eastAsia="Times New Roman" w:hAnsi="Times New Roman" w:cs="Times New Roman"/>
          <w:b/>
          <w:bCs/>
        </w:rPr>
        <w:t>Educação e Pesquisa</w:t>
      </w:r>
      <w:r>
        <w:rPr>
          <w:rFonts w:ascii="Times New Roman" w:eastAsia="Times New Roman" w:hAnsi="Times New Roman" w:cs="Times New Roman"/>
        </w:rPr>
        <w:t xml:space="preserve">, São Paulo, v. 51, e282550, 2025. DOI: </w:t>
      </w:r>
      <w:hyperlink r:id="rId16">
        <w:r>
          <w:rPr>
            <w:rFonts w:ascii="Times New Roman" w:eastAsia="Times New Roman" w:hAnsi="Times New Roman" w:cs="Times New Roman"/>
            <w:color w:val="467886"/>
            <w:u w:val="single"/>
          </w:rPr>
          <w:t>https://doi.org/10.1590/S1678-4634202551282550por</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NASCIMENTO, Maria Isabel do et al. Tecnologias assistivas para deficiência visual e auditiva ofertadas aos estudantes de medicina no Brasil. </w:t>
      </w:r>
      <w:r>
        <w:rPr>
          <w:rFonts w:ascii="Times New Roman" w:eastAsia="Times New Roman" w:hAnsi="Times New Roman" w:cs="Times New Roman"/>
          <w:b/>
          <w:bCs/>
        </w:rPr>
        <w:t>Revista Brasileira de Educação Médica</w:t>
      </w:r>
      <w:r>
        <w:rPr>
          <w:rFonts w:ascii="Times New Roman" w:eastAsia="Times New Roman" w:hAnsi="Times New Roman" w:cs="Times New Roman"/>
        </w:rPr>
        <w:t>, v.</w:t>
      </w:r>
      <w:r>
        <w:rPr>
          <w:rFonts w:ascii="Times New Roman" w:eastAsia="Times New Roman" w:hAnsi="Times New Roman" w:cs="Times New Roman"/>
        </w:rPr>
        <w:t xml:space="preserve"> 46, n. 1, e037, 2022. DOI: </w:t>
      </w:r>
      <w:hyperlink r:id="rId17">
        <w:r>
          <w:rPr>
            <w:rFonts w:ascii="Times New Roman" w:eastAsia="Times New Roman" w:hAnsi="Times New Roman" w:cs="Times New Roman"/>
            <w:color w:val="467886"/>
            <w:u w:val="single"/>
          </w:rPr>
          <w:t>https://doi.org/10.1590/1981-5271v46.1-20210264</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NOGUEIRA, Lilian de Fatima Zanoni; OLIVER, Fátima Corrêa. Contribuições e desafios para a gestão de terapeutas</w:t>
      </w:r>
      <w:r>
        <w:rPr>
          <w:rFonts w:ascii="Times New Roman" w:eastAsia="Times New Roman" w:hAnsi="Times New Roman" w:cs="Times New Roman"/>
        </w:rPr>
        <w:t xml:space="preserve"> ocupacionais em programas de inclusão de estudantes com deficiência no ensino superior. </w:t>
      </w:r>
      <w:r>
        <w:rPr>
          <w:rFonts w:ascii="Times New Roman" w:eastAsia="Times New Roman" w:hAnsi="Times New Roman" w:cs="Times New Roman"/>
          <w:b/>
          <w:bCs/>
        </w:rPr>
        <w:t>Cadernos Brasileiros de Terapia Ocupacional</w:t>
      </w:r>
      <w:r>
        <w:rPr>
          <w:rFonts w:ascii="Times New Roman" w:eastAsia="Times New Roman" w:hAnsi="Times New Roman" w:cs="Times New Roman"/>
        </w:rPr>
        <w:t xml:space="preserve">, v. 30, e3146, 2022. DOI: </w:t>
      </w:r>
      <w:hyperlink r:id="rId18">
        <w:r>
          <w:rPr>
            <w:rFonts w:ascii="Times New Roman" w:eastAsia="Times New Roman" w:hAnsi="Times New Roman" w:cs="Times New Roman"/>
            <w:color w:val="467886"/>
            <w:u w:val="single"/>
          </w:rPr>
          <w:t>https://doi.org/10.1590/2526-8</w:t>
        </w:r>
        <w:r>
          <w:rPr>
            <w:rFonts w:ascii="Times New Roman" w:eastAsia="Times New Roman" w:hAnsi="Times New Roman" w:cs="Times New Roman"/>
            <w:color w:val="467886"/>
            <w:u w:val="single"/>
          </w:rPr>
          <w:t>910.ctoAO24113146</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PAGNI, Pedro Angelo. “Nada Sobre Nós Sem Corpo Comum”: Outro Paradigma Para Inclusão no Ensino Superior?. </w:t>
      </w:r>
      <w:r>
        <w:rPr>
          <w:rFonts w:ascii="Times New Roman" w:eastAsia="Times New Roman" w:hAnsi="Times New Roman" w:cs="Times New Roman"/>
          <w:b/>
          <w:bCs/>
        </w:rPr>
        <w:t>Educação em Revista</w:t>
      </w:r>
      <w:r>
        <w:rPr>
          <w:rFonts w:ascii="Times New Roman" w:eastAsia="Times New Roman" w:hAnsi="Times New Roman" w:cs="Times New Roman"/>
        </w:rPr>
        <w:t>, v. 40, p. e41595, 2024.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PIMENTEL, Susana Couto; MIRANDA, Theresinha Guimarães. Acessibilidade de estudantes com deficiência ao ensino remoto em universidades do sistema estadual da Bahia. </w:t>
      </w:r>
      <w:r>
        <w:rPr>
          <w:rFonts w:ascii="Times New Roman" w:eastAsia="Times New Roman" w:hAnsi="Times New Roman" w:cs="Times New Roman"/>
          <w:b/>
          <w:bCs/>
        </w:rPr>
        <w:t>Educação e Pesquisa</w:t>
      </w:r>
      <w:r>
        <w:rPr>
          <w:rFonts w:ascii="Times New Roman" w:eastAsia="Times New Roman" w:hAnsi="Times New Roman" w:cs="Times New Roman"/>
        </w:rPr>
        <w:t xml:space="preserve">, São Paulo, v. 51, e275076, 2025. DOI: </w:t>
      </w:r>
      <w:hyperlink r:id="rId19">
        <w:r>
          <w:rPr>
            <w:rFonts w:ascii="Times New Roman" w:eastAsia="Times New Roman" w:hAnsi="Times New Roman" w:cs="Times New Roman"/>
            <w:color w:val="467886"/>
            <w:u w:val="single"/>
          </w:rPr>
          <w:t>https://doi.org/10.1590/S1678-4634202551275076por</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PIMENTEL, Susana Couto; PIMENTEL, Mariana Couto. Acessibilidade para inclusão da pessoa com deficiência: sobre o que estamos falando?. </w:t>
      </w:r>
      <w:r>
        <w:rPr>
          <w:rFonts w:ascii="Times New Roman" w:eastAsia="Times New Roman" w:hAnsi="Times New Roman" w:cs="Times New Roman"/>
          <w:b/>
          <w:bCs/>
        </w:rPr>
        <w:t>Revista da FAEEBA-Educação e Contemporaneidade</w:t>
      </w:r>
      <w:r>
        <w:rPr>
          <w:rFonts w:ascii="Times New Roman" w:eastAsia="Times New Roman" w:hAnsi="Times New Roman" w:cs="Times New Roman"/>
        </w:rPr>
        <w:t xml:space="preserve">, v. 26, n. 50, p. 91-103, 2017. Disponível em: </w:t>
      </w:r>
      <w:hyperlink r:id="rId20">
        <w:r>
          <w:rPr>
            <w:rFonts w:ascii="Times New Roman" w:eastAsia="Times New Roman" w:hAnsi="Times New Roman" w:cs="Times New Roman"/>
            <w:color w:val="467886"/>
            <w:u w:val="single"/>
          </w:rPr>
          <w:t>https://www.revistas.uneb.br/index.php/faeeba/article/view/4265</w:t>
        </w:r>
      </w:hyperlink>
      <w:r>
        <w:rPr>
          <w:rFonts w:ascii="Times New Roman" w:eastAsia="Times New Roman" w:hAnsi="Times New Roman" w:cs="Times New Roman"/>
        </w:rPr>
        <w:t xml:space="preserve"> Acesso em: 17/0</w:t>
      </w:r>
      <w:r>
        <w:rPr>
          <w:rFonts w:ascii="Times New Roman" w:eastAsia="Times New Roman" w:hAnsi="Times New Roman" w:cs="Times New Roman"/>
        </w:rPr>
        <w:t>7/2025.</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RIBEIRO JÚNIOR, Giorgione Mendes. </w:t>
      </w:r>
      <w:r>
        <w:rPr>
          <w:rFonts w:ascii="Times New Roman" w:eastAsia="Times New Roman" w:hAnsi="Times New Roman" w:cs="Times New Roman"/>
          <w:b/>
          <w:bCs/>
        </w:rPr>
        <w:t>A percepção de alunos com deficiência sobre a gestão para a inclusão: o caso do IFPB - Campus João Pessoa</w:t>
      </w:r>
      <w:r>
        <w:rPr>
          <w:rFonts w:ascii="Times New Roman" w:eastAsia="Times New Roman" w:hAnsi="Times New Roman" w:cs="Times New Roman"/>
        </w:rPr>
        <w:t xml:space="preserve">. 2017. 101f. Dissertação (Mestrado Profissional em Gestão Pública) - Centro de Ciências Sociais Aplicadas, </w:t>
      </w:r>
      <w:r>
        <w:rPr>
          <w:rFonts w:ascii="Times New Roman" w:eastAsia="Times New Roman" w:hAnsi="Times New Roman" w:cs="Times New Roman"/>
        </w:rPr>
        <w:t>Universidade Federal do Rio Grande do Norte, Natal, 2017. Disponível em: https://repositorio.ufrn.br/ handle/123456789/23623. Acesso em: 29 jul. 2024.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RIBEIRO, D. M. </w:t>
      </w:r>
      <w:r>
        <w:rPr>
          <w:rFonts w:ascii="Times New Roman" w:eastAsia="Times New Roman" w:hAnsi="Times New Roman" w:cs="Times New Roman"/>
          <w:b/>
          <w:bCs/>
        </w:rPr>
        <w:t>Barreiras atitudinais:</w:t>
      </w:r>
      <w:r>
        <w:rPr>
          <w:rFonts w:ascii="Times New Roman" w:eastAsia="Times New Roman" w:hAnsi="Times New Roman" w:cs="Times New Roman"/>
        </w:rPr>
        <w:t xml:space="preserve"> obstáculos e desafios à inclusão de estudantes com deficiência no </w:t>
      </w:r>
      <w:r>
        <w:rPr>
          <w:rFonts w:ascii="Times New Roman" w:eastAsia="Times New Roman" w:hAnsi="Times New Roman" w:cs="Times New Roman"/>
        </w:rPr>
        <w:t>ensino superior. 2016. 114f. Dissertação (Mestrado em Educação) - Universidade Federal de Pernambuco, Recife, 2016.</w:t>
      </w: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SALAMANCA, Declaração. Declaração de Salamanca sobre princípios, política e práticas na área das necessidades educativas especiais. </w:t>
      </w:r>
      <w:r>
        <w:rPr>
          <w:rFonts w:ascii="Times New Roman" w:eastAsia="Times New Roman" w:hAnsi="Times New Roman" w:cs="Times New Roman"/>
          <w:b/>
          <w:bCs/>
        </w:rPr>
        <w:t>Recupera</w:t>
      </w:r>
      <w:r>
        <w:rPr>
          <w:rFonts w:ascii="Times New Roman" w:eastAsia="Times New Roman" w:hAnsi="Times New Roman" w:cs="Times New Roman"/>
          <w:b/>
          <w:bCs/>
        </w:rPr>
        <w:t>do de http://unesdoc. unesco. org/images/0013/001393/139394 por. pdf</w:t>
      </w:r>
      <w:r>
        <w:rPr>
          <w:rFonts w:ascii="Times New Roman" w:eastAsia="Times New Roman" w:hAnsi="Times New Roman" w:cs="Times New Roman"/>
        </w:rPr>
        <w:t>, 1994.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SARAIVA, Luzia Lívia Oliveira. </w:t>
      </w:r>
      <w:r>
        <w:rPr>
          <w:rFonts w:ascii="Times New Roman" w:eastAsia="Times New Roman" w:hAnsi="Times New Roman" w:cs="Times New Roman"/>
          <w:b/>
          <w:bCs/>
        </w:rPr>
        <w:t>Núcleos de acessibilidade e o atendimento a alunos com necessidades educacionais especiais nas universidades federais do nordeste brasileiro</w:t>
      </w:r>
      <w:r>
        <w:rPr>
          <w:rFonts w:ascii="Times New Roman" w:eastAsia="Times New Roman" w:hAnsi="Times New Roman" w:cs="Times New Roman"/>
        </w:rPr>
        <w:t xml:space="preserve">. 2015. </w:t>
      </w:r>
      <w:r>
        <w:rPr>
          <w:rFonts w:ascii="Times New Roman" w:eastAsia="Times New Roman" w:hAnsi="Times New Roman" w:cs="Times New Roman"/>
        </w:rPr>
        <w:t>191f. Dissertação (Mestrado em Educação) - Universidade Federal do Rio Grande do Norte, Natal. 2015. Disponível em: https://repositorio.ufrn.br/jspui/handle/123456789/20789. Acesso em: 29 jul. 2024.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SASSAKI, Romeu Kazumi. </w:t>
      </w:r>
      <w:r>
        <w:rPr>
          <w:rFonts w:ascii="Times New Roman" w:eastAsia="Times New Roman" w:hAnsi="Times New Roman" w:cs="Times New Roman"/>
          <w:b/>
          <w:bCs/>
        </w:rPr>
        <w:t>Inclusão: acessibilidade no lazer</w:t>
      </w:r>
      <w:r>
        <w:rPr>
          <w:rFonts w:ascii="Times New Roman" w:eastAsia="Times New Roman" w:hAnsi="Times New Roman" w:cs="Times New Roman"/>
          <w:b/>
          <w:bCs/>
        </w:rPr>
        <w:t>, trabalho e educação</w:t>
      </w:r>
      <w:r>
        <w:rPr>
          <w:rFonts w:ascii="Times New Roman" w:eastAsia="Times New Roman" w:hAnsi="Times New Roman" w:cs="Times New Roman"/>
        </w:rPr>
        <w:t>. Revista Nacional de Reabilitação (Reação), São Paulo, Ano XII, p. 10-16, mar. - Abr. 2009.   Disponível   em:   https://files.cercomp.ufg.br/weby/up/211/o/SASSAKI_-_Acessibilidade.pdf?1473203319. Acesso em: 29 jul. 2024.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SASSAKI, Ro</w:t>
      </w:r>
      <w:r>
        <w:rPr>
          <w:rFonts w:ascii="Times New Roman" w:eastAsia="Times New Roman" w:hAnsi="Times New Roman" w:cs="Times New Roman"/>
        </w:rPr>
        <w:t xml:space="preserve">meu Kazumi. </w:t>
      </w:r>
      <w:r>
        <w:rPr>
          <w:rFonts w:ascii="Times New Roman" w:eastAsia="Times New Roman" w:hAnsi="Times New Roman" w:cs="Times New Roman"/>
          <w:b/>
          <w:bCs/>
        </w:rPr>
        <w:t>Nada sobre nós, sem nós: da integração à inclusão – Parte 2</w:t>
      </w:r>
      <w:r>
        <w:rPr>
          <w:rFonts w:ascii="Times New Roman" w:eastAsia="Times New Roman" w:hAnsi="Times New Roman" w:cs="Times New Roman"/>
        </w:rPr>
        <w:t>. Revista Nacional de Reabilitação, ano X, n. 58, p.20-30, set.-out. 2007. Disponível em https:/</w:t>
      </w:r>
      <w:hyperlink r:id="rId21">
        <w:r>
          <w:rPr>
            <w:rFonts w:ascii="Times New Roman" w:eastAsia="Times New Roman" w:hAnsi="Times New Roman" w:cs="Times New Roman"/>
            <w:color w:val="467886"/>
            <w:u w:val="single"/>
          </w:rPr>
          <w:t>/www.</w:t>
        </w:r>
      </w:hyperlink>
      <w:r>
        <w:rPr>
          <w:rFonts w:ascii="Times New Roman" w:eastAsia="Times New Roman" w:hAnsi="Times New Roman" w:cs="Times New Roman"/>
        </w:rPr>
        <w:t xml:space="preserve"> sinprodf.org.br/wp-content/uploads/2012/01/nada-sobr</w:t>
      </w:r>
      <w:r>
        <w:rPr>
          <w:rFonts w:ascii="Times New Roman" w:eastAsia="Times New Roman" w:hAnsi="Times New Roman" w:cs="Times New Roman"/>
        </w:rPr>
        <w:t>e- n%C3%93s-sem-n%C3%93s2.pdf. Acesso em: 29 jul. 2024.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SILVA, J. S. S. da. </w:t>
      </w:r>
      <w:r>
        <w:rPr>
          <w:rFonts w:ascii="Times New Roman" w:eastAsia="Times New Roman" w:hAnsi="Times New Roman" w:cs="Times New Roman"/>
          <w:b/>
          <w:bCs/>
        </w:rPr>
        <w:t xml:space="preserve">Acessibilidade, barreiras e superação: estudo de caso de experiências de estudantes com deficiência na Educação Superior. </w:t>
      </w:r>
      <w:r>
        <w:rPr>
          <w:rFonts w:ascii="Times New Roman" w:eastAsia="Times New Roman" w:hAnsi="Times New Roman" w:cs="Times New Roman"/>
        </w:rPr>
        <w:t>2014. 242 f. Dissertação (Mestrado em Educação) – Univers</w:t>
      </w:r>
      <w:r>
        <w:rPr>
          <w:rFonts w:ascii="Times New Roman" w:eastAsia="Times New Roman" w:hAnsi="Times New Roman" w:cs="Times New Roman"/>
        </w:rPr>
        <w:t>idade Federal da Paraíba, João Pessoa, 2014.</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SILVA, Jailma Cruz da; PIMENTEL, Adriana Miranda. A inclusão no ensino superior: vivências de estudantes com deficiência visual. </w:t>
      </w:r>
      <w:r>
        <w:rPr>
          <w:rFonts w:ascii="Times New Roman" w:eastAsia="Times New Roman" w:hAnsi="Times New Roman" w:cs="Times New Roman"/>
          <w:b/>
          <w:bCs/>
        </w:rPr>
        <w:t>Revista Brasileira de Educação Especial</w:t>
      </w:r>
      <w:r>
        <w:rPr>
          <w:rFonts w:ascii="Times New Roman" w:eastAsia="Times New Roman" w:hAnsi="Times New Roman" w:cs="Times New Roman"/>
        </w:rPr>
        <w:t>, Bauru, v. 28, e0012, p. 121-138, 2022. D</w:t>
      </w:r>
      <w:r>
        <w:rPr>
          <w:rFonts w:ascii="Times New Roman" w:eastAsia="Times New Roman" w:hAnsi="Times New Roman" w:cs="Times New Roman"/>
        </w:rPr>
        <w:t xml:space="preserve">OI: </w:t>
      </w:r>
      <w:hyperlink r:id="rId22">
        <w:r>
          <w:rPr>
            <w:rFonts w:ascii="Times New Roman" w:eastAsia="Times New Roman" w:hAnsi="Times New Roman" w:cs="Times New Roman"/>
            <w:color w:val="467886"/>
            <w:u w:val="single"/>
          </w:rPr>
          <w:t>https://doi.org/10.1590/1980-54702022v28e0012</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SILVA, Jailma Cruz da; PIMENTEL, Adriana Miranda. Inclusão educacional da pessoa com deficiência visual no ensino superior. </w:t>
      </w:r>
      <w:r>
        <w:rPr>
          <w:rFonts w:ascii="Times New Roman" w:eastAsia="Times New Roman" w:hAnsi="Times New Roman" w:cs="Times New Roman"/>
          <w:b/>
          <w:bCs/>
        </w:rPr>
        <w:t>Cadernos Brasi</w:t>
      </w:r>
      <w:r>
        <w:rPr>
          <w:rFonts w:ascii="Times New Roman" w:eastAsia="Times New Roman" w:hAnsi="Times New Roman" w:cs="Times New Roman"/>
          <w:b/>
          <w:bCs/>
        </w:rPr>
        <w:t>leiros de Terapia Ocupacional</w:t>
      </w:r>
      <w:r>
        <w:rPr>
          <w:rFonts w:ascii="Times New Roman" w:eastAsia="Times New Roman" w:hAnsi="Times New Roman" w:cs="Times New Roman"/>
        </w:rPr>
        <w:t xml:space="preserve">, v. 29, e2904, 2021. DOI: </w:t>
      </w:r>
      <w:hyperlink r:id="rId23">
        <w:r>
          <w:rPr>
            <w:rFonts w:ascii="Times New Roman" w:eastAsia="Times New Roman" w:hAnsi="Times New Roman" w:cs="Times New Roman"/>
            <w:color w:val="467886"/>
            <w:u w:val="single"/>
          </w:rPr>
          <w:t>https://doi.org/10.1590/2526-8910.ctoAR2193</w:t>
        </w:r>
      </w:hyperlink>
      <w:r>
        <w:rPr>
          <w:rFonts w:ascii="Times New Roman" w:eastAsia="Times New Roman" w:hAnsi="Times New Roman" w:cs="Times New Roman"/>
        </w:rPr>
        <w:t xml:space="preserve">. </w:t>
      </w:r>
    </w:p>
    <w:p w:rsidR="00611418" w:rsidRDefault="00611418">
      <w:pPr>
        <w:spacing w:after="0" w:line="240" w:lineRule="auto"/>
        <w:jc w:val="both"/>
        <w:rPr>
          <w:rFonts w:ascii="Times New Roman" w:eastAsia="Times New Roman" w:hAnsi="Times New Roman" w:cs="Times New Roman"/>
        </w:rPr>
      </w:pPr>
    </w:p>
    <w:p w:rsidR="00611418" w:rsidRDefault="00AE645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TEIXEIRA, Francileuda de Lima Linhares; SUMIYA, Lilia Asuca. Barreiras de Acessibilidade n</w:t>
      </w:r>
      <w:r>
        <w:rPr>
          <w:rFonts w:ascii="Times New Roman" w:eastAsia="Times New Roman" w:hAnsi="Times New Roman" w:cs="Times New Roman"/>
        </w:rPr>
        <w:t>a Educação Superior: a Percepção dos Discentes. </w:t>
      </w:r>
      <w:r>
        <w:rPr>
          <w:rFonts w:ascii="Times New Roman" w:eastAsia="Times New Roman" w:hAnsi="Times New Roman" w:cs="Times New Roman"/>
          <w:b/>
          <w:bCs/>
        </w:rPr>
        <w:t>Revista Diálogos e Perspectivas em Educação Especial</w:t>
      </w:r>
      <w:r>
        <w:rPr>
          <w:rFonts w:ascii="Times New Roman" w:eastAsia="Times New Roman" w:hAnsi="Times New Roman" w:cs="Times New Roman"/>
        </w:rPr>
        <w:t xml:space="preserve">, v. 11, n. 3, p. e0240029-e0240029, 2024. Disponível em: </w:t>
      </w:r>
      <w:hyperlink r:id="rId24">
        <w:r>
          <w:rPr>
            <w:rFonts w:ascii="Times New Roman" w:eastAsia="Times New Roman" w:hAnsi="Times New Roman" w:cs="Times New Roman"/>
            <w:color w:val="467886"/>
            <w:u w:val="single"/>
          </w:rPr>
          <w:t>https://revistas.marilia.unesp.br/index.php/dialogoseperspectivas/article/view/16352</w:t>
        </w:r>
      </w:hyperlink>
      <w:r>
        <w:rPr>
          <w:rFonts w:ascii="Times New Roman" w:eastAsia="Times New Roman" w:hAnsi="Times New Roman" w:cs="Times New Roman"/>
        </w:rPr>
        <w:t xml:space="preserve"> Acesso em: 17/07/2025.</w:t>
      </w:r>
    </w:p>
    <w:p w:rsidR="00611418" w:rsidRDefault="00611418">
      <w:pPr>
        <w:spacing w:after="0" w:line="360" w:lineRule="auto"/>
        <w:jc w:val="both"/>
        <w:rPr>
          <w:rFonts w:ascii="Times New Roman" w:eastAsia="Times New Roman" w:hAnsi="Times New Roman" w:cs="Times New Roman"/>
        </w:rPr>
      </w:pPr>
    </w:p>
    <w:sectPr w:rsidR="00611418">
      <w:headerReference w:type="default" r:id="rId25"/>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45D" w:rsidRDefault="00AE645D">
      <w:pPr>
        <w:spacing w:after="0" w:line="240" w:lineRule="auto"/>
      </w:pPr>
      <w:r>
        <w:separator/>
      </w:r>
    </w:p>
  </w:endnote>
  <w:endnote w:type="continuationSeparator" w:id="0">
    <w:p w:rsidR="00AE645D" w:rsidRDefault="00AE6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auto"/>
    <w:pitch w:val="default"/>
  </w:font>
  <w:font w:name="Play">
    <w:charset w:val="00"/>
    <w:family w:val="auto"/>
    <w:pitch w:val="default"/>
    <w:embedRegular r:id="rId1" w:fontKey="{322346B2-3971-4DB1-9851-58338BCC573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57B4FD9-978B-472F-86D4-8BE5266A9A2B}"/>
  </w:font>
  <w:font w:name="Cambria">
    <w:panose1 w:val="02040503050406030204"/>
    <w:charset w:val="00"/>
    <w:family w:val="roman"/>
    <w:pitch w:val="variable"/>
    <w:sig w:usb0="E00006FF" w:usb1="420024FF" w:usb2="02000000" w:usb3="00000000" w:csb0="0000019F" w:csb1="00000000"/>
    <w:embedRegular r:id="rId3" w:fontKey="{F8206335-AD67-4E52-BE8C-947AC41A5D46}"/>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45D" w:rsidRDefault="00AE645D">
      <w:pPr>
        <w:spacing w:after="0" w:line="240" w:lineRule="auto"/>
      </w:pPr>
      <w:r>
        <w:separator/>
      </w:r>
    </w:p>
  </w:footnote>
  <w:footnote w:type="continuationSeparator" w:id="0">
    <w:p w:rsidR="00AE645D" w:rsidRDefault="00AE6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760" w:rsidRDefault="00D20760">
    <w:pPr>
      <w:pStyle w:val="Cabealho"/>
    </w:pPr>
    <w:r>
      <w:rPr>
        <w:noProof/>
      </w:rPr>
      <w:drawing>
        <wp:inline distT="0" distB="0" distL="114300" distR="114300" wp14:anchorId="594BBA69" wp14:editId="493B468E">
          <wp:extent cx="5756910" cy="1344295"/>
          <wp:effectExtent l="0" t="0" r="0" b="0"/>
          <wp:docPr id="15" name="Imagem 15"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p w:rsidR="00D20760" w:rsidRDefault="00D2076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18"/>
    <w:rsid w:val="00611418"/>
    <w:rsid w:val="00AE645D"/>
    <w:rsid w:val="00D20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5C14"/>
  <w15:docId w15:val="{D5E9BA22-80DB-4D93-85C7-98B4E50C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paragraph" w:styleId="Subttulo">
    <w:name w:val="Subtitle"/>
    <w:basedOn w:val="Normal"/>
    <w:next w:val="Normal"/>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qFormat/>
    <w:rsid w:val="00D20760"/>
    <w:pPr>
      <w:spacing w:before="100" w:beforeAutospacing="1" w:after="100" w:afterAutospacing="1" w:line="240" w:lineRule="auto"/>
    </w:pPr>
    <w:rPr>
      <w:rFonts w:ascii="Times New Roman" w:eastAsia="Times New Roman" w:hAnsi="Times New Roman" w:cs="Times New Roman"/>
    </w:rPr>
  </w:style>
  <w:style w:type="paragraph" w:styleId="Cabealho">
    <w:name w:val="header"/>
    <w:basedOn w:val="Normal"/>
    <w:link w:val="CabealhoChar"/>
    <w:uiPriority w:val="99"/>
    <w:unhideWhenUsed/>
    <w:rsid w:val="00D207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0760"/>
  </w:style>
  <w:style w:type="paragraph" w:styleId="Rodap">
    <w:name w:val="footer"/>
    <w:basedOn w:val="Normal"/>
    <w:link w:val="RodapChar"/>
    <w:uiPriority w:val="99"/>
    <w:unhideWhenUsed/>
    <w:rsid w:val="00D20760"/>
    <w:pPr>
      <w:tabs>
        <w:tab w:val="center" w:pos="4252"/>
        <w:tab w:val="right" w:pos="8504"/>
      </w:tabs>
      <w:spacing w:after="0" w:line="240" w:lineRule="auto"/>
    </w:pPr>
  </w:style>
  <w:style w:type="character" w:customStyle="1" w:styleId="RodapChar">
    <w:name w:val="Rodapé Char"/>
    <w:basedOn w:val="Fontepargpadro"/>
    <w:link w:val="Rodap"/>
    <w:uiPriority w:val="99"/>
    <w:rsid w:val="00D20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1980-54702025v31e0132" TargetMode="External"/><Relationship Id="rId13" Type="http://schemas.openxmlformats.org/officeDocument/2006/relationships/hyperlink" Target="https://www.scielo.br/j/cp/a/VqdK7vhZtZMDtp6j5gLbfwv/?format=pdf&amp;lang=pt" TargetMode="External"/><Relationship Id="rId18" Type="http://schemas.openxmlformats.org/officeDocument/2006/relationships/hyperlink" Target="https://doi.org/10.1590/2526-8910.ctoAO2411314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 TargetMode="External"/><Relationship Id="rId7" Type="http://schemas.openxmlformats.org/officeDocument/2006/relationships/image" Target="media/image1.png"/><Relationship Id="rId12" Type="http://schemas.openxmlformats.org/officeDocument/2006/relationships/hyperlink" Target="https://pdf.blucher.com.br/designproceedings/eneac2018/duarte.pdf" TargetMode="External"/><Relationship Id="rId17" Type="http://schemas.openxmlformats.org/officeDocument/2006/relationships/hyperlink" Target="https://doi.org/10.1590/1981-5271v46.1-20210264"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doi.org/10.1590/S1678-4634202551282550por" TargetMode="External"/><Relationship Id="rId20" Type="http://schemas.openxmlformats.org/officeDocument/2006/relationships/hyperlink" Target="https://www.revistas.uneb.br/index.php/faeeba/article/view/4265" TargetMode="External"/><Relationship Id="rId1" Type="http://schemas.openxmlformats.org/officeDocument/2006/relationships/styles" Target="styles.xml"/><Relationship Id="rId11" Type="http://schemas.openxmlformats.org/officeDocument/2006/relationships/hyperlink" Target="https://doi.org/10.1590/S1413-24782020250016" TargetMode="External"/><Relationship Id="rId24" Type="http://schemas.openxmlformats.org/officeDocument/2006/relationships/hyperlink" Target="https://revistas.marilia.unesp.br/index.php/dialogoseperspectivas/article/view/16352" TargetMode="External"/><Relationship Id="rId5" Type="http://schemas.openxmlformats.org/officeDocument/2006/relationships/endnotes" Target="endnotes.xml"/><Relationship Id="rId15" Type="http://schemas.openxmlformats.org/officeDocument/2006/relationships/hyperlink" Target="https://doi.org/10.1590/0102-469827022" TargetMode="External"/><Relationship Id="rId23" Type="http://schemas.openxmlformats.org/officeDocument/2006/relationships/hyperlink" Target="https://doi.org/10.1590/2526-8910.ctoAR2193" TargetMode="External"/><Relationship Id="rId10" Type="http://schemas.openxmlformats.org/officeDocument/2006/relationships/hyperlink" Target="http://dx.doi.org/10.1590/2175-6236105412" TargetMode="External"/><Relationship Id="rId19" Type="http://schemas.openxmlformats.org/officeDocument/2006/relationships/hyperlink" Target="https://doi.org/10.1590/S1678-4634202551275076por" TargetMode="External"/><Relationship Id="rId4" Type="http://schemas.openxmlformats.org/officeDocument/2006/relationships/footnotes" Target="footnotes.xml"/><Relationship Id="rId9" Type="http://schemas.openxmlformats.org/officeDocument/2006/relationships/hyperlink" Target="https://ojs.brazilianjournals.com.br/ojs/index.php/BRJD/article/view/24163" TargetMode="External"/><Relationship Id="rId14" Type="http://schemas.openxmlformats.org/officeDocument/2006/relationships/hyperlink" Target="https://repositorio.unilab.edu.br/jspui/handle/123456789/2140" TargetMode="External"/><Relationship Id="rId22" Type="http://schemas.openxmlformats.org/officeDocument/2006/relationships/hyperlink" Target="https://doi.org/10.1590/1980-54702022v28e0012"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6234</Words>
  <Characters>33664</Characters>
  <Application>Microsoft Office Word</Application>
  <DocSecurity>0</DocSecurity>
  <Lines>280</Lines>
  <Paragraphs>79</Paragraphs>
  <ScaleCrop>false</ScaleCrop>
  <Company/>
  <LinksUpToDate>false</LinksUpToDate>
  <CharactersWithSpaces>39819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RICARDO SANTANA</cp:lastModifiedBy>
  <cp:revision>3</cp:revision>
  <dcterms:created xsi:type="dcterms:W3CDTF">2026-05-03T17:30:00Z</dcterms:created>
  <dcterms:modified xsi:type="dcterms:W3CDTF">2026-05-03T17:37:00Z</dcterms:modified>
</cp:coreProperties>
</file>