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78" w:line="276" w:lineRule="auto"/>
        <w:ind w:left="0" w:right="1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RESINA BULK FILL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Layssa da Silva Martins VALENTE 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1 </w:t>
      </w:r>
      <w:r w:rsidDel="00000000" w:rsidR="00000000" w:rsidRPr="00000000">
        <w:rPr>
          <w:b w:val="1"/>
          <w:sz w:val="22"/>
          <w:szCs w:val="22"/>
          <w:rtl w:val="0"/>
        </w:rPr>
        <w:t xml:space="preserve">- </w:t>
      </w:r>
      <w:hyperlink r:id="rId7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layssamartins6@gmail.com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Fernanda Ingred dos Santos da SILVA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2 </w:t>
      </w:r>
      <w:r w:rsidDel="00000000" w:rsidR="00000000" w:rsidRPr="00000000">
        <w:rPr>
          <w:b w:val="1"/>
          <w:sz w:val="22"/>
          <w:szCs w:val="22"/>
          <w:rtl w:val="0"/>
        </w:rPr>
        <w:t xml:space="preserve">- </w:t>
      </w: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ssfernandaingred@gmail.com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Lícia Carvalho LAGES 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22"/>
          <w:szCs w:val="22"/>
          <w:rtl w:val="0"/>
        </w:rPr>
        <w:t xml:space="preserve"> - </w:t>
      </w: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licialages@icloud.com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Rosilda Cristina Gomes de MESQUITA 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b w:val="1"/>
          <w:sz w:val="22"/>
          <w:szCs w:val="22"/>
          <w:rtl w:val="0"/>
        </w:rPr>
        <w:t xml:space="preserve"> -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rosildacristinagomesmesquita@gmail.com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Mirlane Araújo dos SANTOS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 - </w:t>
      </w: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mirlaa1106@gmail.com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Nalanda Paixão Campos SILVA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 -  </w:t>
      </w:r>
      <w:hyperlink r:id="rId12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nalandapaixao220@hotmail.com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Ohanna Sandy Lima Sousa MOURA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7</w:t>
      </w:r>
      <w:r w:rsidDel="00000000" w:rsidR="00000000" w:rsidRPr="00000000">
        <w:rPr>
          <w:b w:val="1"/>
          <w:sz w:val="22"/>
          <w:szCs w:val="22"/>
          <w:rtl w:val="0"/>
        </w:rPr>
        <w:t xml:space="preserve"> - </w:t>
      </w:r>
      <w:hyperlink r:id="rId13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ohannasandy@hotmail.com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Thalya Rodrigue da SILVA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8</w:t>
      </w:r>
      <w:r w:rsidDel="00000000" w:rsidR="00000000" w:rsidRPr="00000000">
        <w:rPr>
          <w:b w:val="1"/>
          <w:sz w:val="22"/>
          <w:szCs w:val="22"/>
          <w:rtl w:val="0"/>
        </w:rPr>
        <w:t xml:space="preserve"> - </w:t>
      </w:r>
      <w:hyperlink r:id="rId14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thalyarodrigues591@gmail.com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Thais Oliveira CORDEIRO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rtl w:val="0"/>
        </w:rPr>
        <w:t xml:space="preserve"> - </w:t>
      </w:r>
      <w:hyperlink r:id="rId15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thaiscordeiro@unifsa.com.br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line="276" w:lineRule="auto"/>
        <w:ind w:right="66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Os compósitos do tipo BulkFill surgiram com o objetivo de facilitar a técnica restauradora, permitindo inserções em camadas de 4 a 5 mm. Estão disponíveis em versões de baixa (tipo flow) e alta viscosidade (tipo pasta). Os de baixa viscosidade são aplicados com pontas específicas e, frequentemente, necessitam de cobertura com resina convencional. Já os de alta viscosidade possuem maior translucidez e fotoiniciadores que garantem polimerização adequada, mesmo em profundidade  (FRANÇA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et al., </w:t>
      </w:r>
      <w:r w:rsidDel="00000000" w:rsidR="00000000" w:rsidRPr="00000000">
        <w:rPr>
          <w:rFonts w:ascii="Arial" w:cs="Arial" w:eastAsia="Arial" w:hAnsi="Arial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Revisar a literatura científica disponível sobre as resinas compostas do tipo BulkFill, abordando suas características, vantagens, limitações e eficácia clínica em comparação às resinas convencionais.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METODOLOGIA: </w:t>
      </w:r>
      <w:r w:rsidDel="00000000" w:rsidR="00000000" w:rsidRPr="00000000">
        <w:rPr>
          <w:rFonts w:ascii="Arial" w:cs="Arial" w:eastAsia="Arial" w:hAnsi="Arial"/>
          <w:rtl w:val="0"/>
        </w:rPr>
        <w:t xml:space="preserve">Foi realizada uma revisão de literatura na base de dados PubMed. A pesquisa foi conduzida por oito pesquisadores durante maio de 2025, incluindo artigos publicados entre 2020 e 2025.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As resinas compostas BulkFill têm se mostrado eficazes na otimização do tempo clínico em restaurações de Classes I, II e V, mantendo boa qualidade. Permitem aplicação em camadas espessas (4-5 mm) e apresentam baixa hipersensibilidade pós-operatória. A taxa de sucesso é alta (98% após 1 ano), especialmente em Classe V. Esteticamente, podem sofrer alterações de cor após a fotopolimerização, principalmente nas versões de baixa viscosidade. Todas apresentam boa sorção e solubilidade, com variações na resistência mecânica e estabilidade de cor.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As resinas bulk-fill apresentam desempenho clínico e físico-mecânico satisfatório, com vantagem na redução do tempo operatório e boa sorção e solubilidade.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Resina BulkFill, BulkFill Resin Composite, Resina Composta de Incremento Único, Restauração Posterior com BulkFill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E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1F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-662937</wp:posOffset>
          </wp:positionH>
          <wp:positionV relativeFrom="paragraph">
            <wp:posOffset>-308606</wp:posOffset>
          </wp:positionV>
          <wp:extent cx="7210425" cy="1160776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0425" cy="11607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rlaa1106@gmail.com" TargetMode="External"/><Relationship Id="rId10" Type="http://schemas.openxmlformats.org/officeDocument/2006/relationships/hyperlink" Target="mailto:rosildacristinagomesmesquita@gmail.com" TargetMode="External"/><Relationship Id="rId13" Type="http://schemas.openxmlformats.org/officeDocument/2006/relationships/hyperlink" Target="mailto:ohannasandy@hotmail.com" TargetMode="External"/><Relationship Id="rId12" Type="http://schemas.openxmlformats.org/officeDocument/2006/relationships/hyperlink" Target="mailto:nalandapaixao220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cialages@icloud.com" TargetMode="External"/><Relationship Id="rId15" Type="http://schemas.openxmlformats.org/officeDocument/2006/relationships/hyperlink" Target="mailto:thaiscordeiro@unifsa.com.br" TargetMode="External"/><Relationship Id="rId14" Type="http://schemas.openxmlformats.org/officeDocument/2006/relationships/hyperlink" Target="mailto:thalyarodrigues591@g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layssamartins6@gmail.com" TargetMode="External"/><Relationship Id="rId8" Type="http://schemas.openxmlformats.org/officeDocument/2006/relationships/hyperlink" Target="mailto:ssfernandaingred@g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csaYQWNh9MXmQ220dQvx0IAtXw==">CgMxLjA4AHIhMVRMbVJaWTd2QTgxa1pFLThqSWp1Sy1MNkk5YVBzemJx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