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7EEF" w14:textId="77777777" w:rsidR="000A62C9" w:rsidRDefault="000A62C9" w:rsidP="00D3000A">
      <w:pPr>
        <w:spacing w:after="0" w:line="360" w:lineRule="auto"/>
        <w:rPr>
          <w:rFonts w:ascii="Arial" w:eastAsia="Arial" w:hAnsi="Arial" w:cs="Arial"/>
          <w:b/>
          <w:sz w:val="24"/>
          <w:szCs w:val="24"/>
        </w:rPr>
      </w:pPr>
    </w:p>
    <w:p w14:paraId="1F3E2B33" w14:textId="16C6A4F3" w:rsidR="00D3000A" w:rsidRDefault="00D3000A" w:rsidP="00292DC9">
      <w:pPr>
        <w:spacing w:after="0" w:line="360" w:lineRule="auto"/>
        <w:jc w:val="center"/>
        <w:rPr>
          <w:rFonts w:ascii="Arial" w:hAnsi="Arial" w:cs="Arial"/>
          <w:b/>
          <w:sz w:val="24"/>
          <w:szCs w:val="24"/>
        </w:rPr>
      </w:pPr>
      <w:r w:rsidRPr="00D3000A">
        <w:rPr>
          <w:rFonts w:ascii="Arial" w:hAnsi="Arial" w:cs="Arial"/>
          <w:b/>
          <w:sz w:val="24"/>
          <w:szCs w:val="24"/>
        </w:rPr>
        <w:t>ANÁLISE EPIDEMIOLÓGICA DA FEBRE CHIKUNGUNYA NO TOCANTINS</w:t>
      </w:r>
    </w:p>
    <w:p w14:paraId="2703C141" w14:textId="77777777" w:rsidR="00E321AC" w:rsidRPr="00D3000A" w:rsidRDefault="00E321AC" w:rsidP="00292DC9">
      <w:pPr>
        <w:spacing w:after="0" w:line="360" w:lineRule="auto"/>
        <w:jc w:val="center"/>
        <w:rPr>
          <w:rFonts w:ascii="Arial" w:eastAsia="Arial" w:hAnsi="Arial" w:cs="Arial"/>
          <w:b/>
          <w:sz w:val="24"/>
          <w:szCs w:val="24"/>
        </w:rPr>
      </w:pPr>
    </w:p>
    <w:p w14:paraId="79EFE8F2" w14:textId="2CB7806D" w:rsidR="00D3000A" w:rsidRDefault="00D3000A" w:rsidP="00292DC9">
      <w:pPr>
        <w:spacing w:after="0" w:line="360" w:lineRule="auto"/>
        <w:jc w:val="center"/>
        <w:rPr>
          <w:rFonts w:ascii="Arial" w:eastAsia="Arial" w:hAnsi="Arial" w:cs="Arial"/>
          <w:sz w:val="24"/>
          <w:szCs w:val="24"/>
        </w:rPr>
      </w:pPr>
      <w:r>
        <w:rPr>
          <w:rFonts w:ascii="Arial" w:eastAsia="Arial" w:hAnsi="Arial" w:cs="Arial"/>
          <w:b/>
          <w:sz w:val="24"/>
          <w:szCs w:val="24"/>
        </w:rPr>
        <w:t>ROCHA</w:t>
      </w:r>
      <w:r w:rsidR="00000000">
        <w:rPr>
          <w:rFonts w:ascii="Arial" w:eastAsia="Arial" w:hAnsi="Arial" w:cs="Arial"/>
          <w:sz w:val="24"/>
          <w:szCs w:val="24"/>
        </w:rPr>
        <w:t xml:space="preserve">, </w:t>
      </w:r>
      <w:r>
        <w:rPr>
          <w:rFonts w:ascii="Arial" w:eastAsia="Arial" w:hAnsi="Arial" w:cs="Arial"/>
          <w:sz w:val="24"/>
          <w:szCs w:val="24"/>
        </w:rPr>
        <w:t>Lucas de Almeida</w:t>
      </w:r>
      <w:r w:rsidR="00000000">
        <w:rPr>
          <w:rStyle w:val="ncoradanotaderodap"/>
          <w:rFonts w:ascii="Arial" w:eastAsia="Arial" w:hAnsi="Arial" w:cs="Arial"/>
          <w:sz w:val="24"/>
          <w:szCs w:val="24"/>
        </w:rPr>
        <w:footnoteReference w:id="1"/>
      </w:r>
      <w:r w:rsidR="00000000">
        <w:rPr>
          <w:rFonts w:ascii="Arial" w:eastAsia="Arial" w:hAnsi="Arial" w:cs="Arial"/>
          <w:sz w:val="24"/>
          <w:szCs w:val="24"/>
        </w:rPr>
        <w:t xml:space="preserve">; </w:t>
      </w:r>
      <w:r>
        <w:rPr>
          <w:rFonts w:ascii="Arial" w:eastAsia="Arial" w:hAnsi="Arial" w:cs="Arial"/>
          <w:b/>
          <w:sz w:val="24"/>
          <w:szCs w:val="24"/>
        </w:rPr>
        <w:t>FERREIRA</w:t>
      </w:r>
      <w:r w:rsidR="00000000">
        <w:rPr>
          <w:rFonts w:ascii="Arial" w:eastAsia="Arial" w:hAnsi="Arial" w:cs="Arial"/>
          <w:sz w:val="24"/>
          <w:szCs w:val="24"/>
        </w:rPr>
        <w:t xml:space="preserve">, </w:t>
      </w:r>
      <w:r>
        <w:rPr>
          <w:rFonts w:ascii="Arial" w:eastAsia="Arial" w:hAnsi="Arial" w:cs="Arial"/>
          <w:sz w:val="24"/>
          <w:szCs w:val="24"/>
        </w:rPr>
        <w:t>Raphael Gomes</w:t>
      </w:r>
      <w:r w:rsidR="00000000">
        <w:rPr>
          <w:rStyle w:val="ncoradanotaderodap"/>
          <w:rFonts w:ascii="Arial" w:eastAsia="Arial" w:hAnsi="Arial" w:cs="Arial"/>
          <w:sz w:val="24"/>
          <w:szCs w:val="24"/>
        </w:rPr>
        <w:footnoteReference w:id="2"/>
      </w:r>
      <w:r w:rsidR="00000000">
        <w:rPr>
          <w:rFonts w:ascii="Arial" w:eastAsia="Arial" w:hAnsi="Arial" w:cs="Arial"/>
          <w:sz w:val="24"/>
          <w:szCs w:val="24"/>
        </w:rPr>
        <w:t>;</w:t>
      </w:r>
    </w:p>
    <w:p w14:paraId="2D68131F" w14:textId="77777777" w:rsidR="00292DC9" w:rsidRDefault="00292DC9" w:rsidP="00292DC9">
      <w:pPr>
        <w:spacing w:after="0" w:line="360" w:lineRule="auto"/>
        <w:jc w:val="center"/>
        <w:rPr>
          <w:rFonts w:ascii="Arial" w:eastAsia="Arial" w:hAnsi="Arial" w:cs="Arial"/>
          <w:sz w:val="24"/>
          <w:szCs w:val="24"/>
        </w:rPr>
      </w:pPr>
    </w:p>
    <w:p w14:paraId="629202CD" w14:textId="77777777" w:rsidR="000A62C9" w:rsidRDefault="00000000">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14:paraId="61BBB4FA" w14:textId="73103438" w:rsidR="00292DC9" w:rsidRPr="00292DC9" w:rsidRDefault="00292DC9" w:rsidP="00292DC9">
      <w:pPr>
        <w:widowControl w:val="0"/>
        <w:spacing w:after="0" w:line="360" w:lineRule="auto"/>
        <w:jc w:val="both"/>
        <w:rPr>
          <w:rFonts w:ascii="Arial" w:eastAsia="Arial" w:hAnsi="Arial" w:cs="Arial"/>
          <w:bCs/>
          <w:sz w:val="24"/>
          <w:szCs w:val="24"/>
        </w:rPr>
      </w:pPr>
      <w:r w:rsidRPr="00292DC9">
        <w:rPr>
          <w:rFonts w:ascii="Arial" w:eastAsia="Arial" w:hAnsi="Arial" w:cs="Arial"/>
          <w:bCs/>
          <w:sz w:val="24"/>
          <w:szCs w:val="24"/>
        </w:rPr>
        <w:t xml:space="preserve">O Chikungunya vírus (CHIKV) é um </w:t>
      </w:r>
      <w:proofErr w:type="spellStart"/>
      <w:r w:rsidRPr="00292DC9">
        <w:rPr>
          <w:rFonts w:ascii="Arial" w:eastAsia="Arial" w:hAnsi="Arial" w:cs="Arial"/>
          <w:bCs/>
          <w:sz w:val="24"/>
          <w:szCs w:val="24"/>
        </w:rPr>
        <w:t>alfavírus</w:t>
      </w:r>
      <w:proofErr w:type="spellEnd"/>
      <w:r w:rsidRPr="00292DC9">
        <w:rPr>
          <w:rFonts w:ascii="Arial" w:eastAsia="Arial" w:hAnsi="Arial" w:cs="Arial"/>
          <w:bCs/>
          <w:sz w:val="24"/>
          <w:szCs w:val="24"/>
        </w:rPr>
        <w:t xml:space="preserve"> causador da febre Chikungunya, uma doença caracterizada pela poliartralgia febril aguda e artrite inflamatória. O vírus é transmitido pela picada de mosquitos infectados da espécie Aedes, e mais raramente ocorre a transmissão materno-fetal e por hemoderivados.</w:t>
      </w:r>
      <w:r>
        <w:rPr>
          <w:rFonts w:ascii="Arial" w:eastAsia="Arial" w:hAnsi="Arial" w:cs="Arial"/>
          <w:bCs/>
          <w:sz w:val="24"/>
          <w:szCs w:val="24"/>
        </w:rPr>
        <w:t xml:space="preserve"> </w:t>
      </w:r>
      <w:r w:rsidRPr="00292DC9">
        <w:rPr>
          <w:rFonts w:ascii="Arial" w:eastAsia="Arial" w:hAnsi="Arial" w:cs="Arial"/>
          <w:bCs/>
          <w:sz w:val="24"/>
          <w:szCs w:val="24"/>
        </w:rPr>
        <w:t>No Tocantins, o primeiro caso foi registrado apenas em 2015, desde então o número de casos sofreu um grande aumento, com mais de 4 mil casos confirmados no ano de 2023.</w:t>
      </w:r>
      <w:r>
        <w:rPr>
          <w:rFonts w:ascii="Arial" w:eastAsia="Arial" w:hAnsi="Arial" w:cs="Arial"/>
          <w:bCs/>
          <w:sz w:val="24"/>
          <w:szCs w:val="24"/>
        </w:rPr>
        <w:t xml:space="preserve"> </w:t>
      </w:r>
      <w:r w:rsidRPr="00292DC9">
        <w:rPr>
          <w:rFonts w:ascii="Arial" w:eastAsia="Arial" w:hAnsi="Arial" w:cs="Arial"/>
          <w:b/>
          <w:sz w:val="24"/>
          <w:szCs w:val="24"/>
        </w:rPr>
        <w:t>Objetivo:</w:t>
      </w:r>
      <w:r>
        <w:rPr>
          <w:rFonts w:ascii="Arial" w:eastAsia="Arial" w:hAnsi="Arial" w:cs="Arial"/>
          <w:bCs/>
          <w:sz w:val="24"/>
          <w:szCs w:val="24"/>
        </w:rPr>
        <w:t xml:space="preserve"> </w:t>
      </w:r>
      <w:r w:rsidRPr="00F56AA0">
        <w:rPr>
          <w:rFonts w:ascii="Arial" w:eastAsia="Arial" w:hAnsi="Arial" w:cs="Arial"/>
          <w:bCs/>
          <w:sz w:val="24"/>
          <w:szCs w:val="24"/>
        </w:rPr>
        <w:t>Realizar uma análise epidemiológica dos casos de febre Chikungunya no estado do Tocantins dos anos de 2017 a 2024, com base nos registros do SINAN/DATASUS.</w:t>
      </w:r>
      <w:r>
        <w:rPr>
          <w:rFonts w:ascii="Arial" w:eastAsia="Arial" w:hAnsi="Arial" w:cs="Arial"/>
          <w:bCs/>
          <w:sz w:val="24"/>
          <w:szCs w:val="24"/>
        </w:rPr>
        <w:t xml:space="preserve"> </w:t>
      </w:r>
      <w:r w:rsidRPr="00292DC9">
        <w:rPr>
          <w:rFonts w:ascii="Arial" w:eastAsia="Arial" w:hAnsi="Arial" w:cs="Arial"/>
          <w:b/>
          <w:sz w:val="24"/>
          <w:szCs w:val="24"/>
        </w:rPr>
        <w:t>Metodologia:</w:t>
      </w:r>
      <w:r>
        <w:rPr>
          <w:rFonts w:ascii="Arial" w:eastAsia="Arial" w:hAnsi="Arial" w:cs="Arial"/>
          <w:bCs/>
          <w:sz w:val="24"/>
          <w:szCs w:val="24"/>
        </w:rPr>
        <w:t xml:space="preserve"> </w:t>
      </w:r>
      <w:r>
        <w:rPr>
          <w:rFonts w:ascii="Arial" w:eastAsia="Arial" w:hAnsi="Arial" w:cs="Arial"/>
          <w:sz w:val="24"/>
          <w:szCs w:val="24"/>
        </w:rPr>
        <w:t>O estudo é de corte transversal, quantitativo, descritivo e retrospectivo, utilizando dados secundários do SINAN/DATASUS.</w:t>
      </w:r>
      <w:r>
        <w:rPr>
          <w:rFonts w:ascii="Arial" w:eastAsia="Arial" w:hAnsi="Arial" w:cs="Arial"/>
          <w:bCs/>
          <w:sz w:val="24"/>
          <w:szCs w:val="24"/>
        </w:rPr>
        <w:t xml:space="preserve"> </w:t>
      </w:r>
      <w:r w:rsidRPr="00292DC9">
        <w:rPr>
          <w:rFonts w:ascii="Arial" w:eastAsia="Arial" w:hAnsi="Arial" w:cs="Arial"/>
          <w:b/>
          <w:sz w:val="24"/>
          <w:szCs w:val="24"/>
        </w:rPr>
        <w:t>Resultado:</w:t>
      </w:r>
      <w:r>
        <w:rPr>
          <w:rFonts w:ascii="Arial" w:eastAsia="Arial" w:hAnsi="Arial" w:cs="Arial"/>
          <w:bCs/>
          <w:sz w:val="24"/>
          <w:szCs w:val="24"/>
        </w:rPr>
        <w:t xml:space="preserve"> </w:t>
      </w:r>
      <w:r w:rsidRPr="00292DC9">
        <w:rPr>
          <w:rFonts w:ascii="Arial" w:eastAsia="Arial" w:hAnsi="Arial" w:cs="Arial"/>
          <w:bCs/>
          <w:sz w:val="24"/>
          <w:szCs w:val="24"/>
        </w:rPr>
        <w:t>Durante os anos observados, 2023 apresentou o pico de infecção. A população com mais confirmados concentra-se entre 20-59 anos.</w:t>
      </w:r>
      <w:r>
        <w:rPr>
          <w:rFonts w:ascii="Arial" w:eastAsia="Arial" w:hAnsi="Arial" w:cs="Arial"/>
          <w:bCs/>
          <w:sz w:val="24"/>
          <w:szCs w:val="24"/>
        </w:rPr>
        <w:t xml:space="preserve"> </w:t>
      </w:r>
      <w:r w:rsidRPr="00292DC9">
        <w:rPr>
          <w:rFonts w:ascii="Arial" w:eastAsia="Arial" w:hAnsi="Arial" w:cs="Arial"/>
          <w:b/>
          <w:sz w:val="24"/>
          <w:szCs w:val="24"/>
        </w:rPr>
        <w:t>Conclusão:</w:t>
      </w:r>
      <w:r w:rsidRPr="00292DC9">
        <w:rPr>
          <w:rFonts w:ascii="Arial" w:eastAsia="Arial" w:hAnsi="Arial" w:cs="Arial"/>
          <w:bCs/>
          <w:sz w:val="24"/>
          <w:szCs w:val="24"/>
        </w:rPr>
        <w:t xml:space="preserve"> </w:t>
      </w:r>
      <w:r w:rsidR="00750401">
        <w:rPr>
          <w:rFonts w:ascii="Arial" w:eastAsia="Arial" w:hAnsi="Arial" w:cs="Arial"/>
          <w:sz w:val="24"/>
          <w:szCs w:val="24"/>
        </w:rPr>
        <w:t>O aumento da incidência envolve múltiplos fatores.</w:t>
      </w:r>
      <w:r w:rsidR="00750401">
        <w:rPr>
          <w:rFonts w:ascii="Arial" w:eastAsia="Arial" w:hAnsi="Arial" w:cs="Arial"/>
          <w:sz w:val="24"/>
          <w:szCs w:val="24"/>
        </w:rPr>
        <w:t xml:space="preserve"> </w:t>
      </w:r>
      <w:r w:rsidRPr="00292DC9">
        <w:rPr>
          <w:rFonts w:ascii="Arial" w:eastAsia="Arial" w:hAnsi="Arial" w:cs="Arial"/>
          <w:bCs/>
          <w:sz w:val="24"/>
          <w:szCs w:val="24"/>
        </w:rPr>
        <w:t>A concentração de casos encontra-se nos dois primeiros trimestres do ano, em decorrência do ciclo do mosquito transmissor. A análise da correlação de Spearman não identificou relação estatisticamente significativa entre o CHIKV e comorbidades articulares e neurológicas.</w:t>
      </w:r>
    </w:p>
    <w:p w14:paraId="2245CD40" w14:textId="05076793" w:rsidR="000A62C9" w:rsidRDefault="00000000">
      <w:pPr>
        <w:widowControl w:val="0"/>
        <w:spacing w:after="0" w:line="360" w:lineRule="auto"/>
        <w:rPr>
          <w:rFonts w:ascii="Arial" w:eastAsia="Arial" w:hAnsi="Arial" w:cs="Arial"/>
          <w:sz w:val="24"/>
          <w:szCs w:val="24"/>
        </w:rPr>
      </w:pPr>
      <w:r>
        <w:rPr>
          <w:rFonts w:ascii="Arial" w:eastAsia="Arial" w:hAnsi="Arial" w:cs="Arial"/>
          <w:b/>
          <w:sz w:val="24"/>
          <w:szCs w:val="24"/>
        </w:rPr>
        <w:lastRenderedPageBreak/>
        <w:t>Palavras-chave</w:t>
      </w:r>
      <w:r>
        <w:rPr>
          <w:rFonts w:ascii="Arial" w:eastAsia="Arial" w:hAnsi="Arial" w:cs="Arial"/>
          <w:sz w:val="24"/>
          <w:szCs w:val="24"/>
        </w:rPr>
        <w:t xml:space="preserve">: </w:t>
      </w:r>
      <w:r w:rsidR="00292DC9">
        <w:rPr>
          <w:rFonts w:ascii="Arial" w:eastAsia="Arial" w:hAnsi="Arial" w:cs="Arial"/>
          <w:sz w:val="24"/>
          <w:szCs w:val="24"/>
        </w:rPr>
        <w:t>Chikungunya, Epidemiologia, Tocantins</w:t>
      </w:r>
    </w:p>
    <w:p w14:paraId="283EA765" w14:textId="77777777" w:rsidR="000A62C9" w:rsidRDefault="000A62C9">
      <w:pPr>
        <w:spacing w:after="0" w:line="360" w:lineRule="auto"/>
        <w:jc w:val="both"/>
        <w:rPr>
          <w:rFonts w:ascii="Arial" w:eastAsia="Arial" w:hAnsi="Arial" w:cs="Arial"/>
          <w:b/>
          <w:sz w:val="24"/>
          <w:szCs w:val="24"/>
        </w:rPr>
      </w:pPr>
    </w:p>
    <w:p w14:paraId="06A89C25"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INTRODUÇÃO/JUSTIFICATIVA</w:t>
      </w:r>
    </w:p>
    <w:p w14:paraId="18835B46" w14:textId="77777777" w:rsidR="00D3000A" w:rsidRPr="00D3000A" w:rsidRDefault="00D3000A" w:rsidP="00D3000A">
      <w:pPr>
        <w:spacing w:after="0" w:line="360" w:lineRule="auto"/>
        <w:ind w:firstLine="709"/>
        <w:jc w:val="both"/>
        <w:rPr>
          <w:rFonts w:ascii="Arial" w:eastAsia="Arial" w:hAnsi="Arial" w:cs="Arial"/>
          <w:sz w:val="24"/>
          <w:szCs w:val="24"/>
        </w:rPr>
      </w:pPr>
      <w:r w:rsidRPr="00D3000A">
        <w:rPr>
          <w:rFonts w:ascii="Arial" w:eastAsia="Arial" w:hAnsi="Arial" w:cs="Arial"/>
          <w:sz w:val="24"/>
          <w:szCs w:val="24"/>
        </w:rPr>
        <w:t>O presente artigo é uma análise epidemiológica do Chikungunya vírus no estado do Tocantins, correlacionando a base de dados selecionados com fatores sociais e populacionais do estado. Além disso, procura investigar uma possível relação entre o Chikungunya vírus e comorbidades articulares e neurológicas.</w:t>
      </w:r>
    </w:p>
    <w:p w14:paraId="025158A3" w14:textId="77777777" w:rsidR="00D3000A" w:rsidRPr="00D3000A" w:rsidRDefault="00D3000A" w:rsidP="00D3000A">
      <w:pPr>
        <w:spacing w:after="0" w:line="360" w:lineRule="auto"/>
        <w:ind w:firstLine="709"/>
        <w:jc w:val="both"/>
        <w:rPr>
          <w:rFonts w:ascii="Arial" w:eastAsia="Arial" w:hAnsi="Arial" w:cs="Arial"/>
          <w:sz w:val="24"/>
          <w:szCs w:val="24"/>
        </w:rPr>
      </w:pPr>
      <w:r w:rsidRPr="00D3000A">
        <w:rPr>
          <w:rFonts w:ascii="Arial" w:eastAsia="Arial" w:hAnsi="Arial" w:cs="Arial"/>
          <w:sz w:val="24"/>
          <w:szCs w:val="24"/>
        </w:rPr>
        <w:t xml:space="preserve">O Chikungunya vírus (CHIKV) é um </w:t>
      </w:r>
      <w:proofErr w:type="spellStart"/>
      <w:r w:rsidRPr="00D3000A">
        <w:rPr>
          <w:rFonts w:ascii="Arial" w:eastAsia="Arial" w:hAnsi="Arial" w:cs="Arial"/>
          <w:sz w:val="24"/>
          <w:szCs w:val="24"/>
        </w:rPr>
        <w:t>alfavírus</w:t>
      </w:r>
      <w:proofErr w:type="spellEnd"/>
      <w:r w:rsidRPr="00D3000A">
        <w:rPr>
          <w:rFonts w:ascii="Arial" w:eastAsia="Arial" w:hAnsi="Arial" w:cs="Arial"/>
          <w:sz w:val="24"/>
          <w:szCs w:val="24"/>
        </w:rPr>
        <w:t xml:space="preserve"> causador da febre Chikungunya, uma doença caracterizada pela poliartralgia febril aguda e artrite inflamatória. O vírus é transmitido pela picada de mosquitos infectados da espécie Aedes, e mais raramente ocorre a transmissão materno-fetal e por hemoderivados.</w:t>
      </w:r>
    </w:p>
    <w:p w14:paraId="05C20E48" w14:textId="77777777" w:rsidR="00D3000A" w:rsidRPr="00D3000A" w:rsidRDefault="00D3000A" w:rsidP="00D3000A">
      <w:pPr>
        <w:spacing w:after="0" w:line="360" w:lineRule="auto"/>
        <w:ind w:firstLine="709"/>
        <w:jc w:val="both"/>
        <w:rPr>
          <w:rFonts w:ascii="Arial" w:eastAsia="Arial" w:hAnsi="Arial" w:cs="Arial"/>
          <w:sz w:val="24"/>
          <w:szCs w:val="24"/>
        </w:rPr>
      </w:pPr>
      <w:r w:rsidRPr="00D3000A">
        <w:rPr>
          <w:rFonts w:ascii="Arial" w:eastAsia="Arial" w:hAnsi="Arial" w:cs="Arial"/>
          <w:sz w:val="24"/>
          <w:szCs w:val="24"/>
        </w:rPr>
        <w:t>No Brasil, o vetor envolvido na transmissão da doença é o Aedes aegypti, e os ciclos de transmissão são sustentados apenas por mosquitos e humanos suscetíveis. No Tocantins, o primeiro caso foi registrado apenas em 2015, desde então o número de casos sofreu um grande aumento, com mais de 4 mil casos confirmados no ano de 2023.</w:t>
      </w:r>
    </w:p>
    <w:p w14:paraId="6C2FF6FD" w14:textId="00AA81F5" w:rsidR="000A62C9" w:rsidRDefault="00D3000A" w:rsidP="00D3000A">
      <w:pPr>
        <w:spacing w:after="0" w:line="360" w:lineRule="auto"/>
        <w:ind w:firstLine="709"/>
        <w:jc w:val="both"/>
        <w:rPr>
          <w:rFonts w:ascii="Arial" w:eastAsia="Arial" w:hAnsi="Arial" w:cs="Arial"/>
          <w:sz w:val="24"/>
          <w:szCs w:val="24"/>
        </w:rPr>
      </w:pPr>
      <w:r w:rsidRPr="00D3000A">
        <w:rPr>
          <w:rFonts w:ascii="Arial" w:eastAsia="Arial" w:hAnsi="Arial" w:cs="Arial"/>
          <w:sz w:val="24"/>
          <w:szCs w:val="24"/>
        </w:rPr>
        <w:t>O artigo tem como função, portanto, estabelecer o perfil populacional acometido e as variáveis envolvidas nesse processo. Com o direcionamento dos estudos epidemiológicos os recursos econômicos podem ser melhor direcionados para áreas de risco e diminuir as taxas de infecção.</w:t>
      </w:r>
    </w:p>
    <w:p w14:paraId="6EE01A4C"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BASE TEÓRICA</w:t>
      </w:r>
    </w:p>
    <w:p w14:paraId="589E00B3" w14:textId="659EB056" w:rsidR="000A62C9" w:rsidRPr="00F56AA0" w:rsidRDefault="00F56AA0" w:rsidP="00F56AA0">
      <w:pPr>
        <w:spacing w:after="0" w:line="360" w:lineRule="auto"/>
        <w:ind w:firstLine="360"/>
        <w:jc w:val="both"/>
        <w:rPr>
          <w:rFonts w:ascii="Arial" w:eastAsia="Arial" w:hAnsi="Arial" w:cs="Arial"/>
          <w:bCs/>
          <w:sz w:val="24"/>
          <w:szCs w:val="24"/>
        </w:rPr>
      </w:pPr>
      <w:r w:rsidRPr="00F56AA0">
        <w:rPr>
          <w:rFonts w:ascii="Arial" w:eastAsia="Arial" w:hAnsi="Arial" w:cs="Arial"/>
          <w:bCs/>
          <w:sz w:val="24"/>
          <w:szCs w:val="24"/>
        </w:rPr>
        <w:t xml:space="preserve">Durante a pesquisa, foram levantados dados quantitativos do Sistema de Informação de Agravos de Notificações (SINAN), bem como artigos científicos disponíveis em plataformas e revistas científicas:  </w:t>
      </w:r>
      <w:proofErr w:type="spellStart"/>
      <w:r w:rsidRPr="00F56AA0">
        <w:rPr>
          <w:rFonts w:ascii="Arial" w:eastAsia="Arial" w:hAnsi="Arial" w:cs="Arial"/>
          <w:bCs/>
          <w:sz w:val="24"/>
          <w:szCs w:val="24"/>
        </w:rPr>
        <w:t>Scielo</w:t>
      </w:r>
      <w:proofErr w:type="spellEnd"/>
      <w:r w:rsidRPr="00F56AA0">
        <w:rPr>
          <w:rFonts w:ascii="Arial" w:eastAsia="Arial" w:hAnsi="Arial" w:cs="Arial"/>
          <w:bCs/>
          <w:sz w:val="24"/>
          <w:szCs w:val="24"/>
        </w:rPr>
        <w:t xml:space="preserve">, </w:t>
      </w:r>
      <w:proofErr w:type="spellStart"/>
      <w:r w:rsidRPr="00F56AA0">
        <w:rPr>
          <w:rFonts w:ascii="Arial" w:eastAsia="Arial" w:hAnsi="Arial" w:cs="Arial"/>
          <w:bCs/>
          <w:sz w:val="24"/>
          <w:szCs w:val="24"/>
        </w:rPr>
        <w:t>PubMed</w:t>
      </w:r>
      <w:proofErr w:type="spellEnd"/>
      <w:r w:rsidRPr="00F56AA0">
        <w:rPr>
          <w:rFonts w:ascii="Arial" w:eastAsia="Arial" w:hAnsi="Arial" w:cs="Arial"/>
          <w:bCs/>
          <w:sz w:val="24"/>
          <w:szCs w:val="24"/>
        </w:rPr>
        <w:t xml:space="preserve">, NEJM, Science, </w:t>
      </w:r>
      <w:proofErr w:type="spellStart"/>
      <w:r w:rsidRPr="00F56AA0">
        <w:rPr>
          <w:rFonts w:ascii="Arial" w:eastAsia="Arial" w:hAnsi="Arial" w:cs="Arial"/>
          <w:bCs/>
          <w:sz w:val="24"/>
          <w:szCs w:val="24"/>
        </w:rPr>
        <w:t>UpToDate</w:t>
      </w:r>
      <w:proofErr w:type="spellEnd"/>
      <w:r w:rsidRPr="00F56AA0">
        <w:rPr>
          <w:rFonts w:ascii="Arial" w:eastAsia="Arial" w:hAnsi="Arial" w:cs="Arial"/>
          <w:bCs/>
          <w:sz w:val="24"/>
          <w:szCs w:val="24"/>
        </w:rPr>
        <w:t>.</w:t>
      </w:r>
    </w:p>
    <w:p w14:paraId="408DA72C"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OBJETIVOS</w:t>
      </w:r>
    </w:p>
    <w:p w14:paraId="56B42398" w14:textId="7DEE84A3" w:rsidR="00F56AA0" w:rsidRPr="00F56AA0" w:rsidRDefault="00F56AA0" w:rsidP="00F56AA0">
      <w:pPr>
        <w:spacing w:after="0" w:line="360" w:lineRule="auto"/>
        <w:ind w:firstLine="426"/>
        <w:jc w:val="both"/>
        <w:rPr>
          <w:rFonts w:ascii="Arial" w:eastAsia="Arial" w:hAnsi="Arial" w:cs="Arial"/>
          <w:bCs/>
          <w:sz w:val="24"/>
          <w:szCs w:val="24"/>
        </w:rPr>
      </w:pPr>
      <w:r w:rsidRPr="00F56AA0">
        <w:rPr>
          <w:rFonts w:ascii="Arial" w:eastAsia="Arial" w:hAnsi="Arial" w:cs="Arial"/>
          <w:bCs/>
          <w:sz w:val="24"/>
          <w:szCs w:val="24"/>
        </w:rPr>
        <w:lastRenderedPageBreak/>
        <w:t xml:space="preserve">Objetivos gerais: Realizar uma análise epidemiológica dos casos de febre Chikungunya no estado do Tocantins dos anos de 2017 a 2024, com base nos registros do SINAN/DATASUS. Objetivos </w:t>
      </w:r>
      <w:r w:rsidRPr="00F56AA0">
        <w:rPr>
          <w:rFonts w:ascii="Arial" w:eastAsia="Arial" w:hAnsi="Arial" w:cs="Arial"/>
          <w:bCs/>
          <w:sz w:val="24"/>
          <w:szCs w:val="24"/>
        </w:rPr>
        <w:t>específicos</w:t>
      </w:r>
      <w:r w:rsidRPr="00F56AA0">
        <w:rPr>
          <w:rFonts w:ascii="Arial" w:eastAsia="Arial" w:hAnsi="Arial" w:cs="Arial"/>
          <w:bCs/>
          <w:sz w:val="24"/>
          <w:szCs w:val="24"/>
        </w:rPr>
        <w:t>: Encontrar as variações de diminuição e crescimento das infecções por febre Chikungunya no estado do Tocantins dos anos de 2017 a 2024. Determinar o período de maior infecção pela doença. Estabelecer o perfil populacional mais afetado pela febre Chikungunya. Estabelecer possíveis fatores geográficos, sociais e econômicos associados à transmissão do CHIKV.</w:t>
      </w:r>
    </w:p>
    <w:p w14:paraId="30513C87"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METODOLOGIA</w:t>
      </w:r>
    </w:p>
    <w:p w14:paraId="75F79666" w14:textId="77777777" w:rsidR="00F56AA0" w:rsidRPr="00F56AA0" w:rsidRDefault="00F56AA0" w:rsidP="00F56AA0">
      <w:pPr>
        <w:spacing w:after="0" w:line="360" w:lineRule="auto"/>
        <w:ind w:firstLine="709"/>
        <w:jc w:val="both"/>
        <w:rPr>
          <w:rFonts w:ascii="Arial" w:eastAsia="Arial" w:hAnsi="Arial" w:cs="Arial"/>
          <w:sz w:val="24"/>
          <w:szCs w:val="24"/>
        </w:rPr>
      </w:pPr>
      <w:r w:rsidRPr="00F56AA0">
        <w:rPr>
          <w:rFonts w:ascii="Arial" w:eastAsia="Arial" w:hAnsi="Arial" w:cs="Arial"/>
          <w:sz w:val="24"/>
          <w:szCs w:val="24"/>
        </w:rPr>
        <w:t xml:space="preserve">Trata-se de um estudo de corte transversal, de abordagem quantitativa, descritiva e retrospectiva. Serão utilizados para a composição deste trabalho, dados secundários, disponibilizados pelo Sistema de Informação de Agravos de Notificações (SINAN), administrado pelo Departamento de Informática do Sistema Único de Saúde (DATASUS). Os dados selecionados para análise corresponderão aos casos de febre Chikungunya no estado do Tocantins no período entre 2017 e 2024, notificados e registrados no </w:t>
      </w:r>
      <w:proofErr w:type="spellStart"/>
      <w:r w:rsidRPr="00F56AA0">
        <w:rPr>
          <w:rFonts w:ascii="Arial" w:eastAsia="Arial" w:hAnsi="Arial" w:cs="Arial"/>
          <w:sz w:val="24"/>
          <w:szCs w:val="24"/>
        </w:rPr>
        <w:t>TabNet</w:t>
      </w:r>
      <w:proofErr w:type="spellEnd"/>
      <w:r w:rsidRPr="00F56AA0">
        <w:rPr>
          <w:rFonts w:ascii="Arial" w:eastAsia="Arial" w:hAnsi="Arial" w:cs="Arial"/>
          <w:sz w:val="24"/>
          <w:szCs w:val="24"/>
        </w:rPr>
        <w:t>. As variáveis analisadas serão sexo, faixa etária, mês de notificação e a relação com comorbidades neurológicas e ou articulares.</w:t>
      </w:r>
    </w:p>
    <w:p w14:paraId="0A0029A4" w14:textId="3651AED5" w:rsidR="000A62C9" w:rsidRDefault="00F56AA0" w:rsidP="00F56AA0">
      <w:pPr>
        <w:spacing w:after="0" w:line="360" w:lineRule="auto"/>
        <w:ind w:firstLine="709"/>
        <w:jc w:val="both"/>
        <w:rPr>
          <w:rFonts w:ascii="Arial" w:eastAsia="Arial" w:hAnsi="Arial" w:cs="Arial"/>
          <w:sz w:val="24"/>
          <w:szCs w:val="24"/>
        </w:rPr>
      </w:pPr>
      <w:r w:rsidRPr="00F56AA0">
        <w:rPr>
          <w:rFonts w:ascii="Arial" w:eastAsia="Arial" w:hAnsi="Arial" w:cs="Arial"/>
          <w:sz w:val="24"/>
          <w:szCs w:val="24"/>
        </w:rPr>
        <w:t xml:space="preserve">A obtenção dos dados será feita a partir da ferramenta de tabulação </w:t>
      </w:r>
      <w:proofErr w:type="spellStart"/>
      <w:r w:rsidRPr="00F56AA0">
        <w:rPr>
          <w:rFonts w:ascii="Arial" w:eastAsia="Arial" w:hAnsi="Arial" w:cs="Arial"/>
          <w:sz w:val="24"/>
          <w:szCs w:val="24"/>
        </w:rPr>
        <w:t>TabNet</w:t>
      </w:r>
      <w:proofErr w:type="spellEnd"/>
      <w:r w:rsidRPr="00F56AA0">
        <w:rPr>
          <w:rFonts w:ascii="Arial" w:eastAsia="Arial" w:hAnsi="Arial" w:cs="Arial"/>
          <w:sz w:val="24"/>
          <w:szCs w:val="24"/>
        </w:rPr>
        <w:t>, que permite a geração de planilhas exportáveis ao software Microsoft Excel, onde serão realizadas as análises dos dados e criação dos gráficos e tabelas. Em consequência do estudo se basear em dados secundários obtidos pelo site do Ministério da Saúde, não necessitará, assim, de submissão para aprovação em comitê de ética.</w:t>
      </w:r>
    </w:p>
    <w:p w14:paraId="434A3E30" w14:textId="37DAF389" w:rsidR="000A62C9" w:rsidRDefault="00000000">
      <w:pPr>
        <w:spacing w:after="0" w:line="360" w:lineRule="auto"/>
        <w:jc w:val="both"/>
        <w:rPr>
          <w:rFonts w:ascii="Arial" w:eastAsia="Arial" w:hAnsi="Arial" w:cs="Arial"/>
          <w:sz w:val="24"/>
          <w:szCs w:val="24"/>
        </w:rPr>
      </w:pPr>
      <w:r>
        <w:rPr>
          <w:rFonts w:ascii="Arial" w:eastAsia="Arial" w:hAnsi="Arial" w:cs="Arial"/>
          <w:sz w:val="20"/>
          <w:szCs w:val="20"/>
        </w:rPr>
        <w:t xml:space="preserve">                                                            </w:t>
      </w:r>
    </w:p>
    <w:p w14:paraId="12408777"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58B55BB7"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noProof/>
          <w:color w:val="000000"/>
          <w:sz w:val="24"/>
          <w:szCs w:val="24"/>
          <w:bdr w:val="none" w:sz="0" w:space="0" w:color="auto" w:frame="1"/>
        </w:rPr>
        <w:lastRenderedPageBreak/>
        <w:drawing>
          <wp:inline distT="0" distB="0" distL="0" distR="0" wp14:anchorId="371A7876" wp14:editId="0D8C2B33">
            <wp:extent cx="4686300" cy="2905125"/>
            <wp:effectExtent l="0" t="0" r="0" b="9525"/>
            <wp:docPr id="466563645"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0" cy="2905125"/>
                    </a:xfrm>
                    <a:prstGeom prst="rect">
                      <a:avLst/>
                    </a:prstGeom>
                    <a:noFill/>
                    <a:ln>
                      <a:noFill/>
                    </a:ln>
                  </pic:spPr>
                </pic:pic>
              </a:graphicData>
            </a:graphic>
          </wp:inline>
        </w:drawing>
      </w:r>
    </w:p>
    <w:p w14:paraId="408C5DB6"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Figura 1 - Número de casos confirmados de infecção pelo vírus Chikungunya por ano</w:t>
      </w:r>
    </w:p>
    <w:p w14:paraId="63F3EDF9" w14:textId="77777777" w:rsidR="00F56AA0" w:rsidRPr="00F56AA0" w:rsidRDefault="00F56AA0" w:rsidP="00F56AA0">
      <w:pPr>
        <w:spacing w:line="360" w:lineRule="auto"/>
        <w:ind w:firstLine="720"/>
        <w:jc w:val="both"/>
        <w:rPr>
          <w:rFonts w:ascii="Arial" w:hAnsi="Arial" w:cs="Arial"/>
          <w:color w:val="000000"/>
          <w:sz w:val="24"/>
          <w:szCs w:val="24"/>
        </w:rPr>
      </w:pPr>
      <w:r w:rsidRPr="00F56AA0">
        <w:rPr>
          <w:rFonts w:ascii="Arial" w:hAnsi="Arial" w:cs="Arial"/>
          <w:color w:val="000000"/>
          <w:sz w:val="24"/>
          <w:szCs w:val="24"/>
        </w:rPr>
        <w:t>Fonte: Autoral</w:t>
      </w:r>
    </w:p>
    <w:p w14:paraId="1FFD6803" w14:textId="77777777" w:rsidR="00F56AA0" w:rsidRPr="00F56AA0" w:rsidRDefault="00F56AA0" w:rsidP="00F56AA0">
      <w:pPr>
        <w:spacing w:line="360" w:lineRule="auto"/>
        <w:jc w:val="both"/>
        <w:rPr>
          <w:rFonts w:ascii="Arial" w:hAnsi="Arial" w:cs="Arial"/>
          <w:sz w:val="24"/>
          <w:szCs w:val="24"/>
        </w:rPr>
      </w:pPr>
    </w:p>
    <w:p w14:paraId="578C0CE9"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Na figura 1), é apresentado o número de casos confirmados por ano. Os anos de 2018 a 2021 estão abaixo do limite de controle, considerando a média histórica mais + 3 desvios padrão. Os anos de 2022 e 2023 apresentam uma alta histórica após a queda de casos.</w:t>
      </w:r>
    </w:p>
    <w:p w14:paraId="32D82DF9"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noProof/>
          <w:color w:val="000000"/>
          <w:sz w:val="24"/>
          <w:szCs w:val="24"/>
          <w:bdr w:val="none" w:sz="0" w:space="0" w:color="auto" w:frame="1"/>
        </w:rPr>
        <w:lastRenderedPageBreak/>
        <w:drawing>
          <wp:inline distT="0" distB="0" distL="0" distR="0" wp14:anchorId="5561FF52" wp14:editId="2B8CC4AE">
            <wp:extent cx="4191000" cy="2571750"/>
            <wp:effectExtent l="0" t="0" r="0" b="0"/>
            <wp:docPr id="2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0" cy="2571750"/>
                    </a:xfrm>
                    <a:prstGeom prst="rect">
                      <a:avLst/>
                    </a:prstGeom>
                    <a:noFill/>
                    <a:ln>
                      <a:noFill/>
                    </a:ln>
                  </pic:spPr>
                </pic:pic>
              </a:graphicData>
            </a:graphic>
          </wp:inline>
        </w:drawing>
      </w:r>
    </w:p>
    <w:p w14:paraId="2A686F71"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Figura 2 - Número de casos confirmados de infecção pelo vírus Chikungunya por sexo</w:t>
      </w:r>
    </w:p>
    <w:p w14:paraId="15A32286" w14:textId="65BDA8AE" w:rsidR="00F56AA0" w:rsidRPr="00F56AA0" w:rsidRDefault="00F56AA0" w:rsidP="00F56AA0">
      <w:pPr>
        <w:spacing w:line="360" w:lineRule="auto"/>
        <w:ind w:firstLine="720"/>
        <w:jc w:val="both"/>
        <w:rPr>
          <w:rFonts w:ascii="Arial" w:hAnsi="Arial" w:cs="Arial"/>
          <w:color w:val="000000"/>
          <w:sz w:val="24"/>
          <w:szCs w:val="24"/>
        </w:rPr>
      </w:pPr>
      <w:r w:rsidRPr="00F56AA0">
        <w:rPr>
          <w:rFonts w:ascii="Arial" w:hAnsi="Arial" w:cs="Arial"/>
          <w:color w:val="000000"/>
          <w:sz w:val="24"/>
          <w:szCs w:val="24"/>
        </w:rPr>
        <w:t>Fonte: Autoral</w:t>
      </w:r>
    </w:p>
    <w:p w14:paraId="2E70265A"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De 2017 a 2024 foram registrados 4408 casos confirmados no sexo masculino contra 7272 casos femininos, com uma diferença estatística significativa (p &lt; 0,05). O número de casos em mulheres foi superior em todos os anos, exceto em 2019. </w:t>
      </w:r>
    </w:p>
    <w:p w14:paraId="1F7C22F7"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noProof/>
          <w:color w:val="000000"/>
          <w:sz w:val="24"/>
          <w:szCs w:val="24"/>
          <w:bdr w:val="none" w:sz="0" w:space="0" w:color="auto" w:frame="1"/>
        </w:rPr>
        <w:lastRenderedPageBreak/>
        <w:drawing>
          <wp:inline distT="0" distB="0" distL="0" distR="0" wp14:anchorId="52622386" wp14:editId="19F99D21">
            <wp:extent cx="3714750" cy="2295525"/>
            <wp:effectExtent l="0" t="0" r="0" b="9525"/>
            <wp:docPr id="2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4750" cy="2295525"/>
                    </a:xfrm>
                    <a:prstGeom prst="rect">
                      <a:avLst/>
                    </a:prstGeom>
                    <a:noFill/>
                    <a:ln>
                      <a:noFill/>
                    </a:ln>
                  </pic:spPr>
                </pic:pic>
              </a:graphicData>
            </a:graphic>
          </wp:inline>
        </w:drawing>
      </w:r>
    </w:p>
    <w:p w14:paraId="78561027"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Figura 3 - Número de casos confirmados de infecção pelo vírus Chikungunya por faixa etária</w:t>
      </w:r>
    </w:p>
    <w:p w14:paraId="33CD6605" w14:textId="37FD1A37" w:rsidR="00F56AA0" w:rsidRPr="00F56AA0" w:rsidRDefault="00F56AA0" w:rsidP="00F56AA0">
      <w:pPr>
        <w:spacing w:line="360" w:lineRule="auto"/>
        <w:ind w:firstLine="720"/>
        <w:jc w:val="both"/>
        <w:rPr>
          <w:rFonts w:ascii="Arial" w:hAnsi="Arial" w:cs="Arial"/>
          <w:color w:val="000000"/>
          <w:sz w:val="24"/>
          <w:szCs w:val="24"/>
        </w:rPr>
      </w:pPr>
      <w:r w:rsidRPr="00F56AA0">
        <w:rPr>
          <w:rFonts w:ascii="Arial" w:hAnsi="Arial" w:cs="Arial"/>
          <w:color w:val="000000"/>
          <w:sz w:val="24"/>
          <w:szCs w:val="24"/>
        </w:rPr>
        <w:t>Fonte: Autoral</w:t>
      </w:r>
    </w:p>
    <w:p w14:paraId="69CF96CB"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A faixa etária mais acometida encontra-se entre a terceira até a sexta década de vida. Os dois picos de incidência juntos somam 7.896 casos, enquanto a soma do restante dos casos nas demais faixas etárias compreende 3.840 casos. A diferença entre os números é significativamente maior (p &lt; 0,05). </w:t>
      </w:r>
    </w:p>
    <w:p w14:paraId="5BD8E6CD"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noProof/>
          <w:color w:val="000000"/>
          <w:sz w:val="24"/>
          <w:szCs w:val="24"/>
          <w:bdr w:val="none" w:sz="0" w:space="0" w:color="auto" w:frame="1"/>
        </w:rPr>
        <w:drawing>
          <wp:inline distT="0" distB="0" distL="0" distR="0" wp14:anchorId="180DBF7A" wp14:editId="4646B40D">
            <wp:extent cx="3371850" cy="2096650"/>
            <wp:effectExtent l="0" t="0" r="0" b="0"/>
            <wp:docPr id="2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500" cy="2102650"/>
                    </a:xfrm>
                    <a:prstGeom prst="rect">
                      <a:avLst/>
                    </a:prstGeom>
                    <a:noFill/>
                    <a:ln>
                      <a:noFill/>
                    </a:ln>
                  </pic:spPr>
                </pic:pic>
              </a:graphicData>
            </a:graphic>
          </wp:inline>
        </w:drawing>
      </w:r>
    </w:p>
    <w:p w14:paraId="2B1B2662"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lastRenderedPageBreak/>
        <w:t>Figura 4 - Número de casos confirmados de infecção pelo vírus Chikungunya a cada mês</w:t>
      </w:r>
    </w:p>
    <w:p w14:paraId="44F37CD4" w14:textId="173552C1"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Fonte: Autoral</w:t>
      </w:r>
    </w:p>
    <w:p w14:paraId="4C08BD96"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noProof/>
          <w:color w:val="000000"/>
          <w:sz w:val="24"/>
          <w:szCs w:val="24"/>
          <w:bdr w:val="none" w:sz="0" w:space="0" w:color="auto" w:frame="1"/>
        </w:rPr>
        <w:drawing>
          <wp:inline distT="0" distB="0" distL="0" distR="0" wp14:anchorId="1899487E" wp14:editId="27C2584E">
            <wp:extent cx="3085597" cy="3076575"/>
            <wp:effectExtent l="0" t="0" r="635" b="0"/>
            <wp:docPr id="90658060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9838" cy="3080804"/>
                    </a:xfrm>
                    <a:prstGeom prst="rect">
                      <a:avLst/>
                    </a:prstGeom>
                    <a:noFill/>
                    <a:ln>
                      <a:noFill/>
                    </a:ln>
                  </pic:spPr>
                </pic:pic>
              </a:graphicData>
            </a:graphic>
          </wp:inline>
        </w:drawing>
      </w:r>
    </w:p>
    <w:p w14:paraId="065E04E7"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Figura 5 - Matriz de correlações de Spearman analisando relação entre comorbidades neurológicas/articulares e o Chikungunya vírus</w:t>
      </w:r>
    </w:p>
    <w:p w14:paraId="5FEECA7D"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Fonte: Autoral</w:t>
      </w:r>
    </w:p>
    <w:p w14:paraId="66DAFC91" w14:textId="77777777" w:rsidR="00F56AA0" w:rsidRPr="00F56AA0" w:rsidRDefault="00F56AA0" w:rsidP="00F56AA0">
      <w:pPr>
        <w:spacing w:after="240" w:line="360" w:lineRule="auto"/>
        <w:rPr>
          <w:rFonts w:ascii="Arial" w:hAnsi="Arial" w:cs="Arial"/>
          <w:sz w:val="24"/>
          <w:szCs w:val="24"/>
        </w:rPr>
      </w:pPr>
    </w:p>
    <w:p w14:paraId="7A183ABD" w14:textId="77777777" w:rsidR="00F56AA0" w:rsidRPr="00F56AA0" w:rsidRDefault="00F56AA0" w:rsidP="00F56AA0">
      <w:pPr>
        <w:spacing w:line="360" w:lineRule="auto"/>
        <w:jc w:val="center"/>
        <w:rPr>
          <w:rFonts w:ascii="Arial" w:hAnsi="Arial" w:cs="Arial"/>
          <w:sz w:val="24"/>
          <w:szCs w:val="24"/>
        </w:rPr>
      </w:pPr>
      <w:r w:rsidRPr="00F56AA0">
        <w:rPr>
          <w:rFonts w:ascii="Arial" w:hAnsi="Arial" w:cs="Arial"/>
          <w:b/>
          <w:bCs/>
          <w:noProof/>
          <w:color w:val="000000"/>
          <w:sz w:val="24"/>
          <w:szCs w:val="24"/>
          <w:bdr w:val="none" w:sz="0" w:space="0" w:color="auto" w:frame="1"/>
        </w:rPr>
        <w:lastRenderedPageBreak/>
        <w:drawing>
          <wp:inline distT="0" distB="0" distL="0" distR="0" wp14:anchorId="57B0979C" wp14:editId="2CB530F0">
            <wp:extent cx="4486275" cy="2771775"/>
            <wp:effectExtent l="0" t="0" r="9525" b="9525"/>
            <wp:docPr id="187137741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6275" cy="2771775"/>
                    </a:xfrm>
                    <a:prstGeom prst="rect">
                      <a:avLst/>
                    </a:prstGeom>
                    <a:noFill/>
                    <a:ln>
                      <a:noFill/>
                    </a:ln>
                  </pic:spPr>
                </pic:pic>
              </a:graphicData>
            </a:graphic>
          </wp:inline>
        </w:drawing>
      </w:r>
    </w:p>
    <w:p w14:paraId="0E924C5D"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Figura 6 - Número de internados com comorbidades comuns à CHIKV</w:t>
      </w:r>
    </w:p>
    <w:p w14:paraId="112EA526" w14:textId="78865FEF" w:rsidR="00F56AA0" w:rsidRPr="00F56AA0" w:rsidRDefault="00F56AA0" w:rsidP="00F56AA0">
      <w:pPr>
        <w:spacing w:line="360" w:lineRule="auto"/>
        <w:ind w:firstLine="720"/>
        <w:jc w:val="both"/>
        <w:rPr>
          <w:rFonts w:ascii="Arial" w:hAnsi="Arial" w:cs="Arial"/>
          <w:color w:val="000000"/>
          <w:sz w:val="24"/>
          <w:szCs w:val="24"/>
        </w:rPr>
      </w:pPr>
      <w:r w:rsidRPr="00F56AA0">
        <w:rPr>
          <w:rFonts w:ascii="Arial" w:hAnsi="Arial" w:cs="Arial"/>
          <w:color w:val="000000"/>
          <w:sz w:val="24"/>
          <w:szCs w:val="24"/>
        </w:rPr>
        <w:t>Fonte: Autoral</w:t>
      </w:r>
    </w:p>
    <w:p w14:paraId="4582699D" w14:textId="77777777" w:rsidR="00F56AA0" w:rsidRPr="00F56AA0" w:rsidRDefault="00F56AA0" w:rsidP="00F56AA0">
      <w:pPr>
        <w:spacing w:line="360" w:lineRule="auto"/>
        <w:ind w:firstLine="720"/>
        <w:jc w:val="both"/>
        <w:rPr>
          <w:rFonts w:ascii="Arial" w:hAnsi="Arial" w:cs="Arial"/>
          <w:sz w:val="24"/>
          <w:szCs w:val="24"/>
        </w:rPr>
      </w:pPr>
      <w:r w:rsidRPr="00F56AA0">
        <w:rPr>
          <w:rFonts w:ascii="Arial" w:hAnsi="Arial" w:cs="Arial"/>
          <w:color w:val="000000"/>
          <w:sz w:val="24"/>
          <w:szCs w:val="24"/>
        </w:rPr>
        <w:t>Foram levantados, a partir do SINAN/DATASUS, notificações de casos relacionados a complicações do CHIKV à longo prazo. As comorbidades foram selecionadas nos mesmos anos, com intuito de verificar alguma correlação epidemiológica entre os surtos de casos e suas complicações. Apesar dos números parecerem positivamente relacionados, a análise dos dados não mostra significância estatística (p &lt; 0,05). Os casos de internações por artrose foram os mais diretamente relacionados, com valor de p = 0,06.</w:t>
      </w:r>
    </w:p>
    <w:p w14:paraId="04677F6E" w14:textId="77777777" w:rsidR="000A62C9" w:rsidRDefault="000A62C9">
      <w:pPr>
        <w:spacing w:after="0" w:line="360" w:lineRule="auto"/>
        <w:ind w:firstLine="709"/>
        <w:jc w:val="both"/>
        <w:rPr>
          <w:rFonts w:ascii="Arial" w:eastAsia="Arial" w:hAnsi="Arial" w:cs="Arial"/>
          <w:sz w:val="24"/>
          <w:szCs w:val="24"/>
        </w:rPr>
      </w:pPr>
    </w:p>
    <w:p w14:paraId="11904554"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CONCLUSÃO/CONSIDERAÇÕES FINAIS</w:t>
      </w:r>
    </w:p>
    <w:p w14:paraId="065F72A4" w14:textId="20EDDD2A" w:rsidR="000A62C9" w:rsidRPr="00F56AA0" w:rsidRDefault="00F56AA0" w:rsidP="00F56AA0">
      <w:pPr>
        <w:spacing w:after="0" w:line="360" w:lineRule="auto"/>
        <w:ind w:firstLine="360"/>
        <w:jc w:val="both"/>
        <w:rPr>
          <w:rFonts w:ascii="Arial" w:eastAsia="Arial" w:hAnsi="Arial" w:cs="Arial"/>
          <w:sz w:val="20"/>
          <w:szCs w:val="20"/>
        </w:rPr>
      </w:pPr>
      <w:r w:rsidRPr="00F56AA0">
        <w:rPr>
          <w:rFonts w:ascii="Arial" w:eastAsia="Arial" w:hAnsi="Arial" w:cs="Arial"/>
          <w:sz w:val="24"/>
          <w:szCs w:val="24"/>
        </w:rPr>
        <w:t xml:space="preserve">Durante os anos observados, 2023 apresentou o pico de infecção. A população com mais confirmados concentra-se entre 20-59 anos. A concentração de casos </w:t>
      </w:r>
      <w:r w:rsidRPr="00F56AA0">
        <w:rPr>
          <w:rFonts w:ascii="Arial" w:eastAsia="Arial" w:hAnsi="Arial" w:cs="Arial"/>
          <w:sz w:val="24"/>
          <w:szCs w:val="24"/>
        </w:rPr>
        <w:lastRenderedPageBreak/>
        <w:t>encontra-se nos dois primeiros trimestres do ano, em decorrência do ciclo do mosquito transmissor. A análise da correlação de Spearman não identificou relação estatisticamente significativa entre o CHIKV e comorbidades articulares e neurológicas. Estudos mais aprofundados podem ser necessários, em decorrência das limitações deste estudo, realizado por meio de dados secundários.</w:t>
      </w:r>
      <w:r w:rsidR="00000000">
        <w:rPr>
          <w:rFonts w:ascii="Arial" w:eastAsia="Arial" w:hAnsi="Arial" w:cs="Arial"/>
          <w:sz w:val="20"/>
          <w:szCs w:val="20"/>
        </w:rPr>
        <w:t xml:space="preserve">                                                             </w:t>
      </w:r>
    </w:p>
    <w:p w14:paraId="16BDA9F0" w14:textId="77777777" w:rsidR="000A62C9" w:rsidRDefault="000A62C9">
      <w:pPr>
        <w:spacing w:after="0" w:line="360" w:lineRule="auto"/>
        <w:jc w:val="both"/>
        <w:rPr>
          <w:rFonts w:ascii="Arial" w:eastAsia="Arial" w:hAnsi="Arial" w:cs="Arial"/>
          <w:sz w:val="24"/>
          <w:szCs w:val="24"/>
        </w:rPr>
      </w:pPr>
    </w:p>
    <w:p w14:paraId="052D240C" w14:textId="77777777" w:rsidR="000A62C9" w:rsidRDefault="00000000">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REFERÊNCIAS</w:t>
      </w:r>
    </w:p>
    <w:p w14:paraId="653F26F6" w14:textId="77777777" w:rsidR="000A62C9" w:rsidRDefault="000A62C9" w:rsidP="009B0E45">
      <w:pPr>
        <w:spacing w:after="0" w:line="240" w:lineRule="auto"/>
        <w:ind w:left="720"/>
        <w:jc w:val="both"/>
        <w:rPr>
          <w:rFonts w:ascii="Arial" w:eastAsia="Arial" w:hAnsi="Arial" w:cs="Arial"/>
          <w:sz w:val="24"/>
          <w:szCs w:val="24"/>
        </w:rPr>
      </w:pPr>
    </w:p>
    <w:p w14:paraId="25103117" w14:textId="77777777" w:rsidR="009B0E45" w:rsidRPr="009B0E45" w:rsidRDefault="009B0E45" w:rsidP="009B0E45">
      <w:pPr>
        <w:numPr>
          <w:ilvl w:val="0"/>
          <w:numId w:val="4"/>
        </w:numPr>
        <w:tabs>
          <w:tab w:val="clear" w:pos="720"/>
          <w:tab w:val="num" w:pos="360"/>
        </w:tabs>
        <w:spacing w:after="0" w:line="240" w:lineRule="auto"/>
        <w:ind w:left="0" w:firstLine="851"/>
        <w:jc w:val="both"/>
        <w:rPr>
          <w:rFonts w:ascii="Arial" w:eastAsia="Arial" w:hAnsi="Arial" w:cs="Arial"/>
          <w:sz w:val="24"/>
          <w:szCs w:val="24"/>
        </w:rPr>
      </w:pPr>
      <w:r w:rsidRPr="009B0E45">
        <w:rPr>
          <w:rFonts w:ascii="Arial" w:eastAsia="Arial" w:hAnsi="Arial" w:cs="Arial"/>
          <w:sz w:val="24"/>
          <w:szCs w:val="24"/>
        </w:rPr>
        <w:t xml:space="preserve">STAPLES, J. E.; BREIMAN, Robert F.; POWERS, Ann M. Chikungunya </w:t>
      </w:r>
      <w:proofErr w:type="spellStart"/>
      <w:r w:rsidRPr="009B0E45">
        <w:rPr>
          <w:rFonts w:ascii="Arial" w:eastAsia="Arial" w:hAnsi="Arial" w:cs="Arial"/>
          <w:sz w:val="24"/>
          <w:szCs w:val="24"/>
        </w:rPr>
        <w:t>fever</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an</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epidemiological</w:t>
      </w:r>
      <w:proofErr w:type="spellEnd"/>
      <w:r w:rsidRPr="009B0E45">
        <w:rPr>
          <w:rFonts w:ascii="Arial" w:eastAsia="Arial" w:hAnsi="Arial" w:cs="Arial"/>
          <w:sz w:val="24"/>
          <w:szCs w:val="24"/>
        </w:rPr>
        <w:t xml:space="preserve"> review </w:t>
      </w:r>
      <w:proofErr w:type="spellStart"/>
      <w:r w:rsidRPr="009B0E45">
        <w:rPr>
          <w:rFonts w:ascii="Arial" w:eastAsia="Arial" w:hAnsi="Arial" w:cs="Arial"/>
          <w:sz w:val="24"/>
          <w:szCs w:val="24"/>
        </w:rPr>
        <w:t>of</w:t>
      </w:r>
      <w:proofErr w:type="spellEnd"/>
      <w:r w:rsidRPr="009B0E45">
        <w:rPr>
          <w:rFonts w:ascii="Arial" w:eastAsia="Arial" w:hAnsi="Arial" w:cs="Arial"/>
          <w:sz w:val="24"/>
          <w:szCs w:val="24"/>
        </w:rPr>
        <w:t xml:space="preserve"> a </w:t>
      </w:r>
      <w:proofErr w:type="spellStart"/>
      <w:r w:rsidRPr="009B0E45">
        <w:rPr>
          <w:rFonts w:ascii="Arial" w:eastAsia="Arial" w:hAnsi="Arial" w:cs="Arial"/>
          <w:sz w:val="24"/>
          <w:szCs w:val="24"/>
        </w:rPr>
        <w:t>re-emerging</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infectious</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disease</w:t>
      </w:r>
      <w:proofErr w:type="spellEnd"/>
      <w:r w:rsidRPr="009B0E45">
        <w:rPr>
          <w:rFonts w:ascii="Arial" w:eastAsia="Arial" w:hAnsi="Arial" w:cs="Arial"/>
          <w:sz w:val="24"/>
          <w:szCs w:val="24"/>
        </w:rPr>
        <w:t xml:space="preserve">. </w:t>
      </w:r>
      <w:r w:rsidRPr="009B0E45">
        <w:rPr>
          <w:rFonts w:ascii="Arial" w:eastAsia="Arial" w:hAnsi="Arial" w:cs="Arial"/>
          <w:b/>
          <w:bCs/>
          <w:sz w:val="24"/>
          <w:szCs w:val="24"/>
        </w:rPr>
        <w:t xml:space="preserve">Clinical </w:t>
      </w:r>
      <w:proofErr w:type="spellStart"/>
      <w:r w:rsidRPr="009B0E45">
        <w:rPr>
          <w:rFonts w:ascii="Arial" w:eastAsia="Arial" w:hAnsi="Arial" w:cs="Arial"/>
          <w:b/>
          <w:bCs/>
          <w:sz w:val="24"/>
          <w:szCs w:val="24"/>
        </w:rPr>
        <w:t>infectious</w:t>
      </w:r>
      <w:proofErr w:type="spellEnd"/>
      <w:r w:rsidRPr="009B0E45">
        <w:rPr>
          <w:rFonts w:ascii="Arial" w:eastAsia="Arial" w:hAnsi="Arial" w:cs="Arial"/>
          <w:b/>
          <w:bCs/>
          <w:sz w:val="24"/>
          <w:szCs w:val="24"/>
        </w:rPr>
        <w:t xml:space="preserve"> </w:t>
      </w:r>
      <w:proofErr w:type="spellStart"/>
      <w:r w:rsidRPr="009B0E45">
        <w:rPr>
          <w:rFonts w:ascii="Arial" w:eastAsia="Arial" w:hAnsi="Arial" w:cs="Arial"/>
          <w:b/>
          <w:bCs/>
          <w:sz w:val="24"/>
          <w:szCs w:val="24"/>
        </w:rPr>
        <w:t>diseases</w:t>
      </w:r>
      <w:proofErr w:type="spellEnd"/>
      <w:r w:rsidRPr="009B0E45">
        <w:rPr>
          <w:rFonts w:ascii="Arial" w:eastAsia="Arial" w:hAnsi="Arial" w:cs="Arial"/>
          <w:sz w:val="24"/>
          <w:szCs w:val="24"/>
        </w:rPr>
        <w:t>, v. 49, n. 6, p. 942-948, 2009.  Disponível em: &lt;</w:t>
      </w:r>
      <w:hyperlink r:id="rId14" w:history="1">
        <w:r w:rsidRPr="009B0E45">
          <w:rPr>
            <w:rStyle w:val="Hyperlink"/>
            <w:rFonts w:ascii="Arial" w:eastAsia="Arial" w:hAnsi="Arial" w:cs="Arial"/>
            <w:sz w:val="24"/>
            <w:szCs w:val="24"/>
          </w:rPr>
          <w:t>https://pubmed.ncbi.nlm.nih.gov/19663604/</w:t>
        </w:r>
      </w:hyperlink>
      <w:r w:rsidRPr="009B0E45">
        <w:rPr>
          <w:rFonts w:ascii="Arial" w:eastAsia="Arial" w:hAnsi="Arial" w:cs="Arial"/>
          <w:sz w:val="24"/>
          <w:szCs w:val="24"/>
        </w:rPr>
        <w:t xml:space="preserve"> </w:t>
      </w:r>
      <w:proofErr w:type="gramStart"/>
      <w:r w:rsidRPr="009B0E45">
        <w:rPr>
          <w:rFonts w:ascii="Arial" w:eastAsia="Arial" w:hAnsi="Arial" w:cs="Arial"/>
          <w:sz w:val="24"/>
          <w:szCs w:val="24"/>
        </w:rPr>
        <w:t>&gt; .</w:t>
      </w:r>
      <w:proofErr w:type="gramEnd"/>
      <w:r w:rsidRPr="009B0E45">
        <w:rPr>
          <w:rFonts w:ascii="Arial" w:eastAsia="Arial" w:hAnsi="Arial" w:cs="Arial"/>
          <w:sz w:val="24"/>
          <w:szCs w:val="24"/>
        </w:rPr>
        <w:t xml:space="preserve"> Acesso em: 03 jun. 2024. </w:t>
      </w:r>
    </w:p>
    <w:p w14:paraId="7937F8E6" w14:textId="77777777" w:rsidR="009B0E45" w:rsidRPr="009B0E45" w:rsidRDefault="009B0E45" w:rsidP="009B0E45">
      <w:pPr>
        <w:numPr>
          <w:ilvl w:val="0"/>
          <w:numId w:val="4"/>
        </w:numPr>
        <w:tabs>
          <w:tab w:val="clear" w:pos="720"/>
          <w:tab w:val="num" w:pos="360"/>
        </w:tabs>
        <w:spacing w:after="0" w:line="240" w:lineRule="auto"/>
        <w:ind w:left="0" w:firstLine="851"/>
        <w:jc w:val="both"/>
        <w:rPr>
          <w:rFonts w:ascii="Arial" w:eastAsia="Arial" w:hAnsi="Arial" w:cs="Arial"/>
          <w:sz w:val="24"/>
          <w:szCs w:val="24"/>
        </w:rPr>
      </w:pPr>
      <w:r w:rsidRPr="009B0E45">
        <w:rPr>
          <w:rFonts w:ascii="Arial" w:eastAsia="Arial" w:hAnsi="Arial" w:cs="Arial"/>
          <w:sz w:val="24"/>
          <w:szCs w:val="24"/>
        </w:rPr>
        <w:t xml:space="preserve">BRASIL. Ministério da Saúde. </w:t>
      </w:r>
      <w:r w:rsidRPr="009B0E45">
        <w:rPr>
          <w:rFonts w:ascii="Arial" w:eastAsia="Arial" w:hAnsi="Arial" w:cs="Arial"/>
          <w:b/>
          <w:bCs/>
          <w:sz w:val="24"/>
          <w:szCs w:val="24"/>
        </w:rPr>
        <w:t>Chikungunya</w:t>
      </w:r>
      <w:r w:rsidRPr="009B0E45">
        <w:rPr>
          <w:rFonts w:ascii="Arial" w:eastAsia="Arial" w:hAnsi="Arial" w:cs="Arial"/>
          <w:sz w:val="24"/>
          <w:szCs w:val="24"/>
        </w:rPr>
        <w:t>. Disponível em: &lt;</w:t>
      </w:r>
      <w:hyperlink r:id="rId15" w:history="1">
        <w:r w:rsidRPr="009B0E45">
          <w:rPr>
            <w:rStyle w:val="Hyperlink"/>
            <w:rFonts w:ascii="Arial" w:eastAsia="Arial" w:hAnsi="Arial" w:cs="Arial"/>
            <w:sz w:val="24"/>
            <w:szCs w:val="24"/>
          </w:rPr>
          <w:t>https://www.gov.br/saude/pt-br/assuntos/saude-de-a-a-z/c/chikungunya</w:t>
        </w:r>
      </w:hyperlink>
      <w:r w:rsidRPr="009B0E45">
        <w:rPr>
          <w:rFonts w:ascii="Arial" w:eastAsia="Arial" w:hAnsi="Arial" w:cs="Arial"/>
          <w:sz w:val="24"/>
          <w:szCs w:val="24"/>
        </w:rPr>
        <w:t xml:space="preserve"> </w:t>
      </w:r>
      <w:proofErr w:type="gramStart"/>
      <w:r w:rsidRPr="009B0E45">
        <w:rPr>
          <w:rFonts w:ascii="Arial" w:eastAsia="Arial" w:hAnsi="Arial" w:cs="Arial"/>
          <w:sz w:val="24"/>
          <w:szCs w:val="24"/>
        </w:rPr>
        <w:t>&gt; .</w:t>
      </w:r>
      <w:proofErr w:type="gramEnd"/>
      <w:r w:rsidRPr="009B0E45">
        <w:rPr>
          <w:rFonts w:ascii="Arial" w:eastAsia="Arial" w:hAnsi="Arial" w:cs="Arial"/>
          <w:sz w:val="24"/>
          <w:szCs w:val="24"/>
        </w:rPr>
        <w:t xml:space="preserve"> Acesso em: 03 jun. 2024. </w:t>
      </w:r>
    </w:p>
    <w:p w14:paraId="73547C93" w14:textId="77777777" w:rsidR="009B0E45" w:rsidRPr="009B0E45" w:rsidRDefault="009B0E45" w:rsidP="009B0E45">
      <w:pPr>
        <w:numPr>
          <w:ilvl w:val="0"/>
          <w:numId w:val="4"/>
        </w:numPr>
        <w:tabs>
          <w:tab w:val="clear" w:pos="720"/>
          <w:tab w:val="num" w:pos="360"/>
        </w:tabs>
        <w:spacing w:after="0" w:line="240" w:lineRule="auto"/>
        <w:ind w:left="0" w:firstLine="851"/>
        <w:jc w:val="both"/>
        <w:rPr>
          <w:rFonts w:ascii="Arial" w:eastAsia="Arial" w:hAnsi="Arial" w:cs="Arial"/>
          <w:sz w:val="24"/>
          <w:szCs w:val="24"/>
        </w:rPr>
      </w:pPr>
      <w:r w:rsidRPr="009B0E45">
        <w:rPr>
          <w:rFonts w:ascii="Arial" w:eastAsia="Arial" w:hAnsi="Arial" w:cs="Arial"/>
          <w:sz w:val="24"/>
          <w:szCs w:val="24"/>
        </w:rPr>
        <w:t xml:space="preserve">WILSON, M. E; LENSCHOW, D. Chikungunya </w:t>
      </w:r>
      <w:proofErr w:type="spellStart"/>
      <w:r w:rsidRPr="009B0E45">
        <w:rPr>
          <w:rFonts w:ascii="Arial" w:eastAsia="Arial" w:hAnsi="Arial" w:cs="Arial"/>
          <w:sz w:val="24"/>
          <w:szCs w:val="24"/>
        </w:rPr>
        <w:t>fever</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Epidemiology</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clinical</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manifestations</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and</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diagnosis</w:t>
      </w:r>
      <w:proofErr w:type="spellEnd"/>
      <w:r w:rsidRPr="009B0E45">
        <w:rPr>
          <w:rFonts w:ascii="Arial" w:eastAsia="Arial" w:hAnsi="Arial" w:cs="Arial"/>
          <w:sz w:val="24"/>
          <w:szCs w:val="24"/>
        </w:rPr>
        <w:t xml:space="preserve">. </w:t>
      </w:r>
      <w:proofErr w:type="spellStart"/>
      <w:r w:rsidRPr="009B0E45">
        <w:rPr>
          <w:rFonts w:ascii="Arial" w:eastAsia="Arial" w:hAnsi="Arial" w:cs="Arial"/>
          <w:b/>
          <w:bCs/>
          <w:sz w:val="24"/>
          <w:szCs w:val="24"/>
        </w:rPr>
        <w:t>UpToDate</w:t>
      </w:r>
      <w:proofErr w:type="spellEnd"/>
      <w:r w:rsidRPr="009B0E45">
        <w:rPr>
          <w:rFonts w:ascii="Arial" w:eastAsia="Arial" w:hAnsi="Arial" w:cs="Arial"/>
          <w:sz w:val="24"/>
          <w:szCs w:val="24"/>
        </w:rPr>
        <w:t xml:space="preserve">. </w:t>
      </w:r>
      <w:proofErr w:type="spellStart"/>
      <w:r w:rsidRPr="009B0E45">
        <w:rPr>
          <w:rFonts w:ascii="Arial" w:eastAsia="Arial" w:hAnsi="Arial" w:cs="Arial"/>
          <w:sz w:val="24"/>
          <w:szCs w:val="24"/>
        </w:rPr>
        <w:t>Waltham</w:t>
      </w:r>
      <w:proofErr w:type="spellEnd"/>
      <w:r w:rsidRPr="009B0E45">
        <w:rPr>
          <w:rFonts w:ascii="Arial" w:eastAsia="Arial" w:hAnsi="Arial" w:cs="Arial"/>
          <w:sz w:val="24"/>
          <w:szCs w:val="24"/>
        </w:rPr>
        <w:t xml:space="preserve">, MA: </w:t>
      </w:r>
      <w:proofErr w:type="spellStart"/>
      <w:r w:rsidRPr="009B0E45">
        <w:rPr>
          <w:rFonts w:ascii="Arial" w:eastAsia="Arial" w:hAnsi="Arial" w:cs="Arial"/>
          <w:sz w:val="24"/>
          <w:szCs w:val="24"/>
        </w:rPr>
        <w:t>UpToDate</w:t>
      </w:r>
      <w:proofErr w:type="spellEnd"/>
      <w:r w:rsidRPr="009B0E45">
        <w:rPr>
          <w:rFonts w:ascii="Arial" w:eastAsia="Arial" w:hAnsi="Arial" w:cs="Arial"/>
          <w:sz w:val="24"/>
          <w:szCs w:val="24"/>
        </w:rPr>
        <w:t>, 2024. Disponível em: &lt;</w:t>
      </w:r>
      <w:hyperlink r:id="rId16" w:anchor="H1921522517" w:history="1">
        <w:r w:rsidRPr="009B0E45">
          <w:rPr>
            <w:rStyle w:val="Hyperlink"/>
            <w:rFonts w:ascii="Arial" w:eastAsia="Arial" w:hAnsi="Arial" w:cs="Arial"/>
            <w:sz w:val="24"/>
            <w:szCs w:val="24"/>
          </w:rPr>
          <w:t xml:space="preserve"> https://www.uptodate.com/contents/chikungunya-fever-epidemiology-clinical-manifestations-and-diagnosis?search=chikungunya&amp;source=search_result&amp;selectedTitle=1%7E49&amp;usage_type=default&amp;display_rank=1#H1921522517</w:t>
        </w:r>
      </w:hyperlink>
      <w:r w:rsidRPr="009B0E45">
        <w:rPr>
          <w:rFonts w:ascii="Arial" w:eastAsia="Arial" w:hAnsi="Arial" w:cs="Arial"/>
          <w:sz w:val="24"/>
          <w:szCs w:val="24"/>
        </w:rPr>
        <w:t xml:space="preserve"> &gt;. Acesso em: 03 jun. 2024.</w:t>
      </w:r>
    </w:p>
    <w:p w14:paraId="42C68BBA" w14:textId="77777777" w:rsidR="000A62C9" w:rsidRDefault="000A62C9">
      <w:pPr>
        <w:spacing w:after="0" w:line="240" w:lineRule="auto"/>
        <w:ind w:left="720"/>
        <w:rPr>
          <w:rFonts w:ascii="Arial" w:eastAsia="Arial" w:hAnsi="Arial" w:cs="Arial"/>
          <w:sz w:val="24"/>
          <w:szCs w:val="24"/>
        </w:rPr>
      </w:pPr>
    </w:p>
    <w:p w14:paraId="55EB28AC" w14:textId="77777777" w:rsidR="000A62C9" w:rsidRDefault="00000000">
      <w:pPr>
        <w:numPr>
          <w:ilvl w:val="0"/>
          <w:numId w:val="2"/>
        </w:numPr>
        <w:spacing w:after="0" w:line="240" w:lineRule="auto"/>
        <w:rPr>
          <w:rFonts w:ascii="Arial" w:eastAsia="Arial" w:hAnsi="Arial" w:cs="Arial"/>
          <w:b/>
          <w:sz w:val="24"/>
          <w:szCs w:val="24"/>
        </w:rPr>
      </w:pPr>
      <w:r>
        <w:rPr>
          <w:rFonts w:ascii="Arial" w:eastAsia="Arial" w:hAnsi="Arial" w:cs="Arial"/>
          <w:b/>
          <w:sz w:val="24"/>
          <w:szCs w:val="24"/>
        </w:rPr>
        <w:t>AGRADECIMENTOS</w:t>
      </w:r>
    </w:p>
    <w:p w14:paraId="398440FA" w14:textId="77777777" w:rsidR="000A62C9" w:rsidRDefault="000A62C9">
      <w:pPr>
        <w:spacing w:after="0" w:line="240" w:lineRule="auto"/>
        <w:ind w:left="720"/>
        <w:rPr>
          <w:rFonts w:ascii="Arial" w:eastAsia="Arial" w:hAnsi="Arial" w:cs="Arial"/>
          <w:b/>
          <w:sz w:val="24"/>
          <w:szCs w:val="24"/>
        </w:rPr>
      </w:pPr>
    </w:p>
    <w:p w14:paraId="21BD7F47" w14:textId="77777777" w:rsidR="000A62C9" w:rsidRDefault="000A62C9">
      <w:pPr>
        <w:spacing w:after="0" w:line="240" w:lineRule="auto"/>
        <w:ind w:left="720"/>
        <w:rPr>
          <w:rFonts w:ascii="Arial" w:eastAsia="Arial" w:hAnsi="Arial" w:cs="Arial"/>
          <w:sz w:val="24"/>
          <w:szCs w:val="24"/>
        </w:rPr>
      </w:pPr>
    </w:p>
    <w:p w14:paraId="420767EF" w14:textId="69DA9DE6" w:rsidR="000A62C9" w:rsidRDefault="009B0E45" w:rsidP="009B0E45">
      <w:pPr>
        <w:spacing w:after="0" w:line="360" w:lineRule="auto"/>
        <w:ind w:firstLine="993"/>
        <w:jc w:val="both"/>
        <w:rPr>
          <w:rFonts w:ascii="Arial" w:eastAsia="Arial" w:hAnsi="Arial" w:cs="Arial"/>
          <w:sz w:val="24"/>
          <w:szCs w:val="24"/>
        </w:rPr>
      </w:pPr>
      <w:r w:rsidRPr="009B0E45">
        <w:rPr>
          <w:rFonts w:ascii="Arial" w:eastAsia="Arial" w:hAnsi="Arial" w:cs="Arial"/>
          <w:sz w:val="24"/>
          <w:szCs w:val="24"/>
        </w:rPr>
        <w:t xml:space="preserve">Agradeço ao professor e doutor Raphael Gomes Ferreira, pela orientação técnica, </w:t>
      </w:r>
      <w:r>
        <w:rPr>
          <w:rFonts w:ascii="Arial" w:eastAsia="Arial" w:hAnsi="Arial" w:cs="Arial"/>
          <w:sz w:val="24"/>
          <w:szCs w:val="24"/>
        </w:rPr>
        <w:t>e</w:t>
      </w:r>
      <w:r w:rsidRPr="009B0E45">
        <w:rPr>
          <w:rFonts w:ascii="Arial" w:eastAsia="Arial" w:hAnsi="Arial" w:cs="Arial"/>
          <w:sz w:val="24"/>
          <w:szCs w:val="24"/>
        </w:rPr>
        <w:t xml:space="preserve"> </w:t>
      </w:r>
      <w:r>
        <w:rPr>
          <w:rFonts w:ascii="Arial" w:eastAsia="Arial" w:hAnsi="Arial" w:cs="Arial"/>
          <w:sz w:val="24"/>
          <w:szCs w:val="24"/>
        </w:rPr>
        <w:t>pela</w:t>
      </w:r>
      <w:r w:rsidRPr="009B0E45">
        <w:rPr>
          <w:rFonts w:ascii="Arial" w:eastAsia="Arial" w:hAnsi="Arial" w:cs="Arial"/>
          <w:sz w:val="24"/>
          <w:szCs w:val="24"/>
        </w:rPr>
        <w:t xml:space="preserve"> dedicação e compromisso com a pesquisa acadêmica. </w:t>
      </w:r>
      <w:r>
        <w:rPr>
          <w:rFonts w:ascii="Arial" w:eastAsia="Arial" w:hAnsi="Arial" w:cs="Arial"/>
          <w:sz w:val="24"/>
          <w:szCs w:val="24"/>
        </w:rPr>
        <w:t xml:space="preserve">Agradeço também pelo </w:t>
      </w:r>
      <w:r w:rsidR="00F00C55">
        <w:rPr>
          <w:rFonts w:ascii="Arial" w:eastAsia="Arial" w:hAnsi="Arial" w:cs="Arial"/>
          <w:sz w:val="24"/>
          <w:szCs w:val="24"/>
        </w:rPr>
        <w:t>grande</w:t>
      </w:r>
      <w:r w:rsidRPr="009B0E45">
        <w:rPr>
          <w:rFonts w:ascii="Arial" w:eastAsia="Arial" w:hAnsi="Arial" w:cs="Arial"/>
          <w:sz w:val="24"/>
          <w:szCs w:val="24"/>
        </w:rPr>
        <w:t xml:space="preserve"> apoio do Conselho Nacional de Desenvolvimento Científico e Tecnológico – CNPq - por viabilizar a realização deste trabalho.</w:t>
      </w:r>
    </w:p>
    <w:sectPr w:rsidR="000A62C9">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8FF1" w14:textId="77777777" w:rsidR="000E00A5" w:rsidRDefault="000E00A5">
      <w:pPr>
        <w:spacing w:after="0" w:line="240" w:lineRule="auto"/>
      </w:pPr>
      <w:r>
        <w:separator/>
      </w:r>
    </w:p>
  </w:endnote>
  <w:endnote w:type="continuationSeparator" w:id="0">
    <w:p w14:paraId="170B9485" w14:textId="77777777" w:rsidR="000E00A5" w:rsidRDefault="000E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6D10" w14:textId="77777777" w:rsidR="000A62C9" w:rsidRDefault="000A62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B4C1" w14:textId="77777777" w:rsidR="000A62C9" w:rsidRDefault="00000000">
    <w:pPr>
      <w:jc w:val="right"/>
    </w:pPr>
    <w:r>
      <w:fldChar w:fldCharType="begin"/>
    </w:r>
    <w:r>
      <w:instrText>PAGE</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E97" w14:textId="77777777" w:rsidR="000A62C9" w:rsidRDefault="00000000">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85E6" w14:textId="77777777" w:rsidR="000E00A5" w:rsidRDefault="000E00A5">
      <w:pPr>
        <w:rPr>
          <w:sz w:val="12"/>
        </w:rPr>
      </w:pPr>
      <w:r>
        <w:separator/>
      </w:r>
    </w:p>
  </w:footnote>
  <w:footnote w:type="continuationSeparator" w:id="0">
    <w:p w14:paraId="01FA754E" w14:textId="77777777" w:rsidR="000E00A5" w:rsidRDefault="000E00A5">
      <w:pPr>
        <w:rPr>
          <w:sz w:val="12"/>
        </w:rPr>
      </w:pPr>
      <w:r>
        <w:continuationSeparator/>
      </w:r>
    </w:p>
  </w:footnote>
  <w:footnote w:id="1">
    <w:p w14:paraId="7AB27DF0" w14:textId="1E081617" w:rsidR="000A62C9" w:rsidRDefault="00000000">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Bolsista do Programa de Iniciação Científica (PIBIC/</w:t>
      </w:r>
      <w:r w:rsidR="00D3000A">
        <w:rPr>
          <w:rFonts w:ascii="Arial" w:eastAsia="Arial" w:hAnsi="Arial" w:cs="Arial"/>
          <w:color w:val="000000"/>
          <w:sz w:val="20"/>
          <w:szCs w:val="20"/>
        </w:rPr>
        <w:t>CNPq</w:t>
      </w:r>
      <w:r>
        <w:rPr>
          <w:rFonts w:ascii="Arial" w:eastAsia="Arial" w:hAnsi="Arial" w:cs="Arial"/>
          <w:color w:val="000000"/>
          <w:sz w:val="20"/>
          <w:szCs w:val="20"/>
        </w:rPr>
        <w:t xml:space="preserve">). Universidade Federal do Norte do Tocantins (UFNT), </w:t>
      </w:r>
      <w:r w:rsidR="00D3000A">
        <w:rPr>
          <w:rFonts w:ascii="Arial" w:eastAsia="Arial" w:hAnsi="Arial" w:cs="Arial"/>
          <w:color w:val="000000"/>
          <w:sz w:val="20"/>
          <w:szCs w:val="20"/>
        </w:rPr>
        <w:t>Faculdade de Ciências da Saúde</w:t>
      </w:r>
      <w:r>
        <w:rPr>
          <w:rFonts w:ascii="Arial" w:eastAsia="Arial" w:hAnsi="Arial" w:cs="Arial"/>
          <w:color w:val="000000"/>
          <w:sz w:val="20"/>
          <w:szCs w:val="20"/>
        </w:rPr>
        <w:t>.</w:t>
      </w:r>
      <w:r w:rsidR="00D3000A">
        <w:rPr>
          <w:rFonts w:ascii="Arial" w:eastAsia="Arial" w:hAnsi="Arial" w:cs="Arial"/>
          <w:color w:val="000000"/>
          <w:sz w:val="20"/>
          <w:szCs w:val="20"/>
        </w:rPr>
        <w:t xml:space="preserve"> lucas.rocha@ufnt.edu.br</w:t>
      </w:r>
      <w:r>
        <w:rPr>
          <w:rFonts w:ascii="Arial" w:eastAsia="Arial" w:hAnsi="Arial" w:cs="Arial"/>
          <w:color w:val="000000"/>
          <w:sz w:val="20"/>
          <w:szCs w:val="20"/>
        </w:rPr>
        <w:t xml:space="preserve"> </w:t>
      </w:r>
    </w:p>
  </w:footnote>
  <w:footnote w:id="2">
    <w:p w14:paraId="2C966796" w14:textId="2313A422" w:rsidR="000A62C9" w:rsidRDefault="00000000">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w:t>
      </w:r>
      <w:r w:rsidR="00D3000A" w:rsidRPr="00D3000A">
        <w:rPr>
          <w:rFonts w:ascii="Arial" w:eastAsia="Arial" w:hAnsi="Arial" w:cs="Arial"/>
          <w:color w:val="000000"/>
          <w:sz w:val="20"/>
          <w:szCs w:val="20"/>
        </w:rPr>
        <w:t>Orientador de Iniciação Científica (PIBIC/</w:t>
      </w:r>
      <w:r w:rsidR="00D3000A">
        <w:rPr>
          <w:rFonts w:ascii="Arial" w:eastAsia="Arial" w:hAnsi="Arial" w:cs="Arial"/>
          <w:color w:val="000000"/>
          <w:sz w:val="20"/>
          <w:szCs w:val="20"/>
        </w:rPr>
        <w:t>CNPq</w:t>
      </w:r>
      <w:r w:rsidR="00D3000A" w:rsidRPr="00D3000A">
        <w:rPr>
          <w:rFonts w:ascii="Arial" w:eastAsia="Arial" w:hAnsi="Arial" w:cs="Arial"/>
          <w:color w:val="000000"/>
          <w:sz w:val="20"/>
          <w:szCs w:val="20"/>
        </w:rPr>
        <w:t>). Universidade Federal do Norte do Tocantins (UFNT), Faculdade de Ciências da Saúde. raphael.ferreira@ufnt.edu.br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520B" w14:textId="77777777" w:rsidR="000A62C9" w:rsidRDefault="000A62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25EB" w14:textId="77777777" w:rsidR="000A62C9" w:rsidRDefault="00000000">
    <w:r>
      <w:rPr>
        <w:noProof/>
      </w:rPr>
      <w:drawing>
        <wp:anchor distT="0" distB="0" distL="0" distR="0" simplePos="0" relativeHeight="251657216" behindDoc="0" locked="0" layoutInCell="0" allowOverlap="1" wp14:anchorId="655E6D76" wp14:editId="729A45E5">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66DA8BF3" w14:textId="77777777" w:rsidR="000A62C9" w:rsidRDefault="000A62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3399" w14:textId="77777777" w:rsidR="000A62C9" w:rsidRDefault="00000000">
    <w:r>
      <w:rPr>
        <w:noProof/>
      </w:rPr>
      <w:drawing>
        <wp:anchor distT="0" distB="0" distL="0" distR="0" simplePos="0" relativeHeight="251658240" behindDoc="0" locked="0" layoutInCell="0" allowOverlap="1" wp14:anchorId="23784FF7" wp14:editId="59A06E40">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170155D7" w14:textId="77777777" w:rsidR="000A62C9" w:rsidRDefault="000A6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6555"/>
    <w:multiLevelType w:val="multilevel"/>
    <w:tmpl w:val="776E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A32AD"/>
    <w:multiLevelType w:val="multilevel"/>
    <w:tmpl w:val="C7D85E36"/>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15:restartNumberingAfterBreak="0">
    <w:nsid w:val="5CE219C0"/>
    <w:multiLevelType w:val="multilevel"/>
    <w:tmpl w:val="3FECABB2"/>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abstractNum w:abstractNumId="3" w15:restartNumberingAfterBreak="0">
    <w:nsid w:val="62743C01"/>
    <w:multiLevelType w:val="multilevel"/>
    <w:tmpl w:val="4BE4D7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69870021">
    <w:abstractNumId w:val="2"/>
  </w:num>
  <w:num w:numId="2" w16cid:durableId="1442646563">
    <w:abstractNumId w:val="1"/>
  </w:num>
  <w:num w:numId="3" w16cid:durableId="1995983737">
    <w:abstractNumId w:val="3"/>
  </w:num>
  <w:num w:numId="4" w16cid:durableId="175015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C9"/>
    <w:rsid w:val="0007766E"/>
    <w:rsid w:val="000A62C9"/>
    <w:rsid w:val="000E00A5"/>
    <w:rsid w:val="000E4D1E"/>
    <w:rsid w:val="00292DC9"/>
    <w:rsid w:val="00750401"/>
    <w:rsid w:val="009B0E45"/>
    <w:rsid w:val="00A17802"/>
    <w:rsid w:val="00D3000A"/>
    <w:rsid w:val="00D512EE"/>
    <w:rsid w:val="00E321AC"/>
    <w:rsid w:val="00F00C55"/>
    <w:rsid w:val="00F56AA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58F0"/>
  <w15:docId w15:val="{2D4B9477-2449-4251-9004-C1F0063C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paragraph" w:styleId="PargrafodaLista">
    <w:name w:val="List Paragraph"/>
    <w:basedOn w:val="Normal"/>
    <w:uiPriority w:val="34"/>
    <w:qFormat/>
    <w:rsid w:val="00F56AA0"/>
    <w:pPr>
      <w:ind w:left="720"/>
      <w:contextualSpacing/>
    </w:pPr>
  </w:style>
  <w:style w:type="character" w:styleId="Hyperlink">
    <w:name w:val="Hyperlink"/>
    <w:basedOn w:val="Fontepargpadro"/>
    <w:uiPriority w:val="99"/>
    <w:unhideWhenUsed/>
    <w:rsid w:val="009B0E45"/>
    <w:rPr>
      <w:color w:val="0563C1" w:themeColor="hyperlink"/>
      <w:u w:val="single"/>
    </w:rPr>
  </w:style>
  <w:style w:type="character" w:styleId="MenoPendente">
    <w:name w:val="Unresolved Mention"/>
    <w:basedOn w:val="Fontepargpadro"/>
    <w:uiPriority w:val="99"/>
    <w:semiHidden/>
    <w:unhideWhenUsed/>
    <w:rsid w:val="009B0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todate.com/contents/chikungunya-fever-epidemiology-clinical-manifestations-and-diagnosis?search=chikungunya&amp;source=search_result&amp;selectedTitle=1%7E49&amp;usage_type=default&amp;display_rank=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saude/pt-br/assuntos/saude-de-a-a-z/c/chikungunya"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ubmed.ncbi.nlm.nih.gov/1966360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1357</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Lucas</cp:lastModifiedBy>
  <cp:revision>2</cp:revision>
  <dcterms:created xsi:type="dcterms:W3CDTF">2025-10-13T21:33:00Z</dcterms:created>
  <dcterms:modified xsi:type="dcterms:W3CDTF">2025-10-13T21:33:00Z</dcterms:modified>
  <dc:language>pt-BR</dc:language>
</cp:coreProperties>
</file>