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C60176" w:rsidRDefault="00000000">
      <w:pPr>
        <w:spacing w:after="160" w:line="259" w:lineRule="auto"/>
        <w:rPr>
          <w:rFonts w:ascii="Calibri" w:eastAsia="Calibri" w:hAnsi="Calibri" w:cs="Calibri"/>
          <w:color w:val="000000"/>
          <w:sz w:val="22"/>
          <w:szCs w:val="22"/>
        </w:rPr>
      </w:pPr>
      <w:r>
        <w:object w:dxaOrig="9348" w:dyaOrig="2484" w14:anchorId="15577786">
          <v:rect id="rectole0000000000" o:spid="_x0000_i1025" style="width:467.25pt;height:124.5pt" o:ole="" o:preferrelative="t" stroked="f">
            <v:imagedata r:id="rId5" o:title=""/>
          </v:rect>
          <o:OLEObject Type="Embed" ProgID="StaticMetafile" ShapeID="rectole0000000000" DrawAspect="Content" ObjectID="_1819224084" r:id="rId6"/>
        </w:object>
      </w:r>
    </w:p>
    <w:p w14:paraId="00000002" w14:textId="77777777" w:rsidR="00C60176" w:rsidRDefault="00C60176">
      <w:pPr>
        <w:jc w:val="center"/>
        <w:rPr>
          <w:b/>
          <w:color w:val="000000"/>
          <w:sz w:val="24"/>
          <w:szCs w:val="24"/>
        </w:rPr>
      </w:pPr>
    </w:p>
    <w:p w14:paraId="00000004" w14:textId="486047EF" w:rsidR="00C60176" w:rsidRPr="00207821" w:rsidRDefault="00CC58C2">
      <w:pPr>
        <w:jc w:val="center"/>
        <w:rPr>
          <w:b/>
          <w:color w:val="000000"/>
          <w:sz w:val="24"/>
          <w:szCs w:val="24"/>
        </w:rPr>
      </w:pPr>
      <w:r w:rsidRPr="00CC58C2">
        <w:rPr>
          <w:b/>
          <w:color w:val="000000"/>
          <w:sz w:val="24"/>
          <w:szCs w:val="24"/>
        </w:rPr>
        <w:t>ACESSIBILIDADE DIGITAL COMO DIREITO: BARREIRAS E ESTRATÉGIAS DE INCLUSÃO</w:t>
      </w:r>
      <w:r>
        <w:rPr>
          <w:b/>
          <w:color w:val="000000"/>
          <w:sz w:val="24"/>
          <w:szCs w:val="24"/>
        </w:rPr>
        <w:t>.</w:t>
      </w:r>
    </w:p>
    <w:p w14:paraId="00000006" w14:textId="77777777" w:rsidR="00C60176" w:rsidRPr="00207821" w:rsidRDefault="00C60176">
      <w:pPr>
        <w:jc w:val="right"/>
        <w:rPr>
          <w:color w:val="000000"/>
          <w:sz w:val="24"/>
          <w:szCs w:val="24"/>
        </w:rPr>
      </w:pPr>
    </w:p>
    <w:p w14:paraId="577D3598" w14:textId="4908C745" w:rsidR="00C747B4" w:rsidRDefault="00C747B4" w:rsidP="00207821">
      <w:pPr>
        <w:jc w:val="right"/>
        <w:rPr>
          <w:color w:val="000000" w:themeColor="text1"/>
          <w:sz w:val="24"/>
          <w:szCs w:val="24"/>
        </w:rPr>
      </w:pPr>
      <w:r>
        <w:rPr>
          <w:color w:val="000000" w:themeColor="text1"/>
          <w:sz w:val="24"/>
          <w:szCs w:val="24"/>
        </w:rPr>
        <w:t>K</w:t>
      </w:r>
      <w:r w:rsidRPr="00207821">
        <w:rPr>
          <w:color w:val="000000" w:themeColor="text1"/>
          <w:sz w:val="24"/>
          <w:szCs w:val="24"/>
        </w:rPr>
        <w:t>arolyne</w:t>
      </w:r>
      <w:r>
        <w:rPr>
          <w:color w:val="000000" w:themeColor="text1"/>
          <w:sz w:val="24"/>
          <w:szCs w:val="24"/>
        </w:rPr>
        <w:t xml:space="preserve"> H</w:t>
      </w:r>
      <w:r w:rsidRPr="00207821">
        <w:rPr>
          <w:color w:val="000000" w:themeColor="text1"/>
          <w:sz w:val="24"/>
          <w:szCs w:val="24"/>
        </w:rPr>
        <w:t>ozany</w:t>
      </w:r>
      <w:r>
        <w:rPr>
          <w:color w:val="000000" w:themeColor="text1"/>
          <w:sz w:val="24"/>
          <w:szCs w:val="24"/>
        </w:rPr>
        <w:t xml:space="preserve"> R</w:t>
      </w:r>
      <w:r w:rsidRPr="00207821">
        <w:rPr>
          <w:color w:val="000000" w:themeColor="text1"/>
          <w:sz w:val="24"/>
          <w:szCs w:val="24"/>
        </w:rPr>
        <w:t>odrigues</w:t>
      </w:r>
      <w:r w:rsidR="007B1481">
        <w:rPr>
          <w:color w:val="000000" w:themeColor="text1"/>
          <w:sz w:val="24"/>
          <w:szCs w:val="24"/>
        </w:rPr>
        <w:t xml:space="preserve"> de Almeida</w:t>
      </w:r>
      <w:r w:rsidRPr="00207821">
        <w:rPr>
          <w:color w:val="000000" w:themeColor="text1"/>
          <w:sz w:val="24"/>
          <w:szCs w:val="24"/>
        </w:rPr>
        <w:t xml:space="preserve"> </w:t>
      </w:r>
    </w:p>
    <w:p w14:paraId="48554077" w14:textId="739C8A94" w:rsidR="00207821" w:rsidRPr="00207821" w:rsidRDefault="00207821" w:rsidP="00207821">
      <w:pPr>
        <w:jc w:val="right"/>
        <w:rPr>
          <w:color w:val="000000" w:themeColor="text1"/>
          <w:sz w:val="24"/>
          <w:szCs w:val="24"/>
        </w:rPr>
      </w:pPr>
      <w:r w:rsidRPr="00207821">
        <w:rPr>
          <w:color w:val="000000" w:themeColor="text1"/>
          <w:sz w:val="24"/>
          <w:szCs w:val="24"/>
        </w:rPr>
        <w:t>Universidade Estadual de Montes Claros- Unimontes</w:t>
      </w:r>
    </w:p>
    <w:p w14:paraId="00000008" w14:textId="77777777" w:rsidR="00C60176" w:rsidRPr="00207821" w:rsidRDefault="00000000">
      <w:pPr>
        <w:jc w:val="right"/>
        <w:rPr>
          <w:color w:val="000000" w:themeColor="text1"/>
          <w:sz w:val="24"/>
          <w:szCs w:val="24"/>
        </w:rPr>
      </w:pPr>
      <w:r w:rsidRPr="00207821">
        <w:rPr>
          <w:color w:val="000000" w:themeColor="text1"/>
          <w:sz w:val="24"/>
          <w:szCs w:val="24"/>
        </w:rPr>
        <w:t>karolynehozanyrodrigues@gmail.com</w:t>
      </w:r>
    </w:p>
    <w:p w14:paraId="7FECB9C6" w14:textId="77777777" w:rsidR="00207821" w:rsidRDefault="00207821">
      <w:pPr>
        <w:jc w:val="right"/>
        <w:rPr>
          <w:color w:val="000000" w:themeColor="text1"/>
          <w:sz w:val="24"/>
          <w:szCs w:val="24"/>
        </w:rPr>
      </w:pPr>
    </w:p>
    <w:p w14:paraId="0000000D" w14:textId="2F844235" w:rsidR="00C60176" w:rsidRPr="00207821" w:rsidRDefault="00000000">
      <w:pPr>
        <w:jc w:val="right"/>
        <w:rPr>
          <w:color w:val="000000" w:themeColor="text1"/>
          <w:sz w:val="24"/>
          <w:szCs w:val="24"/>
        </w:rPr>
      </w:pPr>
      <w:r w:rsidRPr="00207821">
        <w:rPr>
          <w:color w:val="000000" w:themeColor="text1"/>
          <w:sz w:val="24"/>
          <w:szCs w:val="24"/>
        </w:rPr>
        <w:t>Monnik Gomes Araújo</w:t>
      </w:r>
    </w:p>
    <w:p w14:paraId="0000000F" w14:textId="43108719" w:rsidR="00C60176" w:rsidRPr="00207821" w:rsidRDefault="00000000">
      <w:pPr>
        <w:jc w:val="right"/>
        <w:rPr>
          <w:color w:val="000000" w:themeColor="text1"/>
          <w:sz w:val="24"/>
          <w:szCs w:val="24"/>
        </w:rPr>
      </w:pPr>
      <w:r w:rsidRPr="00207821">
        <w:rPr>
          <w:color w:val="000000" w:themeColor="text1"/>
          <w:sz w:val="24"/>
          <w:szCs w:val="24"/>
        </w:rPr>
        <w:t>Universidade Estadual de Montes Claros- U</w:t>
      </w:r>
      <w:r w:rsidR="00207821" w:rsidRPr="00207821">
        <w:rPr>
          <w:color w:val="000000" w:themeColor="text1"/>
          <w:sz w:val="24"/>
          <w:szCs w:val="24"/>
        </w:rPr>
        <w:t>nimontes</w:t>
      </w:r>
    </w:p>
    <w:p w14:paraId="31E3195E" w14:textId="6748B958" w:rsidR="00207821" w:rsidRPr="00207821" w:rsidRDefault="00207821" w:rsidP="00207821">
      <w:pPr>
        <w:jc w:val="right"/>
        <w:rPr>
          <w:color w:val="000000" w:themeColor="text1"/>
          <w:sz w:val="24"/>
          <w:szCs w:val="24"/>
        </w:rPr>
      </w:pPr>
      <w:r w:rsidRPr="00207821">
        <w:rPr>
          <w:color w:val="000000" w:themeColor="text1"/>
          <w:sz w:val="24"/>
          <w:szCs w:val="24"/>
        </w:rPr>
        <w:t>monnikgomes3@gmail.com</w:t>
      </w:r>
    </w:p>
    <w:p w14:paraId="70240BBC" w14:textId="77777777" w:rsidR="00207821" w:rsidRDefault="00207821">
      <w:pPr>
        <w:jc w:val="right"/>
        <w:rPr>
          <w:color w:val="000000"/>
          <w:sz w:val="24"/>
          <w:szCs w:val="24"/>
        </w:rPr>
      </w:pPr>
    </w:p>
    <w:p w14:paraId="70EBF6C6" w14:textId="17B58F48" w:rsidR="00207821" w:rsidRDefault="00207821">
      <w:pPr>
        <w:jc w:val="right"/>
        <w:rPr>
          <w:color w:val="000000"/>
          <w:sz w:val="24"/>
          <w:szCs w:val="24"/>
        </w:rPr>
      </w:pPr>
      <w:r>
        <w:rPr>
          <w:color w:val="000000"/>
          <w:sz w:val="24"/>
          <w:szCs w:val="24"/>
        </w:rPr>
        <w:t>Júnea Tatiane Damasceno Oliveira</w:t>
      </w:r>
    </w:p>
    <w:p w14:paraId="03AC21A5" w14:textId="77777777" w:rsidR="00207821" w:rsidRPr="00207821" w:rsidRDefault="00207821" w:rsidP="00207821">
      <w:pPr>
        <w:jc w:val="right"/>
        <w:rPr>
          <w:color w:val="000000" w:themeColor="text1"/>
          <w:sz w:val="24"/>
          <w:szCs w:val="24"/>
        </w:rPr>
      </w:pPr>
      <w:r w:rsidRPr="00207821">
        <w:rPr>
          <w:color w:val="000000" w:themeColor="text1"/>
          <w:sz w:val="24"/>
          <w:szCs w:val="24"/>
        </w:rPr>
        <w:t>Universidade Estadual de Montes Claros- Unimontes</w:t>
      </w:r>
    </w:p>
    <w:p w14:paraId="0F9C922A" w14:textId="253B8B41" w:rsidR="00207821" w:rsidRPr="00207821" w:rsidRDefault="00C747B4">
      <w:pPr>
        <w:jc w:val="right"/>
        <w:rPr>
          <w:color w:val="000000"/>
          <w:sz w:val="24"/>
          <w:szCs w:val="24"/>
        </w:rPr>
      </w:pPr>
      <w:r>
        <w:rPr>
          <w:color w:val="000000"/>
          <w:sz w:val="24"/>
          <w:szCs w:val="24"/>
        </w:rPr>
        <w:t>j</w:t>
      </w:r>
      <w:r w:rsidR="00207821">
        <w:rPr>
          <w:color w:val="000000"/>
          <w:sz w:val="24"/>
          <w:szCs w:val="24"/>
        </w:rPr>
        <w:t>unea.oliveira@unimontes.br</w:t>
      </w:r>
    </w:p>
    <w:p w14:paraId="00000010" w14:textId="77777777" w:rsidR="00C60176" w:rsidRPr="00207821" w:rsidRDefault="00C60176">
      <w:pPr>
        <w:jc w:val="right"/>
        <w:rPr>
          <w:color w:val="000000"/>
          <w:sz w:val="24"/>
          <w:szCs w:val="24"/>
        </w:rPr>
      </w:pPr>
    </w:p>
    <w:p w14:paraId="7BEA0744" w14:textId="77777777" w:rsidR="002529DC" w:rsidRDefault="002529DC">
      <w:pPr>
        <w:jc w:val="right"/>
        <w:rPr>
          <w:b/>
          <w:color w:val="000000"/>
          <w:sz w:val="24"/>
          <w:szCs w:val="24"/>
        </w:rPr>
      </w:pPr>
      <w:r w:rsidRPr="002529DC">
        <w:rPr>
          <w:b/>
          <w:color w:val="000000"/>
          <w:sz w:val="24"/>
          <w:szCs w:val="24"/>
        </w:rPr>
        <w:t>Eixo 1 – Educação Inclusiva, Acessibilidade e Tecnologias Assistivas</w:t>
      </w:r>
    </w:p>
    <w:p w14:paraId="7BF5DA2F" w14:textId="77777777" w:rsidR="002529DC" w:rsidRDefault="002529DC">
      <w:pPr>
        <w:jc w:val="right"/>
        <w:rPr>
          <w:b/>
          <w:color w:val="000000"/>
          <w:sz w:val="24"/>
          <w:szCs w:val="24"/>
        </w:rPr>
      </w:pPr>
    </w:p>
    <w:p w14:paraId="00000012" w14:textId="66E1B796" w:rsidR="00C60176" w:rsidRPr="00207821" w:rsidRDefault="002529DC">
      <w:pPr>
        <w:jc w:val="right"/>
        <w:rPr>
          <w:b/>
          <w:color w:val="000000"/>
          <w:sz w:val="24"/>
          <w:szCs w:val="24"/>
        </w:rPr>
      </w:pPr>
      <w:r>
        <w:rPr>
          <w:b/>
          <w:color w:val="000000"/>
          <w:sz w:val="24"/>
          <w:szCs w:val="24"/>
        </w:rPr>
        <w:t xml:space="preserve">Palavras-chave: </w:t>
      </w:r>
      <w:r w:rsidRPr="002529DC">
        <w:rPr>
          <w:bCs/>
          <w:color w:val="000000"/>
          <w:sz w:val="24"/>
          <w:szCs w:val="24"/>
        </w:rPr>
        <w:t xml:space="preserve">Exclusão </w:t>
      </w:r>
      <w:r>
        <w:rPr>
          <w:bCs/>
          <w:color w:val="000000"/>
          <w:sz w:val="24"/>
          <w:szCs w:val="24"/>
        </w:rPr>
        <w:t>D</w:t>
      </w:r>
      <w:r w:rsidRPr="002529DC">
        <w:rPr>
          <w:bCs/>
          <w:color w:val="000000"/>
          <w:sz w:val="24"/>
          <w:szCs w:val="24"/>
        </w:rPr>
        <w:t xml:space="preserve">igital, </w:t>
      </w:r>
      <w:r>
        <w:rPr>
          <w:bCs/>
          <w:color w:val="000000"/>
          <w:sz w:val="24"/>
          <w:szCs w:val="24"/>
        </w:rPr>
        <w:t>G</w:t>
      </w:r>
      <w:r w:rsidRPr="002529DC">
        <w:rPr>
          <w:bCs/>
          <w:color w:val="000000"/>
          <w:sz w:val="24"/>
          <w:szCs w:val="24"/>
        </w:rPr>
        <w:t xml:space="preserve">rupos vulneráveis, </w:t>
      </w:r>
      <w:r>
        <w:rPr>
          <w:bCs/>
          <w:color w:val="000000"/>
          <w:sz w:val="24"/>
          <w:szCs w:val="24"/>
        </w:rPr>
        <w:t>I</w:t>
      </w:r>
      <w:r w:rsidRPr="002529DC">
        <w:rPr>
          <w:bCs/>
          <w:color w:val="000000"/>
          <w:sz w:val="24"/>
          <w:szCs w:val="24"/>
        </w:rPr>
        <w:t xml:space="preserve">nclusão </w:t>
      </w:r>
      <w:r>
        <w:rPr>
          <w:bCs/>
          <w:color w:val="000000"/>
          <w:sz w:val="24"/>
          <w:szCs w:val="24"/>
        </w:rPr>
        <w:t>T</w:t>
      </w:r>
      <w:r w:rsidRPr="002529DC">
        <w:rPr>
          <w:bCs/>
          <w:color w:val="000000"/>
          <w:sz w:val="24"/>
          <w:szCs w:val="24"/>
        </w:rPr>
        <w:t xml:space="preserve">ecnológica, </w:t>
      </w:r>
      <w:r>
        <w:rPr>
          <w:bCs/>
          <w:color w:val="000000"/>
          <w:sz w:val="24"/>
          <w:szCs w:val="24"/>
        </w:rPr>
        <w:t>D</w:t>
      </w:r>
      <w:r w:rsidRPr="002529DC">
        <w:rPr>
          <w:bCs/>
          <w:color w:val="000000"/>
          <w:sz w:val="24"/>
          <w:szCs w:val="24"/>
        </w:rPr>
        <w:t xml:space="preserve">esigualdade </w:t>
      </w:r>
      <w:r>
        <w:rPr>
          <w:bCs/>
          <w:color w:val="000000"/>
          <w:sz w:val="24"/>
          <w:szCs w:val="24"/>
        </w:rPr>
        <w:t>S</w:t>
      </w:r>
      <w:r w:rsidRPr="002529DC">
        <w:rPr>
          <w:bCs/>
          <w:color w:val="000000"/>
          <w:sz w:val="24"/>
          <w:szCs w:val="24"/>
        </w:rPr>
        <w:t>ocial</w:t>
      </w:r>
      <w:r>
        <w:rPr>
          <w:bCs/>
          <w:color w:val="000000"/>
          <w:sz w:val="24"/>
          <w:szCs w:val="24"/>
        </w:rPr>
        <w:t>.</w:t>
      </w:r>
    </w:p>
    <w:p w14:paraId="00000013" w14:textId="77777777" w:rsidR="00C60176" w:rsidRPr="00207821" w:rsidRDefault="00C60176">
      <w:pPr>
        <w:jc w:val="right"/>
        <w:rPr>
          <w:b/>
          <w:color w:val="000000"/>
          <w:sz w:val="24"/>
          <w:szCs w:val="24"/>
        </w:rPr>
      </w:pPr>
    </w:p>
    <w:p w14:paraId="00000016" w14:textId="50D6ACA5" w:rsidR="00C60176" w:rsidRDefault="00000000" w:rsidP="00EA51E0">
      <w:pPr>
        <w:jc w:val="both"/>
        <w:rPr>
          <w:rFonts w:eastAsia="Arial"/>
          <w:b/>
          <w:color w:val="000000"/>
          <w:sz w:val="24"/>
          <w:szCs w:val="24"/>
        </w:rPr>
      </w:pPr>
      <w:r w:rsidRPr="00207821">
        <w:rPr>
          <w:rFonts w:eastAsia="Arial"/>
          <w:b/>
          <w:color w:val="000000"/>
          <w:sz w:val="24"/>
          <w:szCs w:val="24"/>
        </w:rPr>
        <w:t>Introdução</w:t>
      </w:r>
    </w:p>
    <w:p w14:paraId="1F48946D" w14:textId="77777777" w:rsidR="00EA51E0" w:rsidRPr="00207821" w:rsidRDefault="00EA51E0" w:rsidP="00EA51E0">
      <w:pPr>
        <w:jc w:val="both"/>
        <w:rPr>
          <w:rFonts w:eastAsia="Arial"/>
          <w:color w:val="000000"/>
          <w:sz w:val="24"/>
          <w:szCs w:val="24"/>
        </w:rPr>
      </w:pPr>
    </w:p>
    <w:p w14:paraId="4451D063" w14:textId="49411CF0" w:rsidR="00B9094A" w:rsidRPr="00B9094A" w:rsidRDefault="00B9094A" w:rsidP="00B9094A">
      <w:pPr>
        <w:jc w:val="both"/>
        <w:rPr>
          <w:rFonts w:eastAsia="Arial"/>
          <w:color w:val="000000"/>
          <w:sz w:val="24"/>
          <w:szCs w:val="24"/>
        </w:rPr>
      </w:pPr>
      <w:r w:rsidRPr="00B9094A">
        <w:rPr>
          <w:rFonts w:eastAsia="Arial"/>
          <w:color w:val="000000"/>
          <w:sz w:val="24"/>
          <w:szCs w:val="24"/>
        </w:rPr>
        <w:t>A exclusão digital configura-se como uma das expressões contemporâneas das desigualdades sociais, impactando de maneira mais acentuada grupos em situação de vulnerabilidade, entre eles pessoas com deficiência e necessidades educacionais especiais. A ausência de acesso e de domínio das tecnologias compromete oportunidades de participação social, acesso à educação, ingresso no mercado de trabalho e exercício da cidadania.</w:t>
      </w:r>
    </w:p>
    <w:p w14:paraId="49F25FAA" w14:textId="5B8E2237" w:rsidR="00B9094A" w:rsidRPr="00B9094A" w:rsidRDefault="00637343" w:rsidP="00B9094A">
      <w:pPr>
        <w:jc w:val="both"/>
        <w:rPr>
          <w:rFonts w:eastAsia="Arial"/>
          <w:color w:val="000000"/>
          <w:sz w:val="24"/>
          <w:szCs w:val="24"/>
        </w:rPr>
      </w:pPr>
      <w:r>
        <w:rPr>
          <w:rFonts w:eastAsia="Arial"/>
          <w:color w:val="000000"/>
          <w:sz w:val="24"/>
          <w:szCs w:val="24"/>
        </w:rPr>
        <w:t>T</w:t>
      </w:r>
      <w:r w:rsidR="00B9094A" w:rsidRPr="00B9094A">
        <w:rPr>
          <w:rFonts w:eastAsia="Arial"/>
          <w:color w:val="000000"/>
          <w:sz w:val="24"/>
          <w:szCs w:val="24"/>
        </w:rPr>
        <w:t>orna-se indispensável reduzir as barreiras digitais e promover a acessibilidade tecnológica, de modo a garantir que indivíduos com deficiências visuais, auditivas, intelectuais e motoras tenham condições de desenvolver autonomia e participar ativamente da sociedade. Dispositivos móveis adaptados, softwares de leitura de tela, aplicativos inclusivos e tecnologias assistivas são recursos fundamentais para potencializar a inclusão.</w:t>
      </w:r>
    </w:p>
    <w:p w14:paraId="724CD9E4" w14:textId="77777777" w:rsidR="00B9094A" w:rsidRPr="00B9094A" w:rsidRDefault="00B9094A" w:rsidP="00B9094A">
      <w:pPr>
        <w:jc w:val="both"/>
        <w:rPr>
          <w:rFonts w:eastAsia="Arial"/>
          <w:color w:val="000000"/>
          <w:sz w:val="24"/>
          <w:szCs w:val="24"/>
        </w:rPr>
      </w:pPr>
      <w:r w:rsidRPr="00B9094A">
        <w:rPr>
          <w:rFonts w:eastAsia="Arial"/>
          <w:color w:val="000000"/>
          <w:sz w:val="24"/>
          <w:szCs w:val="24"/>
        </w:rPr>
        <w:t xml:space="preserve">Entretanto, como ressalta Araújo (2017), a exclusão digital não se resume à falta de equipamentos ou de internet: envolve, sobretudo, a ausência de domínio e autonomia no uso das ferramentas tecnológicas, condição que restringe a produção de conhecimento e a participação social. Isso </w:t>
      </w:r>
      <w:r w:rsidRPr="00B9094A">
        <w:rPr>
          <w:rFonts w:eastAsia="Arial"/>
          <w:color w:val="000000"/>
          <w:sz w:val="24"/>
          <w:szCs w:val="24"/>
        </w:rPr>
        <w:lastRenderedPageBreak/>
        <w:t>evidencia a necessidade de políticas públicas capazes de ampliar não apenas o acesso, mas também a formação e o letramento digital de pessoas com necessidades especiais.</w:t>
      </w:r>
    </w:p>
    <w:p w14:paraId="36937D41" w14:textId="35753D63" w:rsidR="00B9094A" w:rsidRPr="00B9094A" w:rsidRDefault="00B9094A" w:rsidP="00B9094A">
      <w:pPr>
        <w:jc w:val="both"/>
        <w:rPr>
          <w:rFonts w:eastAsia="Arial"/>
          <w:color w:val="000000"/>
          <w:sz w:val="24"/>
          <w:szCs w:val="24"/>
        </w:rPr>
      </w:pPr>
      <w:r w:rsidRPr="00B9094A">
        <w:rPr>
          <w:rFonts w:eastAsia="Arial"/>
          <w:color w:val="000000"/>
          <w:sz w:val="24"/>
          <w:szCs w:val="24"/>
        </w:rPr>
        <w:t>A Lei n.º 14.479/2022, que institui a Política Nacional de Desfazimento e Recondicionamento de Equipamentos Eletrônicos, regulamentando o programa Computadores para Inclusão, representa um avanço nesse campo, ao priorizar grupos em situação de vulnerabilidade. Contudo, nem sempre tais ações alcançam pessoas com deficiência, seja por falta de acessibilidade, seja pela ausência de formação adequada.</w:t>
      </w:r>
    </w:p>
    <w:p w14:paraId="0000001A" w14:textId="791FFD64" w:rsidR="00C60176" w:rsidRPr="00DA44CD" w:rsidRDefault="00B9094A" w:rsidP="00B9094A">
      <w:pPr>
        <w:jc w:val="both"/>
        <w:rPr>
          <w:rFonts w:eastAsia="Arial"/>
          <w:color w:val="000000"/>
          <w:sz w:val="24"/>
          <w:szCs w:val="24"/>
        </w:rPr>
      </w:pPr>
      <w:r w:rsidRPr="00B9094A">
        <w:rPr>
          <w:rFonts w:eastAsia="Arial"/>
          <w:color w:val="000000"/>
          <w:sz w:val="24"/>
          <w:szCs w:val="24"/>
        </w:rPr>
        <w:t>Assim, o desafio está em compreender a exclusão digital como fenômeno multidimensional, para possibilitar que todos, especialmente pessoas com necessidades específicas, tenham assegurado o direito à educação e à participação social.</w:t>
      </w:r>
    </w:p>
    <w:p w14:paraId="55B37DC1" w14:textId="77777777" w:rsidR="00EA51E0" w:rsidRPr="00207821" w:rsidRDefault="00EA51E0" w:rsidP="00EA51E0">
      <w:pPr>
        <w:jc w:val="both"/>
        <w:rPr>
          <w:rFonts w:eastAsia="Arial"/>
          <w:color w:val="000000"/>
          <w:sz w:val="24"/>
          <w:szCs w:val="24"/>
        </w:rPr>
      </w:pPr>
    </w:p>
    <w:p w14:paraId="0000001B" w14:textId="1F7B8270" w:rsidR="00C60176" w:rsidRDefault="00000000" w:rsidP="00EA51E0">
      <w:pPr>
        <w:jc w:val="both"/>
        <w:rPr>
          <w:rFonts w:eastAsia="Arial"/>
          <w:b/>
          <w:color w:val="000000"/>
          <w:sz w:val="24"/>
          <w:szCs w:val="24"/>
        </w:rPr>
      </w:pPr>
      <w:r w:rsidRPr="00207821">
        <w:rPr>
          <w:rFonts w:eastAsia="Arial"/>
          <w:b/>
          <w:color w:val="000000"/>
          <w:sz w:val="24"/>
          <w:szCs w:val="24"/>
        </w:rPr>
        <w:t>Fundamentos Teóricos</w:t>
      </w:r>
    </w:p>
    <w:p w14:paraId="6AA82131" w14:textId="77777777" w:rsidR="00EA51E0" w:rsidRDefault="00EA51E0" w:rsidP="00EA51E0">
      <w:pPr>
        <w:jc w:val="both"/>
        <w:rPr>
          <w:rFonts w:eastAsia="Arial"/>
          <w:b/>
          <w:color w:val="000000"/>
          <w:sz w:val="24"/>
          <w:szCs w:val="24"/>
        </w:rPr>
      </w:pPr>
    </w:p>
    <w:p w14:paraId="3DD35B51" w14:textId="1CA09A11" w:rsidR="00B9094A" w:rsidRPr="00B9094A" w:rsidRDefault="00B9094A" w:rsidP="00B9094A">
      <w:pPr>
        <w:jc w:val="both"/>
        <w:rPr>
          <w:rFonts w:eastAsia="Arial"/>
          <w:color w:val="000000"/>
          <w:sz w:val="24"/>
          <w:szCs w:val="24"/>
        </w:rPr>
      </w:pPr>
      <w:r w:rsidRPr="00B9094A">
        <w:rPr>
          <w:rFonts w:eastAsia="Arial"/>
          <w:color w:val="000000"/>
          <w:sz w:val="24"/>
          <w:szCs w:val="24"/>
        </w:rPr>
        <w:t>A análise da exclusão digital exige um olhar fundamentado nas teorias que articulam tecnologia, desigualdade e inclusão social.</w:t>
      </w:r>
    </w:p>
    <w:p w14:paraId="20C9762C" w14:textId="58433180" w:rsidR="00B9094A" w:rsidRPr="00B9094A" w:rsidRDefault="00B9094A" w:rsidP="00B9094A">
      <w:pPr>
        <w:jc w:val="both"/>
        <w:rPr>
          <w:rFonts w:eastAsia="Arial"/>
          <w:color w:val="000000"/>
          <w:sz w:val="24"/>
          <w:szCs w:val="24"/>
        </w:rPr>
      </w:pPr>
      <w:r w:rsidRPr="00B9094A">
        <w:rPr>
          <w:rFonts w:eastAsia="Arial"/>
          <w:color w:val="000000"/>
          <w:sz w:val="24"/>
          <w:szCs w:val="24"/>
        </w:rPr>
        <w:t>Castells (2003), ao tratar da sociedade em rede, argumenta que o acesso às Tecnologias da Informação e Comunicação (TICs) é um dos principais fatores de poder contemporâneo. Grupos que dominam essas ferramentas ampliam sua capacidade de atuação social, enquanto aqueles que permanecem à margem enfrentam fragmentação e exclusão. Esse raciocínio aplica-se diretamente às pessoas com deficiência, que, sem recursos de acessibilidade tecnológica, veem-se privadas de condições mínimas de participação.</w:t>
      </w:r>
    </w:p>
    <w:p w14:paraId="56E9B35C" w14:textId="24CEE59A" w:rsidR="00B9094A" w:rsidRPr="00B9094A" w:rsidRDefault="00B9094A" w:rsidP="00B9094A">
      <w:pPr>
        <w:jc w:val="both"/>
        <w:rPr>
          <w:rFonts w:eastAsia="Arial"/>
          <w:color w:val="000000"/>
          <w:sz w:val="24"/>
          <w:szCs w:val="24"/>
        </w:rPr>
      </w:pPr>
      <w:r w:rsidRPr="00B9094A">
        <w:rPr>
          <w:rFonts w:eastAsia="Arial"/>
          <w:color w:val="000000"/>
          <w:sz w:val="24"/>
          <w:szCs w:val="24"/>
        </w:rPr>
        <w:t>Putnam (2000), ao discutir o conceito de capital social, destaca que a confiança, a participação comunitária e o engajamento cívico são essenciais para o desenvolvimento social. A exclusão digital fragiliza essas redes, principalmente quando atinge grupos com necessidades especiais, pois a ausência de letramento digital compromete sua inserção em espaços de interação social, política e educacional.</w:t>
      </w:r>
    </w:p>
    <w:p w14:paraId="3D668952" w14:textId="304B0037" w:rsidR="00B9094A" w:rsidRPr="00B9094A" w:rsidRDefault="00B9094A" w:rsidP="00B9094A">
      <w:pPr>
        <w:jc w:val="both"/>
        <w:rPr>
          <w:rFonts w:eastAsia="Arial"/>
          <w:color w:val="000000"/>
          <w:sz w:val="24"/>
          <w:szCs w:val="24"/>
        </w:rPr>
      </w:pPr>
      <w:r w:rsidRPr="00B9094A">
        <w:rPr>
          <w:rFonts w:eastAsia="Arial"/>
          <w:color w:val="000000"/>
          <w:sz w:val="24"/>
          <w:szCs w:val="24"/>
        </w:rPr>
        <w:t>Araújo (2017) complementa essa visão ao afirmar que a exclusão digital no Brasil vai além do acesso e envolve a autonomia no uso da tecnologia. Essa perspectiva reforça a importância de políticas de formação digital específicas para pessoas com deficiência, que muitas vezes necessitam de metodologias diferenciadas e de tecnologias assistivas para alcançarem independência.</w:t>
      </w:r>
    </w:p>
    <w:p w14:paraId="4CFA075A" w14:textId="48540B75" w:rsidR="00B9094A" w:rsidRPr="00B9094A" w:rsidRDefault="00B9094A" w:rsidP="00B9094A">
      <w:pPr>
        <w:jc w:val="both"/>
        <w:rPr>
          <w:rFonts w:eastAsia="Arial"/>
          <w:color w:val="000000"/>
          <w:sz w:val="24"/>
          <w:szCs w:val="24"/>
        </w:rPr>
      </w:pPr>
      <w:r w:rsidRPr="00B9094A">
        <w:rPr>
          <w:rFonts w:eastAsia="Arial"/>
          <w:color w:val="000000"/>
          <w:sz w:val="24"/>
          <w:szCs w:val="24"/>
        </w:rPr>
        <w:t>Já a OCDE (2020) defende que a inclusão digital deve ser promovida desde a educação básica, por meio de práticas pedagógicas que familiarizem os estudantes com o uso de recursos tecnológicos. Para alunos com necessidades educacionais especiais, essa orientação é ainda mais relevante, pois a utilização precoce de ferramentas acessíveis pode ampliar as possibilidades de aprendizagem, comunicação e participação social.</w:t>
      </w:r>
    </w:p>
    <w:p w14:paraId="5DD11BA8" w14:textId="77777777" w:rsidR="00EA51E0" w:rsidRDefault="00EA51E0" w:rsidP="00EA51E0">
      <w:pPr>
        <w:jc w:val="both"/>
        <w:rPr>
          <w:rFonts w:eastAsia="Arial"/>
          <w:b/>
          <w:color w:val="000000"/>
          <w:sz w:val="24"/>
          <w:szCs w:val="24"/>
        </w:rPr>
      </w:pPr>
    </w:p>
    <w:p w14:paraId="0000001E" w14:textId="08B9DFF3" w:rsidR="00C60176" w:rsidRDefault="00000000" w:rsidP="00EA51E0">
      <w:pPr>
        <w:jc w:val="both"/>
        <w:rPr>
          <w:rFonts w:eastAsia="Arial"/>
          <w:b/>
          <w:color w:val="000000"/>
          <w:sz w:val="24"/>
          <w:szCs w:val="24"/>
        </w:rPr>
      </w:pPr>
      <w:r w:rsidRPr="00207821">
        <w:rPr>
          <w:rFonts w:eastAsia="Arial"/>
          <w:b/>
          <w:color w:val="000000"/>
          <w:sz w:val="24"/>
          <w:szCs w:val="24"/>
        </w:rPr>
        <w:t>Metodologia</w:t>
      </w:r>
    </w:p>
    <w:p w14:paraId="4E80A0D8" w14:textId="77777777" w:rsidR="00EA51E0" w:rsidRPr="00207821" w:rsidRDefault="00EA51E0" w:rsidP="00EA51E0">
      <w:pPr>
        <w:jc w:val="both"/>
        <w:rPr>
          <w:rFonts w:eastAsia="Arial"/>
          <w:b/>
          <w:color w:val="000000"/>
          <w:sz w:val="24"/>
          <w:szCs w:val="24"/>
        </w:rPr>
      </w:pPr>
    </w:p>
    <w:p w14:paraId="6F454E0E" w14:textId="12461219" w:rsidR="00EA51E0" w:rsidRDefault="00B9094A" w:rsidP="00EA51E0">
      <w:pPr>
        <w:jc w:val="both"/>
        <w:rPr>
          <w:rFonts w:eastAsia="Arial"/>
          <w:color w:val="000000"/>
          <w:sz w:val="24"/>
          <w:szCs w:val="24"/>
        </w:rPr>
      </w:pPr>
      <w:r w:rsidRPr="00B9094A">
        <w:rPr>
          <w:rFonts w:eastAsia="Arial"/>
          <w:color w:val="000000"/>
          <w:sz w:val="24"/>
          <w:szCs w:val="24"/>
        </w:rPr>
        <w:t>A pesquisa foi desenvolvida a partir de levantamento bibliográfico, contemplando artigos científicos, livros, legislações brasileiras, relatórios institucionais e diretrizes internacionais. O estudo é de abordagem qualitativa e teve como objetivo compreender de que modo a exclusão digital afeta, sobretudo, pessoas com necessidades especiais, analisando as barreiras tecnológicas, educacionais e sociais que dificultam sua inclusão. Foram mobilizados autores como Castells, Putnam e Araújo, além de relatórios da OCDE, para sustentar teoricamente a discussão.</w:t>
      </w:r>
    </w:p>
    <w:p w14:paraId="65D9AEA6" w14:textId="77777777" w:rsidR="00B9094A" w:rsidRPr="00207821" w:rsidRDefault="00B9094A" w:rsidP="00EA51E0">
      <w:pPr>
        <w:jc w:val="both"/>
        <w:rPr>
          <w:rFonts w:eastAsia="Arial"/>
          <w:color w:val="000000"/>
          <w:sz w:val="24"/>
          <w:szCs w:val="24"/>
        </w:rPr>
      </w:pPr>
    </w:p>
    <w:p w14:paraId="00000020" w14:textId="0F6ED7BF" w:rsidR="00C60176" w:rsidRDefault="00000000" w:rsidP="00EA51E0">
      <w:pPr>
        <w:jc w:val="both"/>
        <w:rPr>
          <w:rFonts w:eastAsia="Arial"/>
          <w:b/>
          <w:color w:val="000000"/>
          <w:sz w:val="24"/>
          <w:szCs w:val="24"/>
        </w:rPr>
      </w:pPr>
      <w:r w:rsidRPr="00207821">
        <w:rPr>
          <w:rFonts w:eastAsia="Arial"/>
          <w:b/>
          <w:color w:val="000000"/>
          <w:sz w:val="24"/>
          <w:szCs w:val="24"/>
        </w:rPr>
        <w:lastRenderedPageBreak/>
        <w:t xml:space="preserve"> Análise </w:t>
      </w:r>
      <w:r w:rsidR="00EA51E0">
        <w:rPr>
          <w:rFonts w:eastAsia="Arial"/>
          <w:b/>
          <w:color w:val="000000"/>
          <w:sz w:val="24"/>
          <w:szCs w:val="24"/>
        </w:rPr>
        <w:t>de dados</w:t>
      </w:r>
    </w:p>
    <w:p w14:paraId="163AA52F" w14:textId="77777777" w:rsidR="00EA51E0" w:rsidRDefault="00EA51E0" w:rsidP="00EA51E0">
      <w:pPr>
        <w:jc w:val="both"/>
        <w:rPr>
          <w:rFonts w:eastAsia="Arial"/>
          <w:color w:val="000000"/>
          <w:sz w:val="24"/>
          <w:szCs w:val="24"/>
        </w:rPr>
      </w:pPr>
    </w:p>
    <w:p w14:paraId="070FCA16" w14:textId="77777777" w:rsidR="006C06DA" w:rsidRPr="006C06DA" w:rsidRDefault="006C06DA" w:rsidP="006C06DA">
      <w:pPr>
        <w:jc w:val="both"/>
        <w:rPr>
          <w:rFonts w:eastAsia="Arial"/>
          <w:color w:val="000000"/>
          <w:sz w:val="24"/>
          <w:szCs w:val="24"/>
        </w:rPr>
      </w:pPr>
      <w:r w:rsidRPr="006C06DA">
        <w:rPr>
          <w:rFonts w:eastAsia="Arial"/>
          <w:color w:val="000000"/>
          <w:sz w:val="24"/>
          <w:szCs w:val="24"/>
        </w:rPr>
        <w:t>Embora o acesso à internet no Brasil tenha avançado de forma significativa nas últimas décadas, sua distribuição permanece desigual, sobretudo entre pessoas com deficiência. Esse grupo enfrenta barreiras que vão além da simples ausência de conexão, uma vez que os recursos de acessibilidade, como leitores de tela para cegos, softwares de reconhecimento de voz para pessoas com deficiência motora, legendas automáticas para surdos e tecnologias de contraste para pessoas com baixa visão, ainda não estão disponíveis de forma universal, nem sempre são intuitivos e, em muitos casos, carecem de padronização.</w:t>
      </w:r>
    </w:p>
    <w:p w14:paraId="26E94352" w14:textId="6C8301C6" w:rsidR="006C06DA" w:rsidRPr="006C06DA" w:rsidRDefault="006C06DA" w:rsidP="006C06DA">
      <w:pPr>
        <w:jc w:val="both"/>
        <w:rPr>
          <w:rFonts w:eastAsia="Arial"/>
          <w:color w:val="000000"/>
          <w:sz w:val="24"/>
          <w:szCs w:val="24"/>
        </w:rPr>
      </w:pPr>
      <w:r w:rsidRPr="006C06DA">
        <w:rPr>
          <w:rFonts w:eastAsia="Arial"/>
          <w:color w:val="000000"/>
          <w:sz w:val="24"/>
          <w:szCs w:val="24"/>
        </w:rPr>
        <w:t>A exclusão digital, portanto, transcende a infraestrutura e envolve múltiplas dimensões. Usuários com necessidades específicas esbarram no baixo letramento digital, na dificuldade de interpretação de interfaces pouco acessíveis, na escassez de tecnologias assistivas de baixo custo e na insegurança diante de riscos virtuais. Idosos e pessoas com deficiência visual, por exemplo, são mais suscetíveis a golpes e fraudes online, pois não conseguem identificar links falsos ou chamadas suspeitas em ambientes digitais que não seguem diretrizes de acessibilidade universal, como o Web Content Accessibility Guidelines (WCAG).</w:t>
      </w:r>
    </w:p>
    <w:p w14:paraId="00000023" w14:textId="76C38E37" w:rsidR="00C60176" w:rsidRPr="00EA51E0" w:rsidRDefault="006C06DA" w:rsidP="006C06DA">
      <w:pPr>
        <w:jc w:val="both"/>
        <w:rPr>
          <w:rFonts w:eastAsia="Arial"/>
          <w:color w:val="000000"/>
          <w:sz w:val="24"/>
          <w:szCs w:val="24"/>
        </w:rPr>
      </w:pPr>
      <w:r w:rsidRPr="006C06DA">
        <w:rPr>
          <w:rFonts w:eastAsia="Arial"/>
          <w:color w:val="000000"/>
          <w:sz w:val="24"/>
          <w:szCs w:val="24"/>
        </w:rPr>
        <w:t>Entre as limitações mais comuns estão a incapacidade de preencher formulários, realizar cadastros online, navegar em sites governamentais ou utilizar aplicativos de serviços básicos, como bancos e sistemas de saúde. Para pessoas com deficiência, essas dificuldades se tornam ainda mais graves, pois dependem de tecnologias específicas que não estão amplamente disponíveis ou cujo custo elevado inviabiliza o acesso. Essa realidade aprofunda desigualdades já existentes e amplia a exclusão social e educacional desses grupos.</w:t>
      </w:r>
    </w:p>
    <w:p w14:paraId="00000024" w14:textId="77777777" w:rsidR="00C60176" w:rsidRPr="00207821" w:rsidRDefault="00C60176" w:rsidP="00EA51E0">
      <w:pPr>
        <w:rPr>
          <w:rFonts w:eastAsia="Arial"/>
          <w:color w:val="000000"/>
          <w:sz w:val="24"/>
          <w:szCs w:val="24"/>
        </w:rPr>
      </w:pPr>
    </w:p>
    <w:p w14:paraId="00000025" w14:textId="59C006D0" w:rsidR="00C60176" w:rsidRDefault="00000000" w:rsidP="00EA51E0">
      <w:pPr>
        <w:jc w:val="both"/>
        <w:rPr>
          <w:rFonts w:eastAsia="Arial"/>
          <w:b/>
          <w:color w:val="000000"/>
          <w:sz w:val="24"/>
          <w:szCs w:val="24"/>
        </w:rPr>
      </w:pPr>
      <w:r w:rsidRPr="00207821">
        <w:rPr>
          <w:rFonts w:eastAsia="Arial"/>
          <w:b/>
          <w:color w:val="000000"/>
          <w:sz w:val="24"/>
          <w:szCs w:val="24"/>
        </w:rPr>
        <w:t>Conclusões</w:t>
      </w:r>
    </w:p>
    <w:p w14:paraId="27DDFE1D" w14:textId="77777777" w:rsidR="00EA51E0" w:rsidRPr="00207821" w:rsidRDefault="00EA51E0" w:rsidP="00EA51E0">
      <w:pPr>
        <w:jc w:val="both"/>
        <w:rPr>
          <w:rFonts w:eastAsia="Arial"/>
          <w:b/>
          <w:color w:val="000000"/>
          <w:sz w:val="24"/>
          <w:szCs w:val="24"/>
        </w:rPr>
      </w:pPr>
    </w:p>
    <w:p w14:paraId="4FF35AEB" w14:textId="778FAAC7" w:rsidR="006C06DA" w:rsidRPr="006C06DA" w:rsidRDefault="006C06DA" w:rsidP="006C06DA">
      <w:pPr>
        <w:jc w:val="both"/>
        <w:rPr>
          <w:rFonts w:eastAsia="Arial"/>
          <w:color w:val="000000"/>
          <w:sz w:val="24"/>
          <w:szCs w:val="24"/>
        </w:rPr>
      </w:pPr>
      <w:r w:rsidRPr="006C06DA">
        <w:rPr>
          <w:rFonts w:eastAsia="Arial"/>
          <w:color w:val="000000"/>
          <w:sz w:val="24"/>
          <w:szCs w:val="24"/>
        </w:rPr>
        <w:t>A análise demonstra que a simples disponibilização de equipamentos e de acesso à internet, embora importante, não é suficiente para garantir a participação plena de</w:t>
      </w:r>
      <w:r w:rsidR="00637343">
        <w:rPr>
          <w:rFonts w:eastAsia="Arial"/>
          <w:color w:val="000000"/>
          <w:sz w:val="24"/>
          <w:szCs w:val="24"/>
        </w:rPr>
        <w:t xml:space="preserve"> todos</w:t>
      </w:r>
      <w:r w:rsidRPr="006C06DA">
        <w:rPr>
          <w:rFonts w:eastAsia="Arial"/>
          <w:color w:val="000000"/>
          <w:sz w:val="24"/>
          <w:szCs w:val="24"/>
        </w:rPr>
        <w:t>. É indispensável investir em tecnologias assistivas acessíveis, no letramento digital inclusivo e na criação de ambientes virtuais que respeitem princípios de acessibilidade universal.</w:t>
      </w:r>
    </w:p>
    <w:p w14:paraId="349494C8" w14:textId="2F8C47A0" w:rsidR="006C06DA" w:rsidRPr="006C06DA" w:rsidRDefault="006C06DA" w:rsidP="006C06DA">
      <w:pPr>
        <w:jc w:val="both"/>
        <w:rPr>
          <w:rFonts w:eastAsia="Arial"/>
          <w:color w:val="000000"/>
          <w:sz w:val="24"/>
          <w:szCs w:val="24"/>
        </w:rPr>
      </w:pPr>
      <w:r w:rsidRPr="006C06DA">
        <w:rPr>
          <w:rFonts w:eastAsia="Arial"/>
          <w:color w:val="000000"/>
          <w:sz w:val="24"/>
          <w:szCs w:val="24"/>
        </w:rPr>
        <w:t>Além disso, destaca-se a necessidade de políticas públicas robustas e intersetoriais, capazes de articular educação, tecnologia e inclusão social. Programas governamentais e iniciativas comunitárias devem priorizar não apenas a distribuição de dispositivos, mas também a formação continuada de pessoas com deficiência, familiares e professores, assegurando que o uso das tecnologias seja efetivo e emancipador.</w:t>
      </w:r>
    </w:p>
    <w:p w14:paraId="00000027" w14:textId="4C81C644" w:rsidR="00C60176" w:rsidRPr="00207821" w:rsidRDefault="006C06DA" w:rsidP="00EA51E0">
      <w:pPr>
        <w:jc w:val="both"/>
        <w:rPr>
          <w:rFonts w:eastAsia="Arial"/>
          <w:color w:val="000000"/>
          <w:sz w:val="24"/>
          <w:szCs w:val="24"/>
        </w:rPr>
      </w:pPr>
      <w:r w:rsidRPr="006C06DA">
        <w:rPr>
          <w:rFonts w:eastAsia="Arial"/>
          <w:color w:val="000000"/>
          <w:sz w:val="24"/>
          <w:szCs w:val="24"/>
        </w:rPr>
        <w:t>Somente a partir da combinação de recursos tecnológicos acessíveis, práticas pedagógicas adaptadas e políticas públicas consistentes será possível avançar rumo a uma sociedade digitalmente inclusiva e socialmente justa. Esse processo é fundamental para que pessoas com necessidades especiais desenvolvam autonomia, ampliem sua participação nos espaços de decisão e usufruam plenamente de seus direitos fundamentais, garantindo o exercício pleno da cidadania na era digital.</w:t>
      </w:r>
    </w:p>
    <w:p w14:paraId="00000028" w14:textId="77777777" w:rsidR="00C60176" w:rsidRPr="00207821" w:rsidRDefault="00C60176" w:rsidP="00EA51E0">
      <w:pPr>
        <w:jc w:val="both"/>
        <w:rPr>
          <w:rFonts w:eastAsia="Arial"/>
          <w:color w:val="000000"/>
          <w:sz w:val="24"/>
          <w:szCs w:val="24"/>
        </w:rPr>
      </w:pPr>
    </w:p>
    <w:p w14:paraId="00000029" w14:textId="0A6A6499" w:rsidR="00C60176" w:rsidRDefault="00000000" w:rsidP="00EA51E0">
      <w:pPr>
        <w:jc w:val="both"/>
        <w:rPr>
          <w:b/>
          <w:color w:val="000000"/>
          <w:sz w:val="24"/>
          <w:szCs w:val="24"/>
        </w:rPr>
      </w:pPr>
      <w:r w:rsidRPr="00207821">
        <w:rPr>
          <w:b/>
          <w:color w:val="000000"/>
          <w:sz w:val="24"/>
          <w:szCs w:val="24"/>
        </w:rPr>
        <w:t>Referências</w:t>
      </w:r>
    </w:p>
    <w:p w14:paraId="154EBD1E" w14:textId="77777777" w:rsidR="00EA51E0" w:rsidRPr="00207821" w:rsidRDefault="00EA51E0" w:rsidP="00EA51E0">
      <w:pPr>
        <w:jc w:val="both"/>
        <w:rPr>
          <w:b/>
          <w:color w:val="000000"/>
          <w:sz w:val="24"/>
          <w:szCs w:val="24"/>
        </w:rPr>
      </w:pPr>
    </w:p>
    <w:p w14:paraId="0727EE8C" w14:textId="4F1AF98C" w:rsidR="006C06DA" w:rsidRDefault="006C06DA" w:rsidP="006C06DA">
      <w:pPr>
        <w:jc w:val="both"/>
        <w:rPr>
          <w:color w:val="000000"/>
          <w:sz w:val="24"/>
          <w:szCs w:val="24"/>
        </w:rPr>
      </w:pPr>
      <w:r w:rsidRPr="006C06DA">
        <w:rPr>
          <w:color w:val="000000"/>
          <w:sz w:val="24"/>
          <w:szCs w:val="24"/>
        </w:rPr>
        <w:t xml:space="preserve">ALBUQUERQUE, Léia Flauzina da Silva; CARVALHO, Aline dos Santos Moreira de; OLIVEIRA, Marta Martins de; PEREIRA, Pedro Carlos. Os impactos da exclusão digital na aprendizagem dos alunos do Ensino Fundamental I. Research, Society and Development, v. 10, n. </w:t>
      </w:r>
      <w:r w:rsidRPr="006C06DA">
        <w:rPr>
          <w:color w:val="000000"/>
          <w:sz w:val="24"/>
          <w:szCs w:val="24"/>
        </w:rPr>
        <w:lastRenderedPageBreak/>
        <w:t>16, e552101624094, 2021. DOI: https://doi.org/10.33448/rsd-v10i16.24094. Acesso em: 17 ago. 2025.</w:t>
      </w:r>
    </w:p>
    <w:p w14:paraId="66FBCB3C" w14:textId="77777777" w:rsidR="006C06DA" w:rsidRPr="006C06DA" w:rsidRDefault="006C06DA" w:rsidP="006C06DA">
      <w:pPr>
        <w:jc w:val="both"/>
        <w:rPr>
          <w:color w:val="000000"/>
          <w:sz w:val="24"/>
          <w:szCs w:val="24"/>
        </w:rPr>
      </w:pPr>
    </w:p>
    <w:p w14:paraId="46540460" w14:textId="64B098EB" w:rsidR="006C06DA" w:rsidRDefault="006C06DA" w:rsidP="006C06DA">
      <w:pPr>
        <w:jc w:val="both"/>
        <w:rPr>
          <w:color w:val="000000"/>
          <w:sz w:val="24"/>
          <w:szCs w:val="24"/>
        </w:rPr>
      </w:pPr>
      <w:r w:rsidRPr="006C06DA">
        <w:rPr>
          <w:color w:val="000000"/>
          <w:sz w:val="24"/>
          <w:szCs w:val="24"/>
        </w:rPr>
        <w:t>ARAÚJO, Monnik Gomes. Exclusão digital e autonomia no uso das tecnologias no Brasil. Revista Brasileira de Educação e Cultura, v. 12, n. 2, p. 45-58, 2017.</w:t>
      </w:r>
    </w:p>
    <w:p w14:paraId="79B05795" w14:textId="77777777" w:rsidR="006C06DA" w:rsidRPr="006C06DA" w:rsidRDefault="006C06DA" w:rsidP="006C06DA">
      <w:pPr>
        <w:jc w:val="both"/>
        <w:rPr>
          <w:color w:val="000000"/>
          <w:sz w:val="24"/>
          <w:szCs w:val="24"/>
        </w:rPr>
      </w:pPr>
    </w:p>
    <w:p w14:paraId="39FFCCBB" w14:textId="299FF8FE" w:rsidR="006C06DA" w:rsidRPr="006C06DA" w:rsidRDefault="006C06DA" w:rsidP="006C06DA">
      <w:pPr>
        <w:jc w:val="both"/>
        <w:rPr>
          <w:color w:val="000000"/>
          <w:sz w:val="24"/>
          <w:szCs w:val="24"/>
        </w:rPr>
      </w:pPr>
      <w:r w:rsidRPr="006C06DA">
        <w:rPr>
          <w:color w:val="000000"/>
          <w:sz w:val="24"/>
          <w:szCs w:val="24"/>
        </w:rPr>
        <w:t>BRASIL. Ministério das Comunicações. Computadores para Inclusão. Brasília, 2025.</w:t>
      </w:r>
    </w:p>
    <w:p w14:paraId="255DF45B" w14:textId="77777777" w:rsidR="006C06DA" w:rsidRPr="006C06DA" w:rsidRDefault="006C06DA" w:rsidP="006C06DA">
      <w:pPr>
        <w:jc w:val="both"/>
        <w:rPr>
          <w:color w:val="000000"/>
          <w:sz w:val="24"/>
          <w:szCs w:val="24"/>
        </w:rPr>
      </w:pPr>
    </w:p>
    <w:p w14:paraId="20FF7629" w14:textId="58E45AEE" w:rsidR="006C06DA" w:rsidRPr="006C06DA" w:rsidRDefault="006C06DA" w:rsidP="006C06DA">
      <w:pPr>
        <w:jc w:val="both"/>
        <w:rPr>
          <w:color w:val="000000"/>
          <w:sz w:val="24"/>
          <w:szCs w:val="24"/>
        </w:rPr>
      </w:pPr>
      <w:r w:rsidRPr="006C06DA">
        <w:rPr>
          <w:color w:val="000000"/>
          <w:sz w:val="24"/>
          <w:szCs w:val="24"/>
        </w:rPr>
        <w:t xml:space="preserve">CAMPÊLO, Maria Luiza. Na era do clique, a exclusão é silenciosa para pessoas vulneráveis. Agência de Notícias CEUB, Brasília, 11 jun. 2025. </w:t>
      </w:r>
    </w:p>
    <w:p w14:paraId="0364D266" w14:textId="77777777" w:rsidR="006C06DA" w:rsidRPr="006C06DA" w:rsidRDefault="006C06DA" w:rsidP="006C06DA">
      <w:pPr>
        <w:jc w:val="both"/>
        <w:rPr>
          <w:color w:val="000000"/>
          <w:sz w:val="24"/>
          <w:szCs w:val="24"/>
        </w:rPr>
      </w:pPr>
    </w:p>
    <w:p w14:paraId="4DE83BD1" w14:textId="77777777" w:rsidR="006C06DA" w:rsidRPr="006C06DA" w:rsidRDefault="006C06DA" w:rsidP="006C06DA">
      <w:pPr>
        <w:jc w:val="both"/>
        <w:rPr>
          <w:color w:val="000000"/>
          <w:sz w:val="24"/>
          <w:szCs w:val="24"/>
        </w:rPr>
      </w:pPr>
      <w:r w:rsidRPr="006C06DA">
        <w:rPr>
          <w:color w:val="000000"/>
          <w:sz w:val="24"/>
          <w:szCs w:val="24"/>
        </w:rPr>
        <w:t>CASTELLS, Manuel. A sociedade em rede. 7. ed. São Paulo: Paz e Terra, 2003.</w:t>
      </w:r>
    </w:p>
    <w:p w14:paraId="614B9392" w14:textId="77777777" w:rsidR="006C06DA" w:rsidRPr="006C06DA" w:rsidRDefault="006C06DA" w:rsidP="006C06DA">
      <w:pPr>
        <w:jc w:val="both"/>
        <w:rPr>
          <w:color w:val="000000"/>
          <w:sz w:val="24"/>
          <w:szCs w:val="24"/>
        </w:rPr>
      </w:pPr>
    </w:p>
    <w:p w14:paraId="7D480F42" w14:textId="3A4BB445" w:rsidR="006C06DA" w:rsidRPr="006C06DA" w:rsidRDefault="006C06DA" w:rsidP="006C06DA">
      <w:pPr>
        <w:jc w:val="both"/>
        <w:rPr>
          <w:color w:val="000000"/>
          <w:sz w:val="24"/>
          <w:szCs w:val="24"/>
        </w:rPr>
      </w:pPr>
      <w:r w:rsidRPr="006C06DA">
        <w:rPr>
          <w:color w:val="000000"/>
          <w:sz w:val="24"/>
          <w:szCs w:val="24"/>
        </w:rPr>
        <w:t>CUNHA, João Paulo de Resende; MEIRELES, Luísa Gonçalves; MACHADO, Maíra Saruê; BAPTISTA, Rachel Rua. Abismo digital: desigualdades e privações no acesso à internet no Brasil. São Paulo: Itaú Cultural, 2023.</w:t>
      </w:r>
    </w:p>
    <w:p w14:paraId="507E4DF6" w14:textId="77777777" w:rsidR="006C06DA" w:rsidRPr="006C06DA" w:rsidRDefault="006C06DA" w:rsidP="006C06DA">
      <w:pPr>
        <w:jc w:val="both"/>
        <w:rPr>
          <w:color w:val="000000"/>
          <w:sz w:val="24"/>
          <w:szCs w:val="24"/>
        </w:rPr>
      </w:pPr>
    </w:p>
    <w:p w14:paraId="44E11571" w14:textId="577E5F6D" w:rsidR="006C06DA" w:rsidRPr="006C06DA" w:rsidRDefault="006C06DA" w:rsidP="006C06DA">
      <w:pPr>
        <w:jc w:val="both"/>
        <w:rPr>
          <w:color w:val="000000"/>
          <w:sz w:val="24"/>
          <w:szCs w:val="24"/>
        </w:rPr>
      </w:pPr>
      <w:r w:rsidRPr="006C06DA">
        <w:rPr>
          <w:color w:val="000000"/>
          <w:sz w:val="24"/>
          <w:szCs w:val="24"/>
        </w:rPr>
        <w:t xml:space="preserve">FREY, Klaus. Desenvolvimento sustentável local na sociedade em rede: o potencial das novas tecnologias de informação e comunicação. Revista de Sociologia e Política, Curitiba, v. 21, p. 165–185, nov. 2003. </w:t>
      </w:r>
    </w:p>
    <w:p w14:paraId="0A005690" w14:textId="77777777" w:rsidR="006C06DA" w:rsidRPr="006C06DA" w:rsidRDefault="006C06DA" w:rsidP="006C06DA">
      <w:pPr>
        <w:jc w:val="both"/>
        <w:rPr>
          <w:color w:val="000000"/>
          <w:sz w:val="24"/>
          <w:szCs w:val="24"/>
        </w:rPr>
      </w:pPr>
    </w:p>
    <w:p w14:paraId="4A0582DE" w14:textId="655DC033" w:rsidR="006C06DA" w:rsidRPr="006C06DA" w:rsidRDefault="006C06DA" w:rsidP="006C06DA">
      <w:pPr>
        <w:jc w:val="both"/>
        <w:rPr>
          <w:color w:val="000000"/>
          <w:sz w:val="24"/>
          <w:szCs w:val="24"/>
        </w:rPr>
      </w:pPr>
      <w:r w:rsidRPr="006C06DA">
        <w:rPr>
          <w:color w:val="000000"/>
          <w:sz w:val="24"/>
          <w:szCs w:val="24"/>
        </w:rPr>
        <w:t>GOMES, Aryvianna. A exclusão digital como forma de violação dos Direitos Humanos. Araçatuba: Centro Universitário Toledo, 2023.</w:t>
      </w:r>
    </w:p>
    <w:p w14:paraId="507A4D19" w14:textId="77777777" w:rsidR="006C06DA" w:rsidRPr="006C06DA" w:rsidRDefault="006C06DA" w:rsidP="006C06DA">
      <w:pPr>
        <w:jc w:val="both"/>
        <w:rPr>
          <w:color w:val="000000"/>
          <w:sz w:val="24"/>
          <w:szCs w:val="24"/>
        </w:rPr>
      </w:pPr>
    </w:p>
    <w:p w14:paraId="55AC70A3" w14:textId="58A34E40" w:rsidR="006C06DA" w:rsidRPr="006C06DA" w:rsidRDefault="006C06DA" w:rsidP="006C06DA">
      <w:pPr>
        <w:jc w:val="both"/>
        <w:rPr>
          <w:color w:val="000000"/>
          <w:sz w:val="24"/>
          <w:szCs w:val="24"/>
        </w:rPr>
      </w:pPr>
      <w:r w:rsidRPr="006C06DA">
        <w:rPr>
          <w:color w:val="000000"/>
          <w:sz w:val="24"/>
          <w:szCs w:val="24"/>
        </w:rPr>
        <w:t>LIMA, Ana Cláudia Botelho de. Golpes virtuais se multiplicam entre idosos e expõem impacto da exclusão digital. Jornalismo IESB, Brasília, 23 abr. 2025.</w:t>
      </w:r>
    </w:p>
    <w:p w14:paraId="5369FF4C" w14:textId="77777777" w:rsidR="006C06DA" w:rsidRPr="006C06DA" w:rsidRDefault="006C06DA" w:rsidP="006C06DA">
      <w:pPr>
        <w:jc w:val="both"/>
        <w:rPr>
          <w:color w:val="000000"/>
          <w:sz w:val="24"/>
          <w:szCs w:val="24"/>
        </w:rPr>
      </w:pPr>
    </w:p>
    <w:p w14:paraId="00000038" w14:textId="6594408E" w:rsidR="00C60176" w:rsidRDefault="006C06DA" w:rsidP="006C06DA">
      <w:pPr>
        <w:jc w:val="both"/>
        <w:rPr>
          <w:b/>
          <w:color w:val="000000"/>
          <w:sz w:val="24"/>
          <w:szCs w:val="24"/>
        </w:rPr>
      </w:pPr>
      <w:r w:rsidRPr="006C06DA">
        <w:rPr>
          <w:color w:val="000000"/>
          <w:sz w:val="24"/>
          <w:szCs w:val="24"/>
        </w:rPr>
        <w:t>PUTNAM, Robert. Bowling alone: the collapse and revival of American community. New York: Simon &amp; Schuster, 2000.</w:t>
      </w:r>
    </w:p>
    <w:sectPr w:rsidR="00C60176">
      <w:pgSz w:w="12240" w:h="15840"/>
      <w:pgMar w:top="1440" w:right="1440" w:bottom="1440" w:left="144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D2A37"/>
    <w:multiLevelType w:val="multilevel"/>
    <w:tmpl w:val="5718B2C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97722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176"/>
    <w:rsid w:val="00207821"/>
    <w:rsid w:val="002529DC"/>
    <w:rsid w:val="00637343"/>
    <w:rsid w:val="006745CD"/>
    <w:rsid w:val="006C06DA"/>
    <w:rsid w:val="007B1481"/>
    <w:rsid w:val="00B9094A"/>
    <w:rsid w:val="00C60176"/>
    <w:rsid w:val="00C747B4"/>
    <w:rsid w:val="00CC58C2"/>
    <w:rsid w:val="00DA44CD"/>
    <w:rsid w:val="00EA51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35FD"/>
  <w15:docId w15:val="{A553FDFE-54FD-4860-A23A-1D583D9E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21"/>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ligao">
    <w:name w:val="Hyperlink"/>
    <w:basedOn w:val="Tipodeletrapredefinidodopargrafo"/>
    <w:uiPriority w:val="99"/>
    <w:unhideWhenUsed/>
    <w:rsid w:val="00207821"/>
    <w:rPr>
      <w:color w:val="0000FF" w:themeColor="hyperlink"/>
      <w:u w:val="single"/>
    </w:rPr>
  </w:style>
  <w:style w:type="character" w:styleId="MenoNoResolvida">
    <w:name w:val="Unresolved Mention"/>
    <w:basedOn w:val="Tipodeletrapredefinidodopargrafo"/>
    <w:uiPriority w:val="99"/>
    <w:semiHidden/>
    <w:unhideWhenUsed/>
    <w:rsid w:val="00207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9062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1507</Words>
  <Characters>8142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Lucas de Almeida Santos</cp:lastModifiedBy>
  <cp:revision>9</cp:revision>
  <dcterms:created xsi:type="dcterms:W3CDTF">2025-09-13T01:32:00Z</dcterms:created>
  <dcterms:modified xsi:type="dcterms:W3CDTF">2025-09-13T02:15:00Z</dcterms:modified>
</cp:coreProperties>
</file>