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EC" w:rsidRPr="007679CC" w:rsidRDefault="007679CC" w:rsidP="00A71484">
      <w:pPr>
        <w:pStyle w:val="Ttulo"/>
        <w:tabs>
          <w:tab w:val="left" w:pos="8647"/>
        </w:tabs>
        <w:ind w:left="142" w:right="103" w:firstLine="0"/>
        <w:jc w:val="center"/>
      </w:pPr>
      <w:r>
        <w:t>DISTR</w:t>
      </w:r>
      <w:r w:rsidR="006406E1">
        <w:t>I</w:t>
      </w:r>
      <w:r>
        <w:t xml:space="preserve">BUIÇÃO E ABUNDÂNCIA DA ESPÉCIE </w:t>
      </w:r>
      <w:r>
        <w:rPr>
          <w:b w:val="0"/>
          <w:i/>
        </w:rPr>
        <w:t>Macrobrachium jelskii</w:t>
      </w:r>
      <w:r w:rsidR="00404924">
        <w:rPr>
          <w:b w:val="0"/>
          <w:i/>
        </w:rPr>
        <w:t xml:space="preserve"> </w:t>
      </w:r>
      <w:r w:rsidR="00E84033" w:rsidRPr="00E84033">
        <w:rPr>
          <w:b w:val="0"/>
        </w:rPr>
        <w:t>(</w:t>
      </w:r>
      <w:proofErr w:type="gramStart"/>
      <w:r w:rsidR="00E84033">
        <w:rPr>
          <w:b w:val="0"/>
        </w:rPr>
        <w:t>Miers,</w:t>
      </w:r>
      <w:proofErr w:type="gramEnd"/>
      <w:r w:rsidR="00E84033">
        <w:rPr>
          <w:b w:val="0"/>
        </w:rPr>
        <w:t>18</w:t>
      </w:r>
      <w:r w:rsidR="004B2CF3">
        <w:rPr>
          <w:b w:val="0"/>
        </w:rPr>
        <w:t>77</w:t>
      </w:r>
      <w:r w:rsidR="00E84033" w:rsidRPr="00E84033">
        <w:rPr>
          <w:b w:val="0"/>
        </w:rPr>
        <w:t>)</w:t>
      </w:r>
      <w:r w:rsidR="00BE5025">
        <w:rPr>
          <w:b w:val="0"/>
        </w:rPr>
        <w:t xml:space="preserve"> </w:t>
      </w:r>
      <w:r>
        <w:rPr>
          <w:b w:val="0"/>
        </w:rPr>
        <w:t>(CRUSTACEA: DECAPODA: PALAEMONIDADE)</w:t>
      </w:r>
      <w:r w:rsidR="00E84033">
        <w:rPr>
          <w:b w:val="0"/>
        </w:rPr>
        <w:t xml:space="preserve">, </w:t>
      </w:r>
      <w:r>
        <w:t>NO LAGO DA BARRAGEM DE ITAPARICA NO RIO SÃO FRANCISCO, PETROLÂNDIA-PE</w:t>
      </w:r>
    </w:p>
    <w:p w:rsidR="004A78BA" w:rsidRDefault="004A78BA" w:rsidP="004A78BA">
      <w:pPr>
        <w:spacing w:before="226" w:line="244" w:lineRule="auto"/>
        <w:ind w:left="150" w:right="14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BARBOSA, </w:t>
      </w:r>
      <w:proofErr w:type="gramStart"/>
      <w:r>
        <w:rPr>
          <w:rFonts w:ascii="Arial" w:hAnsi="Arial"/>
          <w:b/>
          <w:sz w:val="20"/>
        </w:rPr>
        <w:t>A.D.C.</w:t>
      </w:r>
      <w:proofErr w:type="gramEnd"/>
      <w:r>
        <w:rPr>
          <w:rFonts w:ascii="Arial" w:hAnsi="Arial"/>
          <w:b/>
        </w:rPr>
        <w:t>¹</w:t>
      </w:r>
      <w:r>
        <w:rPr>
          <w:rFonts w:ascii="Arial" w:hAnsi="Arial"/>
          <w:b/>
          <w:sz w:val="20"/>
        </w:rPr>
        <w:t>; VIANA, G.F.S.</w:t>
      </w:r>
      <w:r>
        <w:rPr>
          <w:rFonts w:ascii="Arial" w:hAnsi="Arial"/>
          <w:b/>
        </w:rPr>
        <w:t>²</w:t>
      </w:r>
    </w:p>
    <w:p w:rsidR="004A78BA" w:rsidRDefault="004A78BA" w:rsidP="004A78BA">
      <w:pPr>
        <w:spacing w:before="149"/>
        <w:ind w:left="150" w:right="148"/>
        <w:jc w:val="center"/>
        <w:rPr>
          <w:sz w:val="20"/>
        </w:rPr>
      </w:pPr>
      <w:r>
        <w:rPr>
          <w:position w:val="6"/>
          <w:sz w:val="13"/>
        </w:rPr>
        <w:t>1</w:t>
      </w:r>
      <w:r>
        <w:rPr>
          <w:sz w:val="20"/>
          <w:szCs w:val="20"/>
        </w:rPr>
        <w:t>aviladcb@outlook.com,</w:t>
      </w:r>
      <w:r>
        <w:rPr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Universidade Federal Rural de Pernambuco - Unidade Acadêmica de Serra Talhada - Laboratório de Bentos</w:t>
      </w:r>
      <w:r>
        <w:rPr>
          <w:sz w:val="20"/>
        </w:rPr>
        <w:t>,</w:t>
      </w:r>
      <w:r>
        <w:rPr>
          <w:spacing w:val="-2"/>
          <w:sz w:val="20"/>
        </w:rPr>
        <w:t xml:space="preserve"> Discente</w:t>
      </w:r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proofErr w:type="gramStart"/>
      <w:r>
        <w:rPr>
          <w:position w:val="6"/>
          <w:sz w:val="13"/>
        </w:rPr>
        <w:t>2</w:t>
      </w:r>
      <w:r>
        <w:rPr>
          <w:sz w:val="20"/>
        </w:rPr>
        <w:t>girlene.</w:t>
      </w:r>
      <w:proofErr w:type="gramEnd"/>
      <w:r>
        <w:rPr>
          <w:sz w:val="20"/>
        </w:rPr>
        <w:t>viana@ufrpe.br,</w:t>
      </w:r>
      <w:r>
        <w:rPr>
          <w:spacing w:val="-2"/>
          <w:sz w:val="20"/>
        </w:rPr>
        <w:t xml:space="preserve"> </w:t>
      </w:r>
      <w:r>
        <w:rPr>
          <w:color w:val="000000"/>
          <w:sz w:val="20"/>
          <w:szCs w:val="20"/>
        </w:rPr>
        <w:t xml:space="preserve">Universidade Federal Rural de Pernambuco - </w:t>
      </w:r>
      <w:bookmarkStart w:id="0" w:name="_GoBack"/>
      <w:bookmarkEnd w:id="0"/>
      <w:r>
        <w:rPr>
          <w:color w:val="000000"/>
          <w:sz w:val="20"/>
          <w:szCs w:val="20"/>
        </w:rPr>
        <w:t>Unidade Acadêmica de Serra Talhada - Laboratório de Bentos</w:t>
      </w:r>
      <w:r>
        <w:rPr>
          <w:sz w:val="20"/>
        </w:rPr>
        <w:t>,</w:t>
      </w:r>
      <w:r>
        <w:rPr>
          <w:spacing w:val="-2"/>
          <w:sz w:val="20"/>
        </w:rPr>
        <w:t xml:space="preserve"> Professora Associada</w:t>
      </w:r>
      <w:r>
        <w:rPr>
          <w:sz w:val="20"/>
        </w:rPr>
        <w:t>;</w:t>
      </w:r>
    </w:p>
    <w:p w:rsidR="00211B0F" w:rsidRPr="00594EA6" w:rsidRDefault="00211B0F" w:rsidP="00211B0F">
      <w:pPr>
        <w:spacing w:before="149"/>
        <w:ind w:left="150" w:right="148"/>
        <w:jc w:val="center"/>
        <w:rPr>
          <w:sz w:val="16"/>
        </w:rPr>
      </w:pPr>
    </w:p>
    <w:p w:rsidR="003006EC" w:rsidRDefault="0086496E">
      <w:pPr>
        <w:pStyle w:val="Ttulo11"/>
        <w:spacing w:before="203"/>
      </w:pPr>
      <w:r>
        <w:t>Resumo</w:t>
      </w:r>
    </w:p>
    <w:p w:rsidR="003006EC" w:rsidRDefault="0005121D">
      <w:pPr>
        <w:pStyle w:val="Corpodetexto"/>
        <w:ind w:right="117" w:firstLine="2"/>
      </w:pPr>
      <w:r w:rsidRPr="00406B0E">
        <w:rPr>
          <w:rFonts w:cs="Arial"/>
          <w:shd w:val="clear" w:color="auto" w:fill="FFFFFF"/>
        </w:rPr>
        <w:t>A cidade de </w:t>
      </w:r>
      <w:r w:rsidRPr="00406B0E">
        <w:rPr>
          <w:rFonts w:cs="Arial"/>
          <w:bCs/>
          <w:shd w:val="clear" w:color="auto" w:fill="FFFFFF"/>
        </w:rPr>
        <w:t>Petrolândia foi</w:t>
      </w:r>
      <w:r w:rsidRPr="00406B0E">
        <w:rPr>
          <w:rFonts w:cs="Arial"/>
          <w:shd w:val="clear" w:color="auto" w:fill="FFFFFF"/>
        </w:rPr>
        <w:t> </w:t>
      </w:r>
      <w:r w:rsidRPr="00406B0E">
        <w:rPr>
          <w:rFonts w:cs="Arial"/>
          <w:bCs/>
          <w:shd w:val="clear" w:color="auto" w:fill="FFFFFF"/>
        </w:rPr>
        <w:t xml:space="preserve">inundada pela CHESF em </w:t>
      </w:r>
      <w:proofErr w:type="gramStart"/>
      <w:r w:rsidRPr="00406B0E">
        <w:rPr>
          <w:rFonts w:cs="Arial"/>
          <w:bCs/>
          <w:shd w:val="clear" w:color="auto" w:fill="FFFFFF"/>
        </w:rPr>
        <w:t xml:space="preserve">1988 </w:t>
      </w:r>
      <w:r w:rsidRPr="00406B0E">
        <w:rPr>
          <w:rFonts w:cs="Arial"/>
          <w:shd w:val="clear" w:color="auto" w:fill="FFFFFF"/>
        </w:rPr>
        <w:t>para construção da usina hidrelétrica Luiz Gonzaga</w:t>
      </w:r>
      <w:proofErr w:type="gramEnd"/>
      <w:r w:rsidRPr="00406B0E">
        <w:rPr>
          <w:rFonts w:cs="Arial"/>
          <w:shd w:val="clear" w:color="auto" w:fill="FFFFFF"/>
        </w:rPr>
        <w:t xml:space="preserve">, possibilitando a distribuição de várias espécies nativas da bacia do Rio São Francisco e espécies que foram introduzidas para servirem de alimento para peixes carnívoros, incluindo camarões do gênero </w:t>
      </w:r>
      <w:r w:rsidRPr="00406B0E">
        <w:rPr>
          <w:rFonts w:cs="Arial"/>
          <w:i/>
          <w:iCs/>
          <w:shd w:val="clear" w:color="auto" w:fill="FFFFFF"/>
        </w:rPr>
        <w:t>Macrobrachium</w:t>
      </w:r>
      <w:r w:rsidRPr="00406B0E">
        <w:rPr>
          <w:rFonts w:cs="Arial"/>
          <w:shd w:val="clear" w:color="auto" w:fill="FFFFFF"/>
        </w:rPr>
        <w:t xml:space="preserve">. A </w:t>
      </w:r>
      <w:r w:rsidRPr="00406B0E">
        <w:rPr>
          <w:rFonts w:cs="Arial"/>
          <w:color w:val="000000" w:themeColor="text1"/>
        </w:rPr>
        <w:t xml:space="preserve">pesca de camarões em Petrolândia é comum para a venda e consumo pela população local. O objetivo deste trabalho foi identificar </w:t>
      </w:r>
      <w:r w:rsidR="00492695">
        <w:rPr>
          <w:rFonts w:cs="Arial"/>
          <w:color w:val="000000" w:themeColor="text1"/>
        </w:rPr>
        <w:t xml:space="preserve">os camarões e </w:t>
      </w:r>
      <w:r w:rsidRPr="00406B0E">
        <w:rPr>
          <w:rFonts w:cs="Arial"/>
          <w:color w:val="000000" w:themeColor="text1"/>
        </w:rPr>
        <w:t xml:space="preserve">analisar sua abundância por ponto de coleta, meses, </w:t>
      </w:r>
      <w:proofErr w:type="gramStart"/>
      <w:r w:rsidRPr="00406B0E">
        <w:rPr>
          <w:rFonts w:cs="Arial"/>
          <w:color w:val="000000" w:themeColor="text1"/>
        </w:rPr>
        <w:t>sexo,</w:t>
      </w:r>
      <w:proofErr w:type="gramEnd"/>
      <w:r w:rsidRPr="00406B0E">
        <w:rPr>
          <w:rFonts w:cs="Arial"/>
          <w:color w:val="000000" w:themeColor="text1"/>
        </w:rPr>
        <w:t xml:space="preserve">presença de fêmeas ovígeras.As capturas ocorreram em 2019, através de um jereré arrastado por 10 minutos em áreas predeterminadas. Foram coletados 563 camarões da espécie </w:t>
      </w:r>
      <w:r w:rsidR="00E84033">
        <w:rPr>
          <w:rFonts w:cs="Arial"/>
          <w:i/>
          <w:color w:val="000000" w:themeColor="text1"/>
        </w:rPr>
        <w:t xml:space="preserve">M. </w:t>
      </w:r>
      <w:r w:rsidR="00492695">
        <w:rPr>
          <w:rFonts w:cs="Arial"/>
          <w:i/>
          <w:color w:val="000000" w:themeColor="text1"/>
        </w:rPr>
        <w:t>j</w:t>
      </w:r>
      <w:r w:rsidRPr="00406B0E">
        <w:rPr>
          <w:rFonts w:cs="Arial"/>
          <w:i/>
          <w:color w:val="000000" w:themeColor="text1"/>
        </w:rPr>
        <w:t>elskii</w:t>
      </w:r>
      <w:r w:rsidR="00492695">
        <w:rPr>
          <w:rFonts w:cs="Arial"/>
          <w:i/>
          <w:color w:val="000000" w:themeColor="text1"/>
        </w:rPr>
        <w:t xml:space="preserve"> </w:t>
      </w:r>
      <w:r w:rsidRPr="00406B0E">
        <w:rPr>
          <w:rFonts w:cs="Arial"/>
        </w:rPr>
        <w:t>orig</w:t>
      </w:r>
      <w:r w:rsidR="00523117">
        <w:rPr>
          <w:rFonts w:cs="Arial"/>
        </w:rPr>
        <w:t>inária d</w:t>
      </w:r>
      <w:r w:rsidRPr="00406B0E">
        <w:rPr>
          <w:rFonts w:cs="Arial"/>
        </w:rPr>
        <w:t xml:space="preserve">a </w:t>
      </w:r>
      <w:r w:rsidR="00523117">
        <w:rPr>
          <w:rFonts w:cs="Arial"/>
        </w:rPr>
        <w:t>b</w:t>
      </w:r>
      <w:r w:rsidRPr="00406B0E">
        <w:rPr>
          <w:rFonts w:cs="Arial"/>
        </w:rPr>
        <w:t>acia do rio Amazonas, bacia do rio Orinoco e rio Paraguai.</w:t>
      </w:r>
      <w:r w:rsidR="00492695">
        <w:rPr>
          <w:rFonts w:cs="Arial"/>
        </w:rPr>
        <w:t xml:space="preserve"> </w:t>
      </w:r>
      <w:r w:rsidRPr="00406B0E">
        <w:rPr>
          <w:rFonts w:cs="Arial"/>
          <w:color w:val="000000" w:themeColor="text1"/>
        </w:rPr>
        <w:t xml:space="preserve">A abundância do </w:t>
      </w:r>
      <w:r w:rsidRPr="00406B0E">
        <w:rPr>
          <w:rFonts w:cs="Arial"/>
          <w:i/>
          <w:color w:val="000000" w:themeColor="text1"/>
        </w:rPr>
        <w:t xml:space="preserve">M. jelskii </w:t>
      </w:r>
      <w:r w:rsidRPr="00406B0E">
        <w:rPr>
          <w:rFonts w:cs="Arial"/>
          <w:color w:val="000000" w:themeColor="text1"/>
        </w:rPr>
        <w:t>foi maior nos pontos 1, 3, 4 e</w:t>
      </w:r>
      <w:r w:rsidR="00E84033">
        <w:rPr>
          <w:rFonts w:cs="Arial"/>
          <w:color w:val="000000" w:themeColor="text1"/>
        </w:rPr>
        <w:t xml:space="preserve"> 6, sendo esses pontos os que</w:t>
      </w:r>
      <w:r w:rsidRPr="00406B0E">
        <w:rPr>
          <w:rFonts w:cs="Arial"/>
          <w:color w:val="000000" w:themeColor="text1"/>
        </w:rPr>
        <w:t xml:space="preserve"> mais se assemelham ao seu habitat</w:t>
      </w:r>
      <w:r w:rsidR="00523117">
        <w:rPr>
          <w:rFonts w:cs="Arial"/>
          <w:color w:val="000000" w:themeColor="text1"/>
        </w:rPr>
        <w:t xml:space="preserve"> citado na literatura</w:t>
      </w:r>
      <w:r w:rsidRPr="00406B0E">
        <w:rPr>
          <w:rFonts w:cs="Arial"/>
          <w:color w:val="000000" w:themeColor="text1"/>
        </w:rPr>
        <w:t xml:space="preserve">. As fêmeas foram predominantes em todos </w:t>
      </w:r>
      <w:proofErr w:type="gramStart"/>
      <w:r w:rsidRPr="00406B0E">
        <w:rPr>
          <w:rFonts w:cs="Arial"/>
          <w:color w:val="000000" w:themeColor="text1"/>
        </w:rPr>
        <w:t>os</w:t>
      </w:r>
      <w:proofErr w:type="gramEnd"/>
      <w:r w:rsidRPr="00406B0E">
        <w:rPr>
          <w:rFonts w:cs="Arial"/>
          <w:color w:val="000000" w:themeColor="text1"/>
        </w:rPr>
        <w:t xml:space="preserve"> meses. Fêmeas ovígeras nos meses de </w:t>
      </w:r>
      <w:r>
        <w:rPr>
          <w:rFonts w:cs="Arial"/>
          <w:color w:val="000000" w:themeColor="text1"/>
        </w:rPr>
        <w:t>a</w:t>
      </w:r>
      <w:r w:rsidRPr="00406B0E">
        <w:rPr>
          <w:rFonts w:cs="Arial"/>
          <w:color w:val="000000" w:themeColor="text1"/>
        </w:rPr>
        <w:t xml:space="preserve">bril e </w:t>
      </w:r>
      <w:r>
        <w:rPr>
          <w:rFonts w:cs="Arial"/>
          <w:color w:val="000000" w:themeColor="text1"/>
        </w:rPr>
        <w:t>m</w:t>
      </w:r>
      <w:r w:rsidRPr="00406B0E">
        <w:rPr>
          <w:rFonts w:cs="Arial"/>
          <w:color w:val="000000" w:themeColor="text1"/>
        </w:rPr>
        <w:t>aio.</w:t>
      </w:r>
    </w:p>
    <w:p w:rsidR="003006EC" w:rsidRPr="00C533B0" w:rsidRDefault="003006EC">
      <w:pPr>
        <w:pStyle w:val="Corpodetexto"/>
        <w:spacing w:before="1"/>
        <w:ind w:left="2813"/>
        <w:rPr>
          <w:sz w:val="20"/>
        </w:rPr>
      </w:pPr>
    </w:p>
    <w:p w:rsidR="003006EC" w:rsidRDefault="0086496E">
      <w:pPr>
        <w:pStyle w:val="Corpodetexto"/>
        <w:ind w:right="116" w:firstLine="14"/>
      </w:pPr>
      <w:r>
        <w:rPr>
          <w:rFonts w:ascii="Arial" w:hAnsi="Arial"/>
          <w:b/>
        </w:rPr>
        <w:t xml:space="preserve">Palavras–chave: </w:t>
      </w:r>
      <w:r w:rsidR="0005121D" w:rsidRPr="00406B0E">
        <w:rPr>
          <w:rFonts w:cs="Arial"/>
        </w:rPr>
        <w:t xml:space="preserve">Águas </w:t>
      </w:r>
      <w:proofErr w:type="gramStart"/>
      <w:r w:rsidR="0005121D" w:rsidRPr="00406B0E">
        <w:rPr>
          <w:rFonts w:cs="Arial"/>
        </w:rPr>
        <w:t>lênticas;</w:t>
      </w:r>
      <w:proofErr w:type="gramEnd"/>
      <w:r w:rsidR="0005121D" w:rsidRPr="00406B0E">
        <w:rPr>
          <w:rFonts w:cs="Arial"/>
        </w:rPr>
        <w:t>Camarões;Caride</w:t>
      </w:r>
      <w:r w:rsidR="0005121D">
        <w:rPr>
          <w:rFonts w:cs="Arial"/>
        </w:rPr>
        <w:t>a.</w:t>
      </w:r>
    </w:p>
    <w:p w:rsidR="003006EC" w:rsidRPr="00211B0F" w:rsidRDefault="003006EC">
      <w:pPr>
        <w:pStyle w:val="Corpodetexto"/>
        <w:ind w:left="2726"/>
        <w:rPr>
          <w:sz w:val="16"/>
        </w:rPr>
      </w:pPr>
    </w:p>
    <w:p w:rsidR="003006EC" w:rsidRPr="00211B0F" w:rsidRDefault="003006EC">
      <w:pPr>
        <w:pStyle w:val="Corpodetexto"/>
        <w:ind w:left="0"/>
        <w:jc w:val="left"/>
        <w:rPr>
          <w:sz w:val="16"/>
        </w:rPr>
      </w:pPr>
    </w:p>
    <w:p w:rsidR="003B19F3" w:rsidRPr="003B19F3" w:rsidRDefault="0086496E" w:rsidP="003B19F3">
      <w:pPr>
        <w:pStyle w:val="Ttulo11"/>
      </w:pPr>
      <w:r>
        <w:t>INTRODUÇÃO</w:t>
      </w:r>
    </w:p>
    <w:p w:rsidR="003006EC" w:rsidRDefault="00A161D1">
      <w:pPr>
        <w:pStyle w:val="Corpodetexto"/>
        <w:ind w:right="116" w:firstLine="568"/>
      </w:pPr>
      <w:r w:rsidRPr="00406B0E">
        <w:rPr>
          <w:rFonts w:cs="Arial"/>
          <w:shd w:val="clear" w:color="auto" w:fill="FFFFFF"/>
        </w:rPr>
        <w:t>A</w:t>
      </w:r>
      <w:r>
        <w:rPr>
          <w:rFonts w:cs="Arial"/>
          <w:shd w:val="clear" w:color="auto" w:fill="FFFFFF"/>
        </w:rPr>
        <w:t xml:space="preserve"> antiga sede municipal</w:t>
      </w:r>
      <w:r w:rsidR="003B19F3" w:rsidRPr="00406B0E">
        <w:rPr>
          <w:rFonts w:cs="Arial"/>
          <w:shd w:val="clear" w:color="auto" w:fill="FFFFFF"/>
        </w:rPr>
        <w:t xml:space="preserve"> de </w:t>
      </w:r>
      <w:r w:rsidR="003B19F3" w:rsidRPr="00406B0E">
        <w:rPr>
          <w:rFonts w:cs="Arial"/>
          <w:bCs/>
          <w:shd w:val="clear" w:color="auto" w:fill="FFFFFF"/>
        </w:rPr>
        <w:t>Petrolândia</w:t>
      </w:r>
      <w:r>
        <w:rPr>
          <w:rFonts w:cs="Arial"/>
          <w:bCs/>
          <w:shd w:val="clear" w:color="auto" w:fill="FFFFFF"/>
        </w:rPr>
        <w:t>, em 1988</w:t>
      </w:r>
      <w:r w:rsidR="003B19F3" w:rsidRPr="00406B0E">
        <w:rPr>
          <w:rFonts w:cs="Arial"/>
          <w:shd w:val="clear" w:color="auto" w:fill="FFFFFF"/>
        </w:rPr>
        <w:t xml:space="preserve"> foi </w:t>
      </w:r>
      <w:r>
        <w:rPr>
          <w:rFonts w:cs="Arial"/>
          <w:shd w:val="clear" w:color="auto" w:fill="FFFFFF"/>
        </w:rPr>
        <w:t xml:space="preserve">completamente submersa pelas águas do reservatório da </w:t>
      </w:r>
      <w:r w:rsidRPr="00406B0E">
        <w:rPr>
          <w:rFonts w:cs="Arial"/>
          <w:shd w:val="clear" w:color="auto" w:fill="FFFFFF"/>
        </w:rPr>
        <w:t xml:space="preserve">Usina Hidrelétrica </w:t>
      </w:r>
      <w:r>
        <w:rPr>
          <w:rFonts w:cs="Arial"/>
          <w:shd w:val="clear" w:color="auto" w:fill="FFFFFF"/>
        </w:rPr>
        <w:t xml:space="preserve">de Itaparica, hoje denominada, </w:t>
      </w:r>
      <w:r w:rsidRPr="00406B0E">
        <w:rPr>
          <w:rFonts w:cs="Arial"/>
          <w:shd w:val="clear" w:color="auto" w:fill="FFFFFF"/>
        </w:rPr>
        <w:t>Luiz Gonzaga</w:t>
      </w:r>
      <w:r w:rsidR="00492695">
        <w:rPr>
          <w:rFonts w:cs="Arial"/>
          <w:shd w:val="clear" w:color="auto" w:fill="FFFFFF"/>
        </w:rPr>
        <w:t xml:space="preserve"> </w:t>
      </w:r>
      <w:r w:rsidRPr="00406B0E">
        <w:rPr>
          <w:rFonts w:cs="Arial"/>
          <w:shd w:val="clear" w:color="auto" w:fill="FFFFFF"/>
        </w:rPr>
        <w:t>(</w:t>
      </w:r>
      <w:r>
        <w:rPr>
          <w:rFonts w:cs="Arial"/>
          <w:shd w:val="clear" w:color="auto" w:fill="FFFFFF"/>
        </w:rPr>
        <w:t>SUASSUNA</w:t>
      </w:r>
      <w:r w:rsidRPr="00406B0E">
        <w:rPr>
          <w:rFonts w:cs="Arial"/>
          <w:shd w:val="clear" w:color="auto" w:fill="FFFFFF"/>
        </w:rPr>
        <w:t>, 20</w:t>
      </w:r>
      <w:r>
        <w:rPr>
          <w:rFonts w:cs="Arial"/>
          <w:shd w:val="clear" w:color="auto" w:fill="FFFFFF"/>
        </w:rPr>
        <w:t>05</w:t>
      </w:r>
      <w:r w:rsidRPr="00406B0E">
        <w:rPr>
          <w:rFonts w:cs="Arial"/>
          <w:shd w:val="clear" w:color="auto" w:fill="FFFFFF"/>
        </w:rPr>
        <w:t>)</w:t>
      </w:r>
      <w:r w:rsidR="003B19F3" w:rsidRPr="00406B0E">
        <w:rPr>
          <w:rFonts w:cs="Arial"/>
          <w:shd w:val="clear" w:color="auto" w:fill="FFFFFF"/>
        </w:rPr>
        <w:t xml:space="preserve">. Como consequência disso se teve distribuição de várias espécies nativas da bacia do Rio São Francisco e introduzidas para servirem de alimento para peixes carnívoros, incluindo camarões do gênero </w:t>
      </w:r>
      <w:r w:rsidR="003B19F3" w:rsidRPr="00406B0E">
        <w:rPr>
          <w:rFonts w:cs="Arial"/>
          <w:i/>
          <w:iCs/>
          <w:shd w:val="clear" w:color="auto" w:fill="FFFFFF"/>
        </w:rPr>
        <w:t>Macrobrachium</w:t>
      </w:r>
      <w:r w:rsidR="003B19F3" w:rsidRPr="00406B0E">
        <w:rPr>
          <w:rFonts w:cs="Arial"/>
          <w:shd w:val="clear" w:color="auto" w:fill="FFFFFF"/>
        </w:rPr>
        <w:t>.</w:t>
      </w:r>
    </w:p>
    <w:p w:rsidR="003B19F3" w:rsidRDefault="003B19F3" w:rsidP="003B19F3">
      <w:pPr>
        <w:pStyle w:val="Corpodetexto"/>
        <w:ind w:right="116" w:firstLine="568"/>
      </w:pPr>
      <w:r w:rsidRPr="00406B0E">
        <w:rPr>
          <w:rFonts w:cs="Arial"/>
        </w:rPr>
        <w:t>A maioria das espécies de camarões de água doce pertence a esse gênero</w:t>
      </w:r>
      <w:r w:rsidR="00E84033">
        <w:rPr>
          <w:rFonts w:cs="Arial"/>
        </w:rPr>
        <w:t xml:space="preserve"> e</w:t>
      </w:r>
      <w:r w:rsidR="00492695">
        <w:rPr>
          <w:rFonts w:cs="Arial"/>
        </w:rPr>
        <w:t xml:space="preserve"> </w:t>
      </w:r>
      <w:r w:rsidR="002D38A2">
        <w:rPr>
          <w:rFonts w:cs="Arial"/>
        </w:rPr>
        <w:t>à</w:t>
      </w:r>
      <w:r w:rsidR="00492695">
        <w:rPr>
          <w:rFonts w:cs="Arial"/>
        </w:rPr>
        <w:t xml:space="preserve"> </w:t>
      </w:r>
      <w:r w:rsidRPr="00406B0E">
        <w:rPr>
          <w:rFonts w:cs="Arial"/>
          <w:color w:val="000000" w:themeColor="text1"/>
          <w:shd w:val="clear" w:color="auto" w:fill="FFFFFF"/>
        </w:rPr>
        <w:t>Família </w:t>
      </w:r>
      <w:hyperlink r:id="rId8" w:tooltip="Palaemonidae" w:history="1">
        <w:r w:rsidRPr="00991F4E">
          <w:rPr>
            <w:rStyle w:val="Hyperlink"/>
            <w:rFonts w:cs="Arial"/>
            <w:color w:val="000000" w:themeColor="text1"/>
            <w:u w:val="none"/>
            <w:shd w:val="clear" w:color="auto" w:fill="FFFFFF"/>
          </w:rPr>
          <w:t>Palaemonidae</w:t>
        </w:r>
      </w:hyperlink>
      <w:r w:rsidRPr="00C55AFD">
        <w:rPr>
          <w:rStyle w:val="Hyperlink"/>
          <w:rFonts w:cs="Arial"/>
          <w:color w:val="000000" w:themeColor="text1"/>
          <w:u w:val="none"/>
          <w:shd w:val="clear" w:color="auto" w:fill="FFFFFF"/>
        </w:rPr>
        <w:t>,</w:t>
      </w:r>
      <w:r w:rsidRPr="00406B0E">
        <w:rPr>
          <w:rFonts w:cs="Arial"/>
          <w:color w:val="000000" w:themeColor="text1"/>
          <w:shd w:val="clear" w:color="auto" w:fill="FFFFFF"/>
        </w:rPr>
        <w:t> que se caracteriza pela presença de uma ampliação extrema do segundo par de</w:t>
      </w:r>
      <w:r w:rsidRPr="00991F4E">
        <w:rPr>
          <w:rFonts w:cs="Arial"/>
          <w:color w:val="000000" w:themeColor="text1"/>
          <w:shd w:val="clear" w:color="auto" w:fill="FFFFFF"/>
        </w:rPr>
        <w:t> </w:t>
      </w:r>
      <w:hyperlink r:id="rId9" w:tooltip="Pereiópode" w:history="1">
        <w:r w:rsidRPr="00991F4E">
          <w:rPr>
            <w:rStyle w:val="Hyperlink"/>
            <w:rFonts w:cs="Arial"/>
            <w:color w:val="000000" w:themeColor="text1"/>
            <w:u w:val="none"/>
            <w:shd w:val="clear" w:color="auto" w:fill="FFFFFF"/>
          </w:rPr>
          <w:t>pereiópodes</w:t>
        </w:r>
      </w:hyperlink>
      <w:r w:rsidRPr="00406B0E">
        <w:rPr>
          <w:rFonts w:cs="Arial"/>
          <w:color w:val="000000" w:themeColor="text1"/>
          <w:shd w:val="clear" w:color="auto" w:fill="FFFFFF"/>
        </w:rPr>
        <w:t>, pelo menos nos machos (</w:t>
      </w:r>
      <w:proofErr w:type="gramStart"/>
      <w:r w:rsidRPr="00406B0E">
        <w:rPr>
          <w:rFonts w:cs="Arial"/>
          <w:shd w:val="clear" w:color="auto" w:fill="FFFFFF"/>
        </w:rPr>
        <w:t>BATE,</w:t>
      </w:r>
      <w:proofErr w:type="gramEnd"/>
      <w:r w:rsidRPr="00406B0E">
        <w:rPr>
          <w:rFonts w:cs="Arial"/>
          <w:shd w:val="clear" w:color="auto" w:fill="FFFFFF"/>
        </w:rPr>
        <w:t xml:space="preserve"> 1868)</w:t>
      </w:r>
      <w:r w:rsidRPr="00406B0E">
        <w:rPr>
          <w:rFonts w:cs="Arial"/>
          <w:color w:val="000000" w:themeColor="text1"/>
          <w:shd w:val="clear" w:color="auto" w:fill="FFFFFF"/>
        </w:rPr>
        <w:t>. Esses crustáceos</w:t>
      </w:r>
      <w:r w:rsidR="00492695">
        <w:rPr>
          <w:rFonts w:cs="Arial"/>
          <w:color w:val="000000" w:themeColor="text1"/>
          <w:shd w:val="clear" w:color="auto" w:fill="FFFFFF"/>
        </w:rPr>
        <w:t xml:space="preserve"> </w:t>
      </w:r>
      <w:r w:rsidRPr="00406B0E">
        <w:rPr>
          <w:rFonts w:cs="Arial"/>
          <w:color w:val="000000" w:themeColor="text1"/>
        </w:rPr>
        <w:t>são utilizados na aquicultura, tanto para consumo humano quanto na forma de alimento para outras criações, e também são explorados na pesca artesanal, para consumo da população local, venda ou uso como iscas para a pesca esportiva (</w:t>
      </w:r>
      <w:proofErr w:type="gramStart"/>
      <w:r w:rsidRPr="00406B0E">
        <w:rPr>
          <w:rFonts w:cs="Arial"/>
        </w:rPr>
        <w:t>ZEINEDDINE</w:t>
      </w:r>
      <w:r w:rsidR="008A557A" w:rsidRPr="008A557A">
        <w:rPr>
          <w:rFonts w:cs="Arial"/>
          <w:i/>
          <w:iCs/>
        </w:rPr>
        <w:t>et</w:t>
      </w:r>
      <w:proofErr w:type="gramEnd"/>
      <w:r w:rsidR="008A557A" w:rsidRPr="008A557A">
        <w:rPr>
          <w:rFonts w:cs="Arial"/>
          <w:i/>
          <w:iCs/>
        </w:rPr>
        <w:t xml:space="preserve"> al</w:t>
      </w:r>
      <w:r w:rsidR="008A557A">
        <w:rPr>
          <w:rFonts w:cs="Arial"/>
        </w:rPr>
        <w:t>.</w:t>
      </w:r>
      <w:r w:rsidRPr="00406B0E">
        <w:rPr>
          <w:rFonts w:cs="Arial"/>
        </w:rPr>
        <w:t>, 201</w:t>
      </w:r>
      <w:r w:rsidR="00272FEB">
        <w:rPr>
          <w:rFonts w:cs="Arial"/>
        </w:rPr>
        <w:t>5</w:t>
      </w:r>
      <w:r w:rsidRPr="00406B0E">
        <w:rPr>
          <w:rFonts w:cs="Arial"/>
          <w:shd w:val="clear" w:color="auto" w:fill="FFFFFF"/>
        </w:rPr>
        <w:t>).</w:t>
      </w:r>
    </w:p>
    <w:p w:rsidR="003B19F3" w:rsidRDefault="003B19F3" w:rsidP="003B19F3">
      <w:pPr>
        <w:pStyle w:val="Corpodetexto"/>
        <w:ind w:right="116" w:firstLine="568"/>
      </w:pPr>
      <w:r w:rsidRPr="00406B0E">
        <w:rPr>
          <w:rFonts w:cs="Arial"/>
          <w:color w:val="000000" w:themeColor="text1"/>
        </w:rPr>
        <w:t>Tendo o conhecimento de que a pesca de camarões em Petrolândia é muito comum para a venda e o consumo, o objetivo deste trabalho foi identificar a espécie que ocorre na área, sua distribuição espacial e mensal, por sexo, e presença de fêmeas ovígeras.</w:t>
      </w:r>
    </w:p>
    <w:p w:rsidR="003006EC" w:rsidRPr="00211B0F" w:rsidRDefault="003006EC">
      <w:pPr>
        <w:pStyle w:val="Corpodetexto"/>
        <w:spacing w:line="274" w:lineRule="exact"/>
        <w:ind w:left="3079"/>
        <w:rPr>
          <w:sz w:val="16"/>
        </w:rPr>
      </w:pPr>
    </w:p>
    <w:p w:rsidR="003006EC" w:rsidRDefault="0086496E">
      <w:pPr>
        <w:pStyle w:val="Ttulo11"/>
      </w:pPr>
      <w:r>
        <w:t>MATERIAL</w:t>
      </w:r>
      <w:r w:rsidR="00492695">
        <w:t xml:space="preserve"> </w:t>
      </w:r>
      <w:r>
        <w:t>E</w:t>
      </w:r>
      <w:r w:rsidR="00492695">
        <w:t xml:space="preserve"> </w:t>
      </w:r>
      <w:r>
        <w:t>MÉTODOS</w:t>
      </w:r>
    </w:p>
    <w:p w:rsidR="003B19F3" w:rsidRDefault="003B19F3">
      <w:pPr>
        <w:pStyle w:val="Corpodetexto"/>
        <w:ind w:right="116" w:firstLine="571"/>
        <w:rPr>
          <w:rFonts w:cs="Arial"/>
        </w:rPr>
      </w:pPr>
      <w:r w:rsidRPr="002E03CF">
        <w:rPr>
          <w:rFonts w:cs="Arial"/>
        </w:rPr>
        <w:t xml:space="preserve">Os camarões estudados foram coletados na região costeira da cidade de </w:t>
      </w:r>
      <w:proofErr w:type="gramStart"/>
      <w:r w:rsidRPr="002E03CF">
        <w:rPr>
          <w:rFonts w:cs="Arial"/>
        </w:rPr>
        <w:lastRenderedPageBreak/>
        <w:t>Petrolândia-PE</w:t>
      </w:r>
      <w:proofErr w:type="gramEnd"/>
      <w:r w:rsidRPr="002E03CF">
        <w:rPr>
          <w:rFonts w:cs="Arial"/>
        </w:rPr>
        <w:t>, às margens da BR 316 (8°59'27"S 38°12'57"W), em 10 pontos de coleta, escolhidos de acordo com suas características, nos meses de abril, maio e junho de 2019.</w:t>
      </w:r>
    </w:p>
    <w:p w:rsidR="003B19F3" w:rsidRDefault="003B19F3">
      <w:pPr>
        <w:pStyle w:val="Corpodetexto"/>
        <w:ind w:right="116" w:firstLine="571"/>
        <w:rPr>
          <w:rFonts w:cs="Arial"/>
        </w:rPr>
      </w:pPr>
      <w:r w:rsidRPr="00406B0E">
        <w:rPr>
          <w:rFonts w:cs="Arial"/>
        </w:rPr>
        <w:t>As capturas foram efetuadas com um jereré, arte de pesca utilizada pelos pescadores na cidade, realizando dez minutos de arrastos em cada ponto em uma profundidade média de um metro.</w:t>
      </w:r>
    </w:p>
    <w:p w:rsidR="003B19F3" w:rsidRDefault="003B19F3">
      <w:pPr>
        <w:pStyle w:val="Corpodetexto"/>
        <w:ind w:right="116" w:firstLine="571"/>
        <w:rPr>
          <w:rFonts w:cs="Arial"/>
        </w:rPr>
      </w:pPr>
      <w:r w:rsidRPr="00406B0E">
        <w:rPr>
          <w:rFonts w:cs="Arial"/>
        </w:rPr>
        <w:t>Os camarões foram analisados no Laboratório de Bentos da Universidade Federal Rural de Pernambuco, Unidade Acadêmica de Serra Talhada (UFRPE/UAST – LABENTOS) onde se encontram depositados na Coleção Carcinológica.</w:t>
      </w:r>
    </w:p>
    <w:p w:rsidR="003B19F3" w:rsidRDefault="003B19F3">
      <w:pPr>
        <w:pStyle w:val="Corpodetexto"/>
        <w:ind w:right="116" w:firstLine="571"/>
        <w:rPr>
          <w:rFonts w:cs="Arial"/>
          <w:color w:val="000000" w:themeColor="text1"/>
        </w:rPr>
      </w:pPr>
      <w:r w:rsidRPr="00406B0E">
        <w:rPr>
          <w:rFonts w:cs="Arial"/>
          <w:color w:val="000000" w:themeColor="text1"/>
        </w:rPr>
        <w:t>A identificação das espécies foi feita sob estereomicroscópio binocular com o auxílio de literatura pertinente (</w:t>
      </w:r>
      <w:proofErr w:type="gramStart"/>
      <w:r w:rsidRPr="00406B0E">
        <w:rPr>
          <w:rFonts w:cs="Arial"/>
          <w:color w:val="000000" w:themeColor="text1"/>
        </w:rPr>
        <w:t>MELO,</w:t>
      </w:r>
      <w:proofErr w:type="gramEnd"/>
      <w:r w:rsidRPr="00406B0E">
        <w:rPr>
          <w:rFonts w:cs="Arial"/>
          <w:color w:val="000000" w:themeColor="text1"/>
        </w:rPr>
        <w:t xml:space="preserve"> 2003). A sexagem foi realizada nos indivíduos acima de 25 mm verificando a presença ou não do apêndice masculino no 2º par de pleópodo</w:t>
      </w:r>
      <w:r>
        <w:rPr>
          <w:rFonts w:cs="Arial"/>
          <w:color w:val="000000" w:themeColor="text1"/>
        </w:rPr>
        <w:t>.</w:t>
      </w:r>
    </w:p>
    <w:p w:rsidR="003006EC" w:rsidRPr="00211B0F" w:rsidRDefault="003006EC">
      <w:pPr>
        <w:pStyle w:val="Corpodetexto"/>
        <w:ind w:left="3064" w:right="3065"/>
        <w:jc w:val="center"/>
        <w:rPr>
          <w:sz w:val="16"/>
        </w:rPr>
      </w:pPr>
    </w:p>
    <w:p w:rsidR="003006EC" w:rsidRDefault="0086496E">
      <w:pPr>
        <w:pStyle w:val="Ttulo11"/>
        <w:spacing w:before="1"/>
      </w:pPr>
      <w:r>
        <w:t>RESULTADOS</w:t>
      </w:r>
      <w:r w:rsidR="00492695">
        <w:t xml:space="preserve"> </w:t>
      </w:r>
      <w:r>
        <w:t>E</w:t>
      </w:r>
      <w:r w:rsidR="00492695">
        <w:t xml:space="preserve"> </w:t>
      </w:r>
      <w:r>
        <w:t>DISCUSSÃO</w:t>
      </w:r>
    </w:p>
    <w:p w:rsidR="003B19F3" w:rsidRDefault="003B19F3">
      <w:pPr>
        <w:pStyle w:val="Corpodetexto"/>
        <w:ind w:right="114" w:firstLine="568"/>
        <w:rPr>
          <w:rFonts w:cs="Arial"/>
        </w:rPr>
      </w:pPr>
      <w:r w:rsidRPr="00C84A3C">
        <w:rPr>
          <w:rFonts w:cs="Arial"/>
        </w:rPr>
        <w:t xml:space="preserve">Foram coletados 563 camarões </w:t>
      </w:r>
      <w:r w:rsidRPr="00C84A3C">
        <w:rPr>
          <w:rFonts w:cs="Arial"/>
          <w:i/>
        </w:rPr>
        <w:t xml:space="preserve">M. jelskii </w:t>
      </w:r>
      <w:r w:rsidRPr="00C84A3C">
        <w:rPr>
          <w:rFonts w:cs="Arial"/>
          <w:iCs/>
        </w:rPr>
        <w:t>(Miers, 1877),</w:t>
      </w:r>
      <w:r w:rsidR="0052473A">
        <w:rPr>
          <w:rFonts w:cs="Arial"/>
          <w:iCs/>
        </w:rPr>
        <w:t xml:space="preserve"> em</w:t>
      </w:r>
      <w:r w:rsidR="00492695">
        <w:rPr>
          <w:rFonts w:cs="Arial"/>
          <w:iCs/>
        </w:rPr>
        <w:t xml:space="preserve"> </w:t>
      </w:r>
      <w:r w:rsidR="0052473A">
        <w:rPr>
          <w:rFonts w:cs="Arial"/>
          <w:iCs/>
        </w:rPr>
        <w:t xml:space="preserve">toda área estudada </w:t>
      </w:r>
      <w:r w:rsidRPr="00C84A3C">
        <w:rPr>
          <w:rFonts w:cs="Arial"/>
          <w:iCs/>
        </w:rPr>
        <w:t>(Figura 1). Estes</w:t>
      </w:r>
      <w:r w:rsidR="00E84033">
        <w:rPr>
          <w:rFonts w:cs="Arial"/>
          <w:iCs/>
        </w:rPr>
        <w:t xml:space="preserve"> camarões apresentam</w:t>
      </w:r>
      <w:r w:rsidRPr="00C84A3C">
        <w:rPr>
          <w:rFonts w:cs="Arial"/>
          <w:iCs/>
        </w:rPr>
        <w:t xml:space="preserve"> no seu telson a margem posterior termina</w:t>
      </w:r>
      <w:r w:rsidR="009345AF">
        <w:rPr>
          <w:rFonts w:cs="Arial"/>
          <w:iCs/>
        </w:rPr>
        <w:t>ndo</w:t>
      </w:r>
      <w:r w:rsidRPr="00C84A3C">
        <w:rPr>
          <w:rFonts w:cs="Arial"/>
          <w:iCs/>
        </w:rPr>
        <w:t xml:space="preserve"> em dente agudo mediano, e ao seu lado tem um longo espinho interno e outro curto externo, onde esses espinhos internos ultrapassam a margem posterior do telson; no rostro apresenta uma extremidade curvada para cima, tendo na margem superior 5 a 8 dentes e margem inferior 5 a 6 dentes.</w:t>
      </w:r>
      <w:r w:rsidR="00492695">
        <w:rPr>
          <w:rFonts w:cs="Arial"/>
          <w:iCs/>
        </w:rPr>
        <w:t xml:space="preserve"> </w:t>
      </w:r>
      <w:r>
        <w:rPr>
          <w:rFonts w:cs="Arial"/>
          <w:iCs/>
        </w:rPr>
        <w:t xml:space="preserve">O que corrobora com </w:t>
      </w:r>
      <w:r w:rsidRPr="008E67B5">
        <w:rPr>
          <w:rFonts w:cs="Arial"/>
          <w:iCs/>
        </w:rPr>
        <w:t>Latini</w:t>
      </w:r>
      <w:r w:rsidR="00492695">
        <w:rPr>
          <w:rFonts w:cs="Arial"/>
          <w:iCs/>
        </w:rPr>
        <w:t xml:space="preserve"> </w:t>
      </w:r>
      <w:proofErr w:type="gramStart"/>
      <w:r w:rsidR="006F5C6E" w:rsidRPr="006F5C6E">
        <w:rPr>
          <w:rFonts w:cs="Arial"/>
          <w:i/>
        </w:rPr>
        <w:t>et</w:t>
      </w:r>
      <w:proofErr w:type="gramEnd"/>
      <w:r w:rsidR="006F5C6E" w:rsidRPr="006F5C6E">
        <w:rPr>
          <w:rFonts w:cs="Arial"/>
          <w:i/>
        </w:rPr>
        <w:t xml:space="preserve"> al</w:t>
      </w:r>
      <w:r w:rsidR="006F5C6E">
        <w:rPr>
          <w:rFonts w:cs="Arial"/>
          <w:iCs/>
        </w:rPr>
        <w:t xml:space="preserve">. </w:t>
      </w:r>
      <w:r w:rsidRPr="008E67B5">
        <w:rPr>
          <w:rFonts w:cs="Arial"/>
        </w:rPr>
        <w:t xml:space="preserve">(2016), </w:t>
      </w:r>
      <w:r>
        <w:rPr>
          <w:rFonts w:cs="Arial"/>
        </w:rPr>
        <w:t>que afirmaram que</w:t>
      </w:r>
      <w:r w:rsidRPr="008E67B5">
        <w:rPr>
          <w:rFonts w:cs="Arial"/>
        </w:rPr>
        <w:t xml:space="preserve"> e</w:t>
      </w:r>
      <w:r w:rsidRPr="008E67B5">
        <w:rPr>
          <w:rFonts w:cs="Arial"/>
          <w:iCs/>
        </w:rPr>
        <w:t xml:space="preserve">ssa espécie apresenta no </w:t>
      </w:r>
      <w:r w:rsidRPr="008E67B5">
        <w:rPr>
          <w:rFonts w:cs="Arial"/>
        </w:rPr>
        <w:t>telson uma margem posterior distinta, com uma clara descontinuidade entre as margens laterais e o ponto mediano. O par interno de espinhos da margem posterior, nos adultos,</w:t>
      </w:r>
      <w:r w:rsidRPr="00406B0E">
        <w:rPr>
          <w:rFonts w:cs="Arial"/>
        </w:rPr>
        <w:t xml:space="preserve"> é sempre mais longo que o ponto mediano. A extremidade do rostro apresenta uma curvatura pa</w:t>
      </w:r>
      <w:r>
        <w:rPr>
          <w:rFonts w:cs="Arial"/>
        </w:rPr>
        <w:t>ra cima, mas é usualmente reta.</w:t>
      </w:r>
    </w:p>
    <w:p w:rsidR="00E84033" w:rsidRPr="00C533B0" w:rsidRDefault="00E84033">
      <w:pPr>
        <w:pStyle w:val="Corpodetexto"/>
        <w:ind w:right="114" w:firstLine="568"/>
        <w:rPr>
          <w:rFonts w:cs="Arial"/>
          <w:sz w:val="20"/>
        </w:rPr>
      </w:pPr>
    </w:p>
    <w:p w:rsidR="00E84033" w:rsidRDefault="00E84033" w:rsidP="00E84033">
      <w:pPr>
        <w:pStyle w:val="Corpodetexto"/>
        <w:ind w:left="271"/>
        <w:jc w:val="center"/>
        <w:rPr>
          <w:sz w:val="20"/>
        </w:rPr>
      </w:pPr>
      <w:r w:rsidRPr="00A71484">
        <w:rPr>
          <w:noProof/>
          <w:sz w:val="20"/>
          <w:lang w:val="pt-BR" w:eastAsia="pt-BR"/>
        </w:rPr>
        <w:drawing>
          <wp:inline distT="0" distB="0" distL="0" distR="0">
            <wp:extent cx="3740092" cy="2494274"/>
            <wp:effectExtent l="19050" t="0" r="0" b="0"/>
            <wp:docPr id="2" name="Imagem 2" descr="pon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to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544" cy="248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033" w:rsidRDefault="00E84033" w:rsidP="00E84033">
      <w:pPr>
        <w:ind w:left="122" w:right="-39" w:firstLine="19"/>
        <w:jc w:val="both"/>
      </w:pPr>
      <w:proofErr w:type="gramStart"/>
      <w:r>
        <w:rPr>
          <w:rFonts w:ascii="Arial" w:hAnsi="Arial"/>
          <w:b/>
        </w:rPr>
        <w:t>Figura1.</w:t>
      </w:r>
      <w:proofErr w:type="gramEnd"/>
      <w:r w:rsidRPr="00406B0E">
        <w:rPr>
          <w:rFonts w:cs="Arial"/>
        </w:rPr>
        <w:t>Localização dos pontos de coleta na região costeira da BR 316, no município de Petrolândia, Estado do Pernambuco, Brasil</w:t>
      </w:r>
      <w:r>
        <w:rPr>
          <w:rFonts w:cs="Arial"/>
        </w:rPr>
        <w:t>.</w:t>
      </w:r>
      <w:r>
        <w:t xml:space="preserve"> Fonte: </w:t>
      </w:r>
      <w:r w:rsidRPr="00A31EDC">
        <w:rPr>
          <w:rFonts w:ascii="Arial" w:hAnsi="Arial" w:cs="Arial"/>
          <w:bCs/>
          <w:shd w:val="clear" w:color="auto" w:fill="FFFFFF"/>
        </w:rPr>
        <w:t>Google Earth</w:t>
      </w:r>
      <w:r w:rsidR="00DB54F0">
        <w:rPr>
          <w:rFonts w:ascii="Arial" w:hAnsi="Arial" w:cs="Arial"/>
          <w:bCs/>
          <w:shd w:val="clear" w:color="auto" w:fill="FFFFFF"/>
        </w:rPr>
        <w:t xml:space="preserve"> (</w:t>
      </w:r>
      <w:r>
        <w:rPr>
          <w:rFonts w:ascii="Arial" w:hAnsi="Arial" w:cs="Arial"/>
          <w:bCs/>
          <w:shd w:val="clear" w:color="auto" w:fill="FFFFFF"/>
        </w:rPr>
        <w:t>2019</w:t>
      </w:r>
      <w:r w:rsidR="00DB54F0">
        <w:rPr>
          <w:rFonts w:ascii="Arial" w:hAnsi="Arial" w:cs="Arial"/>
          <w:bCs/>
          <w:shd w:val="clear" w:color="auto" w:fill="FFFFFF"/>
        </w:rPr>
        <w:t>)</w:t>
      </w:r>
      <w:r>
        <w:rPr>
          <w:rFonts w:ascii="Arial" w:hAnsi="Arial" w:cs="Arial"/>
          <w:bCs/>
          <w:shd w:val="clear" w:color="auto" w:fill="FFFFFF"/>
        </w:rPr>
        <w:t>.</w:t>
      </w:r>
    </w:p>
    <w:p w:rsidR="00E84033" w:rsidRPr="00211B0F" w:rsidRDefault="00E84033">
      <w:pPr>
        <w:pStyle w:val="Corpodetexto"/>
        <w:ind w:right="114" w:firstLine="568"/>
        <w:rPr>
          <w:rFonts w:cs="Arial"/>
          <w:sz w:val="16"/>
        </w:rPr>
      </w:pPr>
    </w:p>
    <w:p w:rsidR="003B19F3" w:rsidRDefault="003B19F3" w:rsidP="003010E1">
      <w:pPr>
        <w:pStyle w:val="Corpodetexto"/>
        <w:ind w:right="114" w:firstLine="568"/>
        <w:rPr>
          <w:rFonts w:cs="Arial"/>
          <w:iCs/>
        </w:rPr>
      </w:pPr>
      <w:r w:rsidRPr="00E84033">
        <w:rPr>
          <w:rFonts w:cs="Arial"/>
          <w:i/>
          <w:iCs/>
        </w:rPr>
        <w:t>M. jelskii</w:t>
      </w:r>
      <w:r w:rsidRPr="003010E1">
        <w:rPr>
          <w:rFonts w:cs="Arial"/>
          <w:iCs/>
        </w:rPr>
        <w:t xml:space="preserve"> possui </w:t>
      </w:r>
      <w:r w:rsidRPr="003010E1">
        <w:rPr>
          <w:rFonts w:cs="Arial"/>
        </w:rPr>
        <w:t>ampla distribuição pela região tropical e subtropical da América</w:t>
      </w:r>
      <w:r w:rsidRPr="003B77CB">
        <w:rPr>
          <w:rFonts w:cs="Arial"/>
          <w:color w:val="0F0F0F"/>
        </w:rPr>
        <w:t xml:space="preserve"> do Sul </w:t>
      </w:r>
      <w:r w:rsidRPr="003B77CB">
        <w:rPr>
          <w:rFonts w:cs="Arial"/>
          <w:color w:val="000000" w:themeColor="text1"/>
        </w:rPr>
        <w:t>(MELO, 2003</w:t>
      </w:r>
      <w:r w:rsidRPr="003B77CB">
        <w:rPr>
          <w:rFonts w:cs="Arial"/>
          <w:color w:val="0F0F0F"/>
        </w:rPr>
        <w:t>)</w:t>
      </w:r>
      <w:r w:rsidRPr="003B77CB">
        <w:rPr>
          <w:rFonts w:cs="Arial"/>
          <w:iCs/>
        </w:rPr>
        <w:t>, podendo ser encontrado ao lo</w:t>
      </w:r>
      <w:r w:rsidR="00E84033">
        <w:rPr>
          <w:rFonts w:cs="Arial"/>
          <w:iCs/>
        </w:rPr>
        <w:t>ngo do Rio do São Francisco,</w:t>
      </w:r>
      <w:r w:rsidRPr="003B77CB">
        <w:rPr>
          <w:rFonts w:cs="Arial"/>
          <w:iCs/>
        </w:rPr>
        <w:t xml:space="preserve"> como afirmado por Barros (2004) no </w:t>
      </w:r>
      <w:r w:rsidRPr="003B77CB">
        <w:rPr>
          <w:rFonts w:cs="Arial" w:hint="eastAsia"/>
          <w:iCs/>
        </w:rPr>
        <w:t>reservatório</w:t>
      </w:r>
      <w:r w:rsidRPr="003B77CB">
        <w:rPr>
          <w:rFonts w:cs="Arial"/>
          <w:iCs/>
        </w:rPr>
        <w:t xml:space="preserve"> de Itaparica; e por Soares</w:t>
      </w:r>
      <w:r w:rsidR="00492695">
        <w:rPr>
          <w:rFonts w:cs="Arial"/>
          <w:iCs/>
        </w:rPr>
        <w:t xml:space="preserve"> </w:t>
      </w:r>
      <w:r w:rsidRPr="003B77CB">
        <w:rPr>
          <w:rFonts w:cs="Arial"/>
          <w:iCs/>
        </w:rPr>
        <w:t>(20</w:t>
      </w:r>
      <w:r w:rsidR="00F57A8C">
        <w:rPr>
          <w:rFonts w:cs="Arial"/>
          <w:iCs/>
        </w:rPr>
        <w:t>08</w:t>
      </w:r>
      <w:r w:rsidRPr="003B77CB">
        <w:rPr>
          <w:rFonts w:cs="Arial"/>
          <w:iCs/>
        </w:rPr>
        <w:t xml:space="preserve">) na </w:t>
      </w:r>
      <w:r w:rsidR="00F57A8C">
        <w:rPr>
          <w:rFonts w:cs="Arial"/>
          <w:iCs/>
        </w:rPr>
        <w:t xml:space="preserve">represa de </w:t>
      </w:r>
      <w:r w:rsidR="003010E1">
        <w:rPr>
          <w:rFonts w:cs="Arial"/>
          <w:iCs/>
        </w:rPr>
        <w:t xml:space="preserve">Três Marias e na </w:t>
      </w:r>
      <w:r w:rsidR="003010E1" w:rsidRPr="003B77CB">
        <w:rPr>
          <w:rFonts w:cs="Arial"/>
          <w:iCs/>
        </w:rPr>
        <w:t>passagem</w:t>
      </w:r>
      <w:r w:rsidRPr="003B77CB">
        <w:rPr>
          <w:rFonts w:cs="Arial"/>
          <w:iCs/>
        </w:rPr>
        <w:t xml:space="preserve"> do Rio São Francisco no município de Três </w:t>
      </w:r>
      <w:proofErr w:type="gramStart"/>
      <w:r w:rsidRPr="003B77CB">
        <w:rPr>
          <w:rFonts w:cs="Arial"/>
          <w:iCs/>
        </w:rPr>
        <w:t>Marias-MG</w:t>
      </w:r>
      <w:proofErr w:type="gramEnd"/>
      <w:r w:rsidRPr="003B77CB">
        <w:rPr>
          <w:rFonts w:cs="Arial"/>
          <w:iCs/>
        </w:rPr>
        <w:t>.</w:t>
      </w:r>
    </w:p>
    <w:p w:rsidR="003B19F3" w:rsidRDefault="003B19F3">
      <w:pPr>
        <w:pStyle w:val="Corpodetexto"/>
        <w:ind w:right="114" w:firstLine="568"/>
        <w:rPr>
          <w:rFonts w:cs="Arial"/>
        </w:rPr>
      </w:pPr>
      <w:r w:rsidRPr="00406B0E">
        <w:rPr>
          <w:rFonts w:cs="Arial"/>
        </w:rPr>
        <w:t xml:space="preserve">As maiores abundâncias foram registradas nos pontos 1, 3, 4 e 6 (Tabela </w:t>
      </w:r>
      <w:r w:rsidRPr="00406B0E">
        <w:rPr>
          <w:rFonts w:cs="Arial"/>
        </w:rPr>
        <w:lastRenderedPageBreak/>
        <w:t xml:space="preserve">1), e isso </w:t>
      </w:r>
      <w:r w:rsidRPr="00406B0E">
        <w:rPr>
          <w:rFonts w:cs="Arial"/>
          <w:color w:val="000000" w:themeColor="text1"/>
        </w:rPr>
        <w:t xml:space="preserve">compreensível visto que essa espécie </w:t>
      </w:r>
      <w:r w:rsidRPr="00406B0E">
        <w:rPr>
          <w:rFonts w:cs="Arial"/>
        </w:rPr>
        <w:t>prefere águas mais escuras, com vegetação marginal e substrato lodoso ou águas transparentes, com gramíneas e substrato de pedras e areia (MELO, 2003), características essas presentes nos pontos amostrados</w:t>
      </w:r>
      <w:r>
        <w:rPr>
          <w:rFonts w:cs="Arial"/>
        </w:rPr>
        <w:t>.</w:t>
      </w:r>
    </w:p>
    <w:p w:rsidR="00E84033" w:rsidRPr="008433E6" w:rsidRDefault="00E84033">
      <w:pPr>
        <w:pStyle w:val="Corpodetexto"/>
        <w:ind w:right="114" w:firstLine="568"/>
        <w:rPr>
          <w:rFonts w:cs="Arial"/>
          <w:sz w:val="16"/>
        </w:rPr>
      </w:pPr>
    </w:p>
    <w:p w:rsidR="00E84033" w:rsidRDefault="00E84033" w:rsidP="00E84033">
      <w:pPr>
        <w:spacing w:before="1"/>
        <w:ind w:left="122" w:hanging="17"/>
        <w:jc w:val="both"/>
      </w:pPr>
      <w:proofErr w:type="gramStart"/>
      <w:r>
        <w:rPr>
          <w:rFonts w:ascii="Arial" w:hAnsi="Arial"/>
          <w:b/>
        </w:rPr>
        <w:t>Tabela1.</w:t>
      </w:r>
      <w:proofErr w:type="gramEnd"/>
      <w:r w:rsidRPr="00406B0E">
        <w:rPr>
          <w:rFonts w:cs="Arial"/>
        </w:rPr>
        <w:t xml:space="preserve">Abundância mensal de </w:t>
      </w:r>
      <w:r w:rsidRPr="00406B0E">
        <w:rPr>
          <w:rFonts w:cs="Arial"/>
          <w:i/>
          <w:iCs/>
        </w:rPr>
        <w:t>Macrobrachium jelskii</w:t>
      </w:r>
      <w:r w:rsidRPr="00406B0E">
        <w:rPr>
          <w:rFonts w:cs="Arial"/>
        </w:rPr>
        <w:t xml:space="preserve"> no Lago da Barragem de Itaparica, Petrolândia</w:t>
      </w:r>
      <w:r>
        <w:rPr>
          <w:rFonts w:cs="Arial"/>
        </w:rPr>
        <w:t>-PE.</w:t>
      </w:r>
    </w:p>
    <w:p w:rsidR="00E84033" w:rsidRPr="00C533B0" w:rsidRDefault="00E84033" w:rsidP="00E84033">
      <w:pPr>
        <w:pStyle w:val="Corpodetexto"/>
        <w:tabs>
          <w:tab w:val="center" w:pos="4436"/>
        </w:tabs>
        <w:rPr>
          <w:sz w:val="20"/>
        </w:rPr>
      </w:pPr>
    </w:p>
    <w:tbl>
      <w:tblPr>
        <w:tblStyle w:val="Tabelacomgrade"/>
        <w:tblW w:w="8505" w:type="dxa"/>
        <w:tblInd w:w="25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2154"/>
        <w:gridCol w:w="2154"/>
        <w:gridCol w:w="2293"/>
      </w:tblGrid>
      <w:tr w:rsidR="00E84033" w:rsidRPr="00406B0E" w:rsidTr="002A3B84">
        <w:trPr>
          <w:trHeight w:val="170"/>
        </w:trPr>
        <w:tc>
          <w:tcPr>
            <w:tcW w:w="19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84033" w:rsidRPr="00CA6E7A" w:rsidRDefault="00E84033" w:rsidP="00827F82">
            <w:pPr>
              <w:pStyle w:val="TableParagraph"/>
              <w:rPr>
                <w:b/>
              </w:rPr>
            </w:pPr>
            <w:r w:rsidRPr="00CA6E7A">
              <w:rPr>
                <w:b/>
              </w:rPr>
              <w:t>Ponto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84033" w:rsidRPr="00CA6E7A" w:rsidRDefault="00073BC8" w:rsidP="00827F82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a</w:t>
            </w:r>
            <w:r w:rsidR="00E84033" w:rsidRPr="00CA6E7A">
              <w:rPr>
                <w:b/>
              </w:rPr>
              <w:t>bril</w:t>
            </w:r>
            <w:proofErr w:type="gramEnd"/>
            <w:r>
              <w:rPr>
                <w:b/>
              </w:rPr>
              <w:t>/</w:t>
            </w:r>
            <w:r w:rsidR="00E84033">
              <w:rPr>
                <w:b/>
              </w:rP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84033" w:rsidRPr="00CA6E7A" w:rsidRDefault="00073BC8" w:rsidP="00827F82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m</w:t>
            </w:r>
            <w:r w:rsidR="00E84033" w:rsidRPr="00CA6E7A">
              <w:rPr>
                <w:b/>
              </w:rPr>
              <w:t>aio</w:t>
            </w:r>
            <w:proofErr w:type="gramEnd"/>
            <w:r>
              <w:rPr>
                <w:b/>
              </w:rPr>
              <w:t>/</w:t>
            </w:r>
            <w:r w:rsidR="00E84033">
              <w:rPr>
                <w:b/>
              </w:rPr>
              <w:t>2019</w:t>
            </w:r>
          </w:p>
        </w:tc>
        <w:tc>
          <w:tcPr>
            <w:tcW w:w="22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84033" w:rsidRPr="00CA6E7A" w:rsidRDefault="00073BC8" w:rsidP="00827F82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j</w:t>
            </w:r>
            <w:r w:rsidR="00E84033" w:rsidRPr="00CA6E7A">
              <w:rPr>
                <w:b/>
              </w:rPr>
              <w:t>unho</w:t>
            </w:r>
            <w:proofErr w:type="gramEnd"/>
            <w:r>
              <w:rPr>
                <w:b/>
              </w:rPr>
              <w:t>/</w:t>
            </w:r>
            <w:r w:rsidR="00E84033">
              <w:rPr>
                <w:b/>
              </w:rPr>
              <w:t>2019</w:t>
            </w:r>
          </w:p>
        </w:tc>
      </w:tr>
      <w:tr w:rsidR="00EA2CA0" w:rsidRPr="00EA2CA0" w:rsidTr="002A3B84">
        <w:trPr>
          <w:trHeight w:val="170"/>
        </w:trPr>
        <w:tc>
          <w:tcPr>
            <w:tcW w:w="19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2CA0" w:rsidRPr="00EA2CA0" w:rsidRDefault="00EA2CA0" w:rsidP="00827F82">
            <w:pPr>
              <w:pStyle w:val="TableParagraph"/>
              <w:rPr>
                <w:b/>
                <w:bCs/>
              </w:rPr>
            </w:pP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2CA0" w:rsidRPr="00EA2CA0" w:rsidRDefault="00EA2CA0" w:rsidP="00827F82">
            <w:pPr>
              <w:pStyle w:val="TableParagraph"/>
              <w:rPr>
                <w:b/>
                <w:bCs/>
                <w:color w:val="000000"/>
              </w:rPr>
            </w:pPr>
            <w:r w:rsidRPr="00EA2CA0">
              <w:rPr>
                <w:b/>
                <w:bCs/>
                <w:color w:val="000000"/>
              </w:rPr>
              <w:t>N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2CA0" w:rsidRPr="00EA2CA0" w:rsidRDefault="00EA2CA0" w:rsidP="00827F82">
            <w:pPr>
              <w:pStyle w:val="TableParagraph"/>
              <w:rPr>
                <w:b/>
                <w:bCs/>
                <w:color w:val="000000"/>
              </w:rPr>
            </w:pPr>
            <w:r w:rsidRPr="00EA2CA0">
              <w:rPr>
                <w:b/>
                <w:bCs/>
                <w:color w:val="000000"/>
              </w:rPr>
              <w:t>N</w:t>
            </w:r>
          </w:p>
        </w:tc>
        <w:tc>
          <w:tcPr>
            <w:tcW w:w="22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A2CA0" w:rsidRPr="00EA2CA0" w:rsidRDefault="00EA2CA0" w:rsidP="00827F82">
            <w:pPr>
              <w:pStyle w:val="TableParagraph"/>
              <w:rPr>
                <w:b/>
                <w:bCs/>
                <w:color w:val="000000"/>
              </w:rPr>
            </w:pPr>
            <w:r w:rsidRPr="00EA2CA0">
              <w:rPr>
                <w:b/>
                <w:bCs/>
                <w:color w:val="000000"/>
              </w:rPr>
              <w:t>N</w:t>
            </w:r>
          </w:p>
        </w:tc>
      </w:tr>
      <w:tr w:rsidR="00E84033" w:rsidRPr="00406B0E" w:rsidTr="002A3B84">
        <w:trPr>
          <w:trHeight w:val="170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CA6E7A" w:rsidRDefault="00E84033" w:rsidP="00827F82">
            <w:pPr>
              <w:pStyle w:val="TableParagraph"/>
              <w:rPr>
                <w:b/>
              </w:rPr>
            </w:pPr>
            <w:r w:rsidRPr="00CA6E7A">
              <w:rPr>
                <w:b/>
              </w:rPr>
              <w:t>01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r w:rsidRPr="00406B0E">
              <w:rPr>
                <w:color w:val="000000"/>
              </w:rPr>
              <w:t>18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r w:rsidRPr="00406B0E">
              <w:rPr>
                <w:color w:val="000000"/>
              </w:rPr>
              <w:t>176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r w:rsidRPr="00406B0E">
              <w:rPr>
                <w:color w:val="000000"/>
              </w:rPr>
              <w:t>22</w:t>
            </w:r>
          </w:p>
        </w:tc>
      </w:tr>
      <w:tr w:rsidR="00E84033" w:rsidRPr="00406B0E" w:rsidTr="002A3B84">
        <w:trPr>
          <w:trHeight w:val="170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CA6E7A" w:rsidRDefault="00E84033" w:rsidP="00827F82">
            <w:pPr>
              <w:pStyle w:val="TableParagraph"/>
              <w:rPr>
                <w:b/>
              </w:rPr>
            </w:pPr>
            <w:r w:rsidRPr="00CA6E7A">
              <w:rPr>
                <w:b/>
              </w:rPr>
              <w:t>02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proofErr w:type="gramStart"/>
            <w:r w:rsidRPr="00406B0E">
              <w:rPr>
                <w:color w:val="000000"/>
              </w:rPr>
              <w:t>3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proofErr w:type="gramStart"/>
            <w:r w:rsidRPr="00406B0E">
              <w:rPr>
                <w:color w:val="000000"/>
              </w:rPr>
              <w:t>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proofErr w:type="gramStart"/>
            <w:r w:rsidRPr="00406B0E">
              <w:rPr>
                <w:color w:val="000000"/>
              </w:rPr>
              <w:t>0</w:t>
            </w:r>
            <w:proofErr w:type="gramEnd"/>
          </w:p>
        </w:tc>
      </w:tr>
      <w:tr w:rsidR="00E84033" w:rsidRPr="00406B0E" w:rsidTr="002A3B84">
        <w:trPr>
          <w:trHeight w:val="170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CA6E7A" w:rsidRDefault="00E84033" w:rsidP="00827F82">
            <w:pPr>
              <w:pStyle w:val="TableParagraph"/>
              <w:rPr>
                <w:b/>
              </w:rPr>
            </w:pPr>
            <w:r w:rsidRPr="00CA6E7A">
              <w:rPr>
                <w:b/>
              </w:rPr>
              <w:t>03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r w:rsidRPr="00406B0E">
              <w:rPr>
                <w:color w:val="000000"/>
              </w:rPr>
              <w:t>27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r w:rsidRPr="00406B0E">
              <w:rPr>
                <w:color w:val="000000"/>
              </w:rPr>
              <w:t>18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r w:rsidRPr="00406B0E">
              <w:rPr>
                <w:color w:val="000000"/>
              </w:rPr>
              <w:t>21</w:t>
            </w:r>
          </w:p>
        </w:tc>
      </w:tr>
      <w:tr w:rsidR="00E84033" w:rsidRPr="00406B0E" w:rsidTr="002A3B84">
        <w:trPr>
          <w:trHeight w:val="170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CA6E7A" w:rsidRDefault="00E84033" w:rsidP="00827F82">
            <w:pPr>
              <w:pStyle w:val="TableParagraph"/>
              <w:rPr>
                <w:b/>
              </w:rPr>
            </w:pPr>
            <w:r w:rsidRPr="00CA6E7A">
              <w:rPr>
                <w:b/>
              </w:rPr>
              <w:t>04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r w:rsidRPr="00406B0E">
              <w:rPr>
                <w:color w:val="000000"/>
              </w:rPr>
              <w:t>28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r w:rsidRPr="00406B0E">
              <w:rPr>
                <w:color w:val="000000"/>
              </w:rPr>
              <w:t>84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r w:rsidRPr="00406B0E">
              <w:rPr>
                <w:color w:val="000000"/>
              </w:rPr>
              <w:t>98</w:t>
            </w:r>
          </w:p>
        </w:tc>
      </w:tr>
      <w:tr w:rsidR="00E84033" w:rsidRPr="00406B0E" w:rsidTr="002A3B84">
        <w:trPr>
          <w:trHeight w:val="170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CA6E7A" w:rsidRDefault="00E84033" w:rsidP="00827F82">
            <w:pPr>
              <w:pStyle w:val="TableParagraph"/>
              <w:rPr>
                <w:b/>
              </w:rPr>
            </w:pPr>
            <w:r w:rsidRPr="00CA6E7A">
              <w:rPr>
                <w:b/>
              </w:rPr>
              <w:t>05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proofErr w:type="gramStart"/>
            <w:r w:rsidRPr="00406B0E">
              <w:rPr>
                <w:color w:val="000000"/>
              </w:rPr>
              <w:t>0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proofErr w:type="gramStart"/>
            <w:r w:rsidRPr="00406B0E">
              <w:rPr>
                <w:color w:val="000000"/>
              </w:rPr>
              <w:t>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proofErr w:type="gramStart"/>
            <w:r w:rsidRPr="00406B0E">
              <w:rPr>
                <w:color w:val="000000"/>
              </w:rPr>
              <w:t>0</w:t>
            </w:r>
            <w:proofErr w:type="gramEnd"/>
          </w:p>
        </w:tc>
      </w:tr>
      <w:tr w:rsidR="00E84033" w:rsidRPr="00406B0E" w:rsidTr="002A3B84">
        <w:trPr>
          <w:trHeight w:val="170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CA6E7A" w:rsidRDefault="00E84033" w:rsidP="00827F82">
            <w:pPr>
              <w:pStyle w:val="TableParagraph"/>
              <w:rPr>
                <w:b/>
              </w:rPr>
            </w:pPr>
            <w:r w:rsidRPr="00CA6E7A">
              <w:rPr>
                <w:b/>
              </w:rPr>
              <w:t>06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proofErr w:type="gramStart"/>
            <w:r w:rsidRPr="00406B0E">
              <w:rPr>
                <w:color w:val="000000"/>
              </w:rPr>
              <w:t>9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r w:rsidRPr="00406B0E">
              <w:rPr>
                <w:color w:val="000000"/>
              </w:rPr>
              <w:t>25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r w:rsidRPr="00406B0E">
              <w:rPr>
                <w:color w:val="000000"/>
              </w:rPr>
              <w:t>31</w:t>
            </w:r>
          </w:p>
        </w:tc>
      </w:tr>
      <w:tr w:rsidR="00E84033" w:rsidRPr="00406B0E" w:rsidTr="002A3B84">
        <w:trPr>
          <w:trHeight w:val="170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CA6E7A" w:rsidRDefault="00E84033" w:rsidP="00827F82">
            <w:pPr>
              <w:pStyle w:val="TableParagraph"/>
              <w:rPr>
                <w:b/>
              </w:rPr>
            </w:pPr>
            <w:r w:rsidRPr="00CA6E7A">
              <w:rPr>
                <w:b/>
              </w:rPr>
              <w:t>07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proofErr w:type="gramStart"/>
            <w:r w:rsidRPr="00406B0E">
              <w:rPr>
                <w:color w:val="000000"/>
              </w:rPr>
              <w:t>0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proofErr w:type="gramStart"/>
            <w:r w:rsidRPr="00406B0E">
              <w:rPr>
                <w:color w:val="000000"/>
              </w:rPr>
              <w:t>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proofErr w:type="gramStart"/>
            <w:r w:rsidRPr="00406B0E">
              <w:rPr>
                <w:color w:val="000000"/>
              </w:rPr>
              <w:t>0</w:t>
            </w:r>
            <w:proofErr w:type="gramEnd"/>
          </w:p>
        </w:tc>
      </w:tr>
      <w:tr w:rsidR="00E84033" w:rsidRPr="00406B0E" w:rsidTr="002A3B84">
        <w:trPr>
          <w:trHeight w:val="170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CA6E7A" w:rsidRDefault="00E84033" w:rsidP="00827F82">
            <w:pPr>
              <w:pStyle w:val="TableParagraph"/>
              <w:rPr>
                <w:b/>
              </w:rPr>
            </w:pPr>
            <w:r w:rsidRPr="00CA6E7A">
              <w:rPr>
                <w:b/>
              </w:rPr>
              <w:t>08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proofErr w:type="gramStart"/>
            <w:r w:rsidRPr="00406B0E">
              <w:rPr>
                <w:color w:val="000000"/>
              </w:rPr>
              <w:t>0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proofErr w:type="gramStart"/>
            <w:r w:rsidRPr="00406B0E">
              <w:rPr>
                <w:color w:val="000000"/>
              </w:rPr>
              <w:t>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proofErr w:type="gramStart"/>
            <w:r w:rsidRPr="00406B0E">
              <w:rPr>
                <w:color w:val="000000"/>
              </w:rPr>
              <w:t>0</w:t>
            </w:r>
            <w:proofErr w:type="gramEnd"/>
          </w:p>
        </w:tc>
      </w:tr>
      <w:tr w:rsidR="00E84033" w:rsidRPr="00406B0E" w:rsidTr="002A3B84">
        <w:trPr>
          <w:trHeight w:val="170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CA6E7A" w:rsidRDefault="00E84033" w:rsidP="00827F82">
            <w:pPr>
              <w:pStyle w:val="TableParagraph"/>
              <w:rPr>
                <w:b/>
              </w:rPr>
            </w:pPr>
            <w:r w:rsidRPr="00CA6E7A">
              <w:rPr>
                <w:b/>
              </w:rPr>
              <w:t>09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proofErr w:type="gramStart"/>
            <w:r w:rsidRPr="00406B0E">
              <w:rPr>
                <w:color w:val="000000"/>
              </w:rPr>
              <w:t>0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proofErr w:type="gramStart"/>
            <w:r w:rsidRPr="00406B0E">
              <w:rPr>
                <w:color w:val="000000"/>
              </w:rPr>
              <w:t>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proofErr w:type="gramStart"/>
            <w:r w:rsidRPr="00406B0E">
              <w:rPr>
                <w:color w:val="000000"/>
              </w:rPr>
              <w:t>0</w:t>
            </w:r>
            <w:proofErr w:type="gramEnd"/>
          </w:p>
        </w:tc>
      </w:tr>
      <w:tr w:rsidR="00E84033" w:rsidRPr="00406B0E" w:rsidTr="002A3B84">
        <w:trPr>
          <w:trHeight w:val="170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CA6E7A" w:rsidRDefault="00E84033" w:rsidP="00827F82">
            <w:pPr>
              <w:pStyle w:val="TableParagraph"/>
              <w:rPr>
                <w:b/>
              </w:rPr>
            </w:pPr>
            <w:r w:rsidRPr="00CA6E7A">
              <w:rPr>
                <w:b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proofErr w:type="gramStart"/>
            <w:r w:rsidRPr="00406B0E">
              <w:rPr>
                <w:color w:val="000000"/>
              </w:rPr>
              <w:t>3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proofErr w:type="gramStart"/>
            <w:r w:rsidRPr="00406B0E">
              <w:rPr>
                <w:color w:val="000000"/>
              </w:rPr>
              <w:t>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proofErr w:type="gramStart"/>
            <w:r w:rsidRPr="00406B0E">
              <w:rPr>
                <w:color w:val="000000"/>
              </w:rPr>
              <w:t>0</w:t>
            </w:r>
            <w:proofErr w:type="gramEnd"/>
          </w:p>
        </w:tc>
      </w:tr>
      <w:tr w:rsidR="00E84033" w:rsidRPr="00406B0E" w:rsidTr="002A3B84">
        <w:trPr>
          <w:trHeight w:val="170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CA6E7A" w:rsidRDefault="00E84033" w:rsidP="00827F82">
            <w:pPr>
              <w:pStyle w:val="TableParagraph"/>
              <w:rPr>
                <w:b/>
              </w:rPr>
            </w:pPr>
            <w:r w:rsidRPr="00CA6E7A">
              <w:rPr>
                <w:b/>
              </w:rPr>
              <w:t>TOTAL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r w:rsidRPr="00406B0E">
              <w:rPr>
                <w:color w:val="000000"/>
              </w:rPr>
              <w:t>88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r w:rsidRPr="00406B0E">
              <w:rPr>
                <w:color w:val="000000"/>
              </w:rPr>
              <w:t>303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406B0E" w:rsidRDefault="00E84033" w:rsidP="00827F82">
            <w:pPr>
              <w:pStyle w:val="TableParagraph"/>
              <w:rPr>
                <w:color w:val="000000"/>
              </w:rPr>
            </w:pPr>
            <w:r w:rsidRPr="00406B0E">
              <w:rPr>
                <w:color w:val="000000"/>
              </w:rPr>
              <w:t>172</w:t>
            </w:r>
          </w:p>
        </w:tc>
      </w:tr>
    </w:tbl>
    <w:p w:rsidR="00E84033" w:rsidRDefault="002A3B84">
      <w:pPr>
        <w:pStyle w:val="Corpodetexto"/>
        <w:ind w:right="114" w:firstLine="568"/>
        <w:rPr>
          <w:rFonts w:cs="Arial"/>
          <w:sz w:val="16"/>
        </w:rPr>
      </w:pPr>
      <w:r w:rsidRPr="00406B0E">
        <w:rPr>
          <w:rFonts w:cs="Arial"/>
          <w:sz w:val="16"/>
        </w:rPr>
        <w:t>N: número de indivíduos</w:t>
      </w:r>
    </w:p>
    <w:p w:rsidR="002A3B84" w:rsidRPr="00211B0F" w:rsidRDefault="002A3B84">
      <w:pPr>
        <w:pStyle w:val="Corpodetexto"/>
        <w:ind w:right="114" w:firstLine="568"/>
        <w:rPr>
          <w:rFonts w:cs="Arial"/>
          <w:sz w:val="16"/>
        </w:rPr>
      </w:pPr>
    </w:p>
    <w:p w:rsidR="003B19F3" w:rsidRDefault="003B19F3">
      <w:pPr>
        <w:pStyle w:val="Corpodetexto"/>
        <w:ind w:right="114" w:firstLine="568"/>
        <w:rPr>
          <w:rFonts w:cs="Arial"/>
        </w:rPr>
      </w:pPr>
      <w:r w:rsidRPr="00A47D2D">
        <w:rPr>
          <w:rFonts w:cs="Arial"/>
        </w:rPr>
        <w:t xml:space="preserve">Nos pontos </w:t>
      </w:r>
      <w:proofErr w:type="gramStart"/>
      <w:r w:rsidRPr="00A47D2D">
        <w:rPr>
          <w:rFonts w:cs="Arial"/>
        </w:rPr>
        <w:t>2</w:t>
      </w:r>
      <w:proofErr w:type="gramEnd"/>
      <w:r w:rsidRPr="00A47D2D">
        <w:rPr>
          <w:rFonts w:cs="Arial"/>
        </w:rPr>
        <w:t xml:space="preserve"> e 10 só teve registro em abril, devido a um aumento de baronesa (</w:t>
      </w:r>
      <w:r w:rsidRPr="00A47D2D">
        <w:rPr>
          <w:rFonts w:cs="Arial"/>
          <w:i/>
          <w:szCs w:val="54"/>
          <w:shd w:val="clear" w:color="auto" w:fill="FFFFFF"/>
        </w:rPr>
        <w:t xml:space="preserve">Eichornia crassipes </w:t>
      </w:r>
      <w:r w:rsidRPr="00A47D2D">
        <w:rPr>
          <w:rFonts w:cs="Arial"/>
        </w:rPr>
        <w:t xml:space="preserve">(MART.) SOLMS) nos meses de maio e junho. Nos pontos 5, 7, 8 e 9 não se teve nenhum registro. Isso por conta que nos pontos </w:t>
      </w:r>
      <w:proofErr w:type="gramStart"/>
      <w:r w:rsidRPr="00A47D2D">
        <w:rPr>
          <w:rFonts w:cs="Arial"/>
        </w:rPr>
        <w:t>5</w:t>
      </w:r>
      <w:proofErr w:type="gramEnd"/>
      <w:r w:rsidRPr="00A47D2D">
        <w:rPr>
          <w:rFonts w:cs="Arial"/>
        </w:rPr>
        <w:t xml:space="preserve"> e 8 o ambiente </w:t>
      </w:r>
      <w:r w:rsidRPr="00A47D2D">
        <w:rPr>
          <w:rFonts w:cs="Arial" w:hint="eastAsia"/>
        </w:rPr>
        <w:t>possuía</w:t>
      </w:r>
      <w:r w:rsidRPr="00A47D2D">
        <w:rPr>
          <w:rFonts w:cs="Arial"/>
        </w:rPr>
        <w:t xml:space="preserve"> uma grande quantidade de baronesas tornando o ambiente desfavorável para a espécie; e já nos pontos 7 e 9 não houve coleta</w:t>
      </w:r>
      <w:r w:rsidR="00E84033">
        <w:rPr>
          <w:rFonts w:cs="Arial"/>
        </w:rPr>
        <w:t>, devido a profundidade mé</w:t>
      </w:r>
      <w:r w:rsidRPr="00A47D2D">
        <w:rPr>
          <w:rFonts w:cs="Arial"/>
        </w:rPr>
        <w:t>dia de um metro (profundidade utilizada para todos os outros pontos) desses pontos</w:t>
      </w:r>
      <w:r w:rsidRPr="00A47D2D">
        <w:rPr>
          <w:rFonts w:cs="Arial" w:hint="eastAsia"/>
        </w:rPr>
        <w:t xml:space="preserve"> não</w:t>
      </w:r>
      <w:r w:rsidRPr="00A47D2D">
        <w:rPr>
          <w:rFonts w:cs="Arial"/>
        </w:rPr>
        <w:t xml:space="preserve"> havia </w:t>
      </w:r>
      <w:r w:rsidRPr="00A47D2D">
        <w:rPr>
          <w:rFonts w:cs="Arial" w:hint="eastAsia"/>
        </w:rPr>
        <w:t>características</w:t>
      </w:r>
      <w:r w:rsidRPr="00A47D2D">
        <w:rPr>
          <w:rFonts w:cs="Arial"/>
        </w:rPr>
        <w:t xml:space="preserve"> do habitat da </w:t>
      </w:r>
      <w:r w:rsidRPr="00A47D2D">
        <w:rPr>
          <w:rFonts w:cs="Arial" w:hint="eastAsia"/>
        </w:rPr>
        <w:t>espécie</w:t>
      </w:r>
      <w:r w:rsidRPr="00A47D2D">
        <w:rPr>
          <w:rFonts w:cs="Arial"/>
        </w:rPr>
        <w:t>.</w:t>
      </w:r>
    </w:p>
    <w:p w:rsidR="003B19F3" w:rsidRDefault="003B19F3">
      <w:pPr>
        <w:pStyle w:val="Corpodetexto"/>
        <w:ind w:right="114" w:firstLine="568"/>
        <w:rPr>
          <w:rFonts w:cs="Arial"/>
        </w:rPr>
      </w:pPr>
      <w:r w:rsidRPr="00406B0E">
        <w:rPr>
          <w:rFonts w:cs="Arial"/>
        </w:rPr>
        <w:t>Foi observada uma maior abundância de fêmeas do que de machos em todos os meses (</w:t>
      </w:r>
      <w:r>
        <w:rPr>
          <w:rFonts w:cs="Arial"/>
        </w:rPr>
        <w:t>T</w:t>
      </w:r>
      <w:r w:rsidRPr="00406B0E">
        <w:rPr>
          <w:rFonts w:cs="Arial"/>
        </w:rPr>
        <w:t xml:space="preserve">abela 2), isso </w:t>
      </w:r>
      <w:r>
        <w:rPr>
          <w:rFonts w:cs="Arial"/>
        </w:rPr>
        <w:t>incluindo</w:t>
      </w:r>
      <w:r w:rsidR="00991F4E">
        <w:rPr>
          <w:rFonts w:cs="Arial"/>
        </w:rPr>
        <w:t xml:space="preserve"> fêmeas ovígeras e não oví</w:t>
      </w:r>
      <w:r w:rsidRPr="00406B0E">
        <w:rPr>
          <w:rFonts w:cs="Arial"/>
        </w:rPr>
        <w:t>geras. Esse maior número de fêmeas favorece um maior índice de fecundação, devido principalmente a característica de reprodução contínua da espécie (TADDEI, 2006</w:t>
      </w:r>
      <w:r w:rsidR="00BE5025">
        <w:rPr>
          <w:rFonts w:cs="Arial"/>
        </w:rPr>
        <w:t xml:space="preserve"> </w:t>
      </w:r>
      <w:r w:rsidR="00490725" w:rsidRPr="00DB54F0">
        <w:rPr>
          <w:rFonts w:cs="Arial"/>
          <w:i/>
          <w:iCs/>
        </w:rPr>
        <w:t>apud</w:t>
      </w:r>
      <w:r w:rsidR="00490725">
        <w:rPr>
          <w:rFonts w:cs="Arial"/>
        </w:rPr>
        <w:t xml:space="preserve"> SOARES, 2008</w:t>
      </w:r>
      <w:r w:rsidRPr="00406B0E">
        <w:rPr>
          <w:rFonts w:cs="Arial"/>
        </w:rPr>
        <w:t xml:space="preserve">). </w:t>
      </w:r>
    </w:p>
    <w:p w:rsidR="00E84033" w:rsidRPr="00211B0F" w:rsidRDefault="00E84033">
      <w:pPr>
        <w:pStyle w:val="Corpodetexto"/>
        <w:ind w:right="114" w:firstLine="568"/>
        <w:rPr>
          <w:rFonts w:cs="Arial"/>
          <w:sz w:val="16"/>
        </w:rPr>
      </w:pPr>
    </w:p>
    <w:p w:rsidR="00E84033" w:rsidRDefault="00E84033" w:rsidP="00E84033">
      <w:pPr>
        <w:spacing w:before="1"/>
        <w:ind w:left="122" w:hanging="17"/>
        <w:jc w:val="both"/>
      </w:pPr>
      <w:r>
        <w:rPr>
          <w:rFonts w:ascii="Arial" w:hAnsi="Arial"/>
          <w:b/>
        </w:rPr>
        <w:t>Tabela</w:t>
      </w:r>
      <w:r>
        <w:rPr>
          <w:rFonts w:ascii="Arial" w:hAnsi="Arial"/>
          <w:b/>
          <w:spacing w:val="52"/>
        </w:rPr>
        <w:t xml:space="preserve"> </w:t>
      </w:r>
      <w:proofErr w:type="gramStart"/>
      <w:r>
        <w:rPr>
          <w:rFonts w:ascii="Arial" w:hAnsi="Arial"/>
          <w:b/>
          <w:spacing w:val="52"/>
        </w:rPr>
        <w:t>2</w:t>
      </w:r>
      <w:r>
        <w:rPr>
          <w:rFonts w:ascii="Arial" w:hAnsi="Arial"/>
          <w:b/>
        </w:rPr>
        <w:t>.</w:t>
      </w:r>
      <w:proofErr w:type="gramEnd"/>
      <w:r w:rsidRPr="00406B0E">
        <w:rPr>
          <w:rFonts w:cs="Arial"/>
        </w:rPr>
        <w:t xml:space="preserve">Abundância relativa mensal de machos, fêmeas e juvenis de </w:t>
      </w:r>
      <w:r w:rsidRPr="00406B0E">
        <w:rPr>
          <w:rFonts w:cs="Arial"/>
          <w:i/>
          <w:iCs/>
        </w:rPr>
        <w:t>Macrobrachium jelskii</w:t>
      </w:r>
      <w:r w:rsidRPr="00406B0E">
        <w:rPr>
          <w:rFonts w:cs="Arial"/>
        </w:rPr>
        <w:t xml:space="preserve"> no Lago da Barragem de Itaparica, Petrolândia</w:t>
      </w:r>
      <w:r>
        <w:rPr>
          <w:rFonts w:cs="Arial"/>
        </w:rPr>
        <w:t xml:space="preserve">-PE. </w:t>
      </w:r>
    </w:p>
    <w:p w:rsidR="00E84033" w:rsidRPr="008433E6" w:rsidRDefault="00E84033" w:rsidP="00E84033">
      <w:pPr>
        <w:pStyle w:val="Corpodetexto"/>
        <w:tabs>
          <w:tab w:val="center" w:pos="4436"/>
        </w:tabs>
        <w:rPr>
          <w:sz w:val="16"/>
        </w:rPr>
      </w:pPr>
    </w:p>
    <w:tbl>
      <w:tblPr>
        <w:tblStyle w:val="Tabelacomgrade"/>
        <w:tblW w:w="4822" w:type="pct"/>
        <w:tblInd w:w="25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276"/>
        <w:gridCol w:w="1458"/>
        <w:gridCol w:w="1238"/>
        <w:gridCol w:w="1413"/>
        <w:gridCol w:w="1133"/>
        <w:gridCol w:w="1416"/>
      </w:tblGrid>
      <w:tr w:rsidR="00492695" w:rsidRPr="006E3804" w:rsidTr="00492695">
        <w:trPr>
          <w:trHeight w:val="170"/>
        </w:trPr>
        <w:tc>
          <w:tcPr>
            <w:tcW w:w="41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84033" w:rsidRPr="006E3804" w:rsidRDefault="00E84033" w:rsidP="00827F82">
            <w:pPr>
              <w:pStyle w:val="TableParagraph"/>
            </w:pPr>
          </w:p>
        </w:tc>
        <w:tc>
          <w:tcPr>
            <w:tcW w:w="1581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84033" w:rsidRPr="00EB05B3" w:rsidRDefault="00DB54F0" w:rsidP="00827F82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a</w:t>
            </w:r>
            <w:r w:rsidR="00E84033" w:rsidRPr="00EB05B3">
              <w:rPr>
                <w:b/>
              </w:rPr>
              <w:t>bril</w:t>
            </w:r>
            <w:proofErr w:type="gramEnd"/>
            <w:r>
              <w:rPr>
                <w:b/>
              </w:rPr>
              <w:t>/</w:t>
            </w:r>
            <w:r w:rsidR="00E84033">
              <w:rPr>
                <w:b/>
              </w:rPr>
              <w:t>2019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84033" w:rsidRPr="00EB05B3" w:rsidRDefault="00DB54F0" w:rsidP="00827F82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m</w:t>
            </w:r>
            <w:r w:rsidR="00E84033" w:rsidRPr="00EB05B3">
              <w:rPr>
                <w:b/>
              </w:rPr>
              <w:t>aio</w:t>
            </w:r>
            <w:proofErr w:type="gramEnd"/>
            <w:r>
              <w:rPr>
                <w:b/>
              </w:rPr>
              <w:t>/</w:t>
            </w:r>
            <w:r w:rsidR="00E84033">
              <w:rPr>
                <w:b/>
              </w:rPr>
              <w:t>2019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84033" w:rsidRPr="00EB05B3" w:rsidRDefault="00DB54F0" w:rsidP="00827F82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j</w:t>
            </w:r>
            <w:r w:rsidR="00E84033" w:rsidRPr="00EB05B3">
              <w:rPr>
                <w:b/>
              </w:rPr>
              <w:t>unho</w:t>
            </w:r>
            <w:proofErr w:type="gramEnd"/>
            <w:r>
              <w:rPr>
                <w:b/>
              </w:rPr>
              <w:t>/</w:t>
            </w:r>
            <w:r w:rsidR="00E84033">
              <w:rPr>
                <w:b/>
              </w:rPr>
              <w:t>2019</w:t>
            </w:r>
          </w:p>
        </w:tc>
      </w:tr>
      <w:tr w:rsidR="00404924" w:rsidRPr="006E3804" w:rsidTr="00492695">
        <w:trPr>
          <w:trHeight w:val="170"/>
        </w:trPr>
        <w:tc>
          <w:tcPr>
            <w:tcW w:w="41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4033" w:rsidRPr="006E3804" w:rsidRDefault="00E84033" w:rsidP="00827F82">
            <w:pPr>
              <w:pStyle w:val="TableParagraph"/>
            </w:pPr>
          </w:p>
        </w:tc>
        <w:tc>
          <w:tcPr>
            <w:tcW w:w="73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4033" w:rsidRPr="00EB05B3" w:rsidRDefault="00E84033" w:rsidP="00827F82">
            <w:pPr>
              <w:pStyle w:val="TableParagraph"/>
              <w:rPr>
                <w:b/>
              </w:rPr>
            </w:pPr>
            <w:r w:rsidRPr="00EB05B3">
              <w:rPr>
                <w:b/>
              </w:rPr>
              <w:t>N</w:t>
            </w:r>
          </w:p>
        </w:tc>
        <w:tc>
          <w:tcPr>
            <w:tcW w:w="843" w:type="pct"/>
            <w:tcBorders>
              <w:top w:val="nil"/>
              <w:bottom w:val="single" w:sz="4" w:space="0" w:color="auto"/>
            </w:tcBorders>
            <w:vAlign w:val="center"/>
          </w:tcPr>
          <w:p w:rsidR="00E84033" w:rsidRPr="00EB05B3" w:rsidRDefault="00E84033" w:rsidP="00827F82">
            <w:pPr>
              <w:pStyle w:val="TableParagraph"/>
              <w:rPr>
                <w:b/>
              </w:rPr>
            </w:pPr>
            <w:r w:rsidRPr="00EB05B3">
              <w:rPr>
                <w:b/>
              </w:rPr>
              <w:t>%</w:t>
            </w:r>
          </w:p>
        </w:tc>
        <w:tc>
          <w:tcPr>
            <w:tcW w:w="71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4033" w:rsidRPr="00EB05B3" w:rsidRDefault="00E84033" w:rsidP="00827F82">
            <w:pPr>
              <w:pStyle w:val="TableParagraph"/>
              <w:rPr>
                <w:b/>
              </w:rPr>
            </w:pPr>
            <w:r w:rsidRPr="00EB05B3">
              <w:rPr>
                <w:b/>
              </w:rPr>
              <w:t>N</w:t>
            </w:r>
          </w:p>
        </w:tc>
        <w:tc>
          <w:tcPr>
            <w:tcW w:w="817" w:type="pct"/>
            <w:tcBorders>
              <w:top w:val="nil"/>
              <w:bottom w:val="single" w:sz="4" w:space="0" w:color="auto"/>
            </w:tcBorders>
            <w:vAlign w:val="center"/>
          </w:tcPr>
          <w:p w:rsidR="00E84033" w:rsidRPr="00EB05B3" w:rsidRDefault="00E84033" w:rsidP="00827F82">
            <w:pPr>
              <w:pStyle w:val="TableParagraph"/>
              <w:rPr>
                <w:b/>
              </w:rPr>
            </w:pPr>
            <w:r w:rsidRPr="00EB05B3">
              <w:rPr>
                <w:b/>
              </w:rPr>
              <w:t>%</w:t>
            </w:r>
          </w:p>
        </w:tc>
        <w:tc>
          <w:tcPr>
            <w:tcW w:w="65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4033" w:rsidRPr="00EB05B3" w:rsidRDefault="00E84033" w:rsidP="00827F82">
            <w:pPr>
              <w:pStyle w:val="TableParagraph"/>
              <w:rPr>
                <w:b/>
              </w:rPr>
            </w:pPr>
            <w:r w:rsidRPr="00EB05B3">
              <w:rPr>
                <w:b/>
              </w:rPr>
              <w:t>N</w:t>
            </w:r>
          </w:p>
        </w:tc>
        <w:tc>
          <w:tcPr>
            <w:tcW w:w="820" w:type="pct"/>
            <w:tcBorders>
              <w:top w:val="nil"/>
              <w:bottom w:val="single" w:sz="4" w:space="0" w:color="auto"/>
            </w:tcBorders>
            <w:vAlign w:val="center"/>
          </w:tcPr>
          <w:p w:rsidR="00E84033" w:rsidRPr="00EB05B3" w:rsidRDefault="00E84033" w:rsidP="00827F82">
            <w:pPr>
              <w:pStyle w:val="TableParagraph"/>
              <w:rPr>
                <w:b/>
              </w:rPr>
            </w:pPr>
            <w:r w:rsidRPr="00EB05B3">
              <w:rPr>
                <w:b/>
              </w:rPr>
              <w:t>%</w:t>
            </w:r>
          </w:p>
        </w:tc>
      </w:tr>
      <w:tr w:rsidR="00404924" w:rsidRPr="006E3804" w:rsidTr="00492695">
        <w:trPr>
          <w:trHeight w:val="170"/>
        </w:trPr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EB05B3" w:rsidRDefault="00E84033" w:rsidP="00827F82">
            <w:pPr>
              <w:pStyle w:val="TableParagraph"/>
              <w:rPr>
                <w:b/>
              </w:rPr>
            </w:pPr>
            <w:r w:rsidRPr="00EB05B3">
              <w:rPr>
                <w:b/>
              </w:rPr>
              <w:t>F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6E3804" w:rsidRDefault="00E84033" w:rsidP="00827F82">
            <w:pPr>
              <w:pStyle w:val="TableParagraph"/>
            </w:pPr>
            <w:r w:rsidRPr="006E3804">
              <w:t>34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033" w:rsidRPr="006E3804" w:rsidRDefault="00E84033" w:rsidP="00827F82">
            <w:pPr>
              <w:pStyle w:val="TableParagraph"/>
            </w:pPr>
            <w:r w:rsidRPr="006E3804">
              <w:t>38,64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6E3804" w:rsidRDefault="00E84033" w:rsidP="00827F82">
            <w:pPr>
              <w:pStyle w:val="TableParagraph"/>
            </w:pPr>
            <w:r w:rsidRPr="006E3804">
              <w:t>77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033" w:rsidRPr="006E3804" w:rsidRDefault="00E84033" w:rsidP="00827F82">
            <w:pPr>
              <w:pStyle w:val="TableParagraph"/>
            </w:pPr>
            <w:r w:rsidRPr="006E3804">
              <w:t>25,41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6E3804" w:rsidRDefault="00E84033" w:rsidP="00827F82">
            <w:pPr>
              <w:pStyle w:val="TableParagraph"/>
            </w:pPr>
            <w:r w:rsidRPr="006E3804">
              <w:t>41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033" w:rsidRPr="006E3804" w:rsidRDefault="00E84033" w:rsidP="00827F82">
            <w:pPr>
              <w:pStyle w:val="TableParagraph"/>
            </w:pPr>
            <w:r w:rsidRPr="006E3804">
              <w:t>23,84</w:t>
            </w:r>
          </w:p>
        </w:tc>
      </w:tr>
      <w:tr w:rsidR="00404924" w:rsidRPr="006E3804" w:rsidTr="00492695">
        <w:trPr>
          <w:trHeight w:val="170"/>
        </w:trPr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EB05B3" w:rsidRDefault="00E84033" w:rsidP="00827F82">
            <w:pPr>
              <w:pStyle w:val="TableParagraph"/>
              <w:rPr>
                <w:b/>
              </w:rPr>
            </w:pPr>
            <w:r w:rsidRPr="00EB05B3">
              <w:rPr>
                <w:b/>
              </w:rPr>
              <w:t>M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6E3804" w:rsidRDefault="00E84033" w:rsidP="00827F82">
            <w:pPr>
              <w:pStyle w:val="TableParagraph"/>
            </w:pPr>
            <w:r w:rsidRPr="006E3804">
              <w:t>20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033" w:rsidRPr="006E3804" w:rsidRDefault="00E84033" w:rsidP="00827F82">
            <w:pPr>
              <w:pStyle w:val="TableParagraph"/>
            </w:pPr>
            <w:r w:rsidRPr="006E3804">
              <w:t>22,72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6E3804" w:rsidRDefault="00E84033" w:rsidP="00827F82">
            <w:pPr>
              <w:pStyle w:val="TableParagraph"/>
            </w:pPr>
            <w:r w:rsidRPr="006E3804">
              <w:t>76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033" w:rsidRPr="006E3804" w:rsidRDefault="00E84033" w:rsidP="00827F82">
            <w:pPr>
              <w:pStyle w:val="TableParagraph"/>
            </w:pPr>
            <w:r w:rsidRPr="006E3804">
              <w:t>25,08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033" w:rsidRPr="006E3804" w:rsidRDefault="00E84033" w:rsidP="00827F82">
            <w:pPr>
              <w:pStyle w:val="TableParagraph"/>
            </w:pPr>
            <w:r w:rsidRPr="006E3804">
              <w:t>27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033" w:rsidRPr="006E3804" w:rsidRDefault="00E84033" w:rsidP="00827F82">
            <w:pPr>
              <w:pStyle w:val="TableParagraph"/>
            </w:pPr>
            <w:r w:rsidRPr="006E3804">
              <w:t>15,70</w:t>
            </w:r>
          </w:p>
        </w:tc>
      </w:tr>
      <w:tr w:rsidR="00404924" w:rsidRPr="006E3804" w:rsidTr="00492695">
        <w:trPr>
          <w:trHeight w:val="170"/>
        </w:trPr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4033" w:rsidRPr="00EB05B3" w:rsidRDefault="00E84033" w:rsidP="00827F82">
            <w:pPr>
              <w:pStyle w:val="TableParagraph"/>
              <w:rPr>
                <w:b/>
              </w:rPr>
            </w:pPr>
            <w:r w:rsidRPr="00EB05B3">
              <w:rPr>
                <w:b/>
              </w:rPr>
              <w:t>J</w:t>
            </w: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4033" w:rsidRPr="006E3804" w:rsidRDefault="00E84033" w:rsidP="00827F82">
            <w:pPr>
              <w:pStyle w:val="TableParagraph"/>
            </w:pPr>
            <w:r w:rsidRPr="006E3804">
              <w:t>34</w:t>
            </w:r>
          </w:p>
        </w:tc>
        <w:tc>
          <w:tcPr>
            <w:tcW w:w="843" w:type="pct"/>
            <w:tcBorders>
              <w:top w:val="single" w:sz="4" w:space="0" w:color="auto"/>
            </w:tcBorders>
            <w:vAlign w:val="center"/>
          </w:tcPr>
          <w:p w:rsidR="00E84033" w:rsidRPr="006E3804" w:rsidRDefault="00E84033" w:rsidP="00827F82">
            <w:pPr>
              <w:pStyle w:val="TableParagraph"/>
            </w:pPr>
            <w:r w:rsidRPr="006E3804">
              <w:t>38,64</w:t>
            </w: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4033" w:rsidRPr="006E3804" w:rsidRDefault="00E84033" w:rsidP="00827F82">
            <w:pPr>
              <w:pStyle w:val="TableParagraph"/>
            </w:pPr>
            <w:r w:rsidRPr="006E3804">
              <w:t>150</w:t>
            </w:r>
          </w:p>
        </w:tc>
        <w:tc>
          <w:tcPr>
            <w:tcW w:w="817" w:type="pct"/>
            <w:tcBorders>
              <w:top w:val="single" w:sz="4" w:space="0" w:color="auto"/>
            </w:tcBorders>
            <w:vAlign w:val="center"/>
          </w:tcPr>
          <w:p w:rsidR="00E84033" w:rsidRPr="006E3804" w:rsidRDefault="00E84033" w:rsidP="00827F82">
            <w:pPr>
              <w:pStyle w:val="TableParagraph"/>
            </w:pPr>
            <w:r w:rsidRPr="006E3804">
              <w:t>49,51</w:t>
            </w: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4033" w:rsidRPr="006E3804" w:rsidRDefault="00E84033" w:rsidP="00827F82">
            <w:pPr>
              <w:pStyle w:val="TableParagraph"/>
            </w:pPr>
            <w:r w:rsidRPr="006E3804">
              <w:t>104</w:t>
            </w:r>
          </w:p>
        </w:tc>
        <w:tc>
          <w:tcPr>
            <w:tcW w:w="820" w:type="pct"/>
            <w:tcBorders>
              <w:top w:val="single" w:sz="4" w:space="0" w:color="auto"/>
            </w:tcBorders>
            <w:vAlign w:val="center"/>
          </w:tcPr>
          <w:p w:rsidR="00E84033" w:rsidRPr="006E3804" w:rsidRDefault="00E84033" w:rsidP="00827F82">
            <w:pPr>
              <w:pStyle w:val="TableParagraph"/>
            </w:pPr>
            <w:r w:rsidRPr="006E3804">
              <w:t>60,46</w:t>
            </w:r>
          </w:p>
        </w:tc>
      </w:tr>
    </w:tbl>
    <w:p w:rsidR="00E84033" w:rsidRDefault="00E84033" w:rsidP="00E84033">
      <w:pPr>
        <w:ind w:left="122"/>
        <w:rPr>
          <w:sz w:val="16"/>
        </w:rPr>
      </w:pPr>
      <w:r>
        <w:rPr>
          <w:rFonts w:cs="Arial"/>
          <w:sz w:val="16"/>
        </w:rPr>
        <w:t xml:space="preserve">F: Fêmeas; M: Machos; J: Juvenis </w:t>
      </w:r>
      <w:r w:rsidRPr="00EB05B3">
        <w:rPr>
          <w:sz w:val="16"/>
          <w:szCs w:val="16"/>
        </w:rPr>
        <w:t>(≤ 25 mm</w:t>
      </w:r>
      <w:r>
        <w:rPr>
          <w:rFonts w:cs="Arial"/>
          <w:sz w:val="16"/>
        </w:rPr>
        <w:t xml:space="preserve">); </w:t>
      </w:r>
      <w:r w:rsidRPr="00406B0E">
        <w:rPr>
          <w:rFonts w:cs="Arial"/>
          <w:sz w:val="16"/>
        </w:rPr>
        <w:t>N: número de indivíduos; %: proporção</w:t>
      </w:r>
      <w:r>
        <w:rPr>
          <w:rFonts w:cs="Arial"/>
          <w:sz w:val="16"/>
        </w:rPr>
        <w:t>.</w:t>
      </w:r>
    </w:p>
    <w:p w:rsidR="00E84033" w:rsidRPr="008433E6" w:rsidRDefault="00E84033">
      <w:pPr>
        <w:pStyle w:val="Corpodetexto"/>
        <w:ind w:right="114" w:firstLine="568"/>
        <w:rPr>
          <w:rFonts w:cs="Arial"/>
          <w:sz w:val="16"/>
        </w:rPr>
      </w:pPr>
    </w:p>
    <w:p w:rsidR="003006EC" w:rsidRDefault="003B19F3" w:rsidP="003B19F3">
      <w:pPr>
        <w:pStyle w:val="Corpodetexto"/>
        <w:ind w:right="114" w:firstLine="568"/>
        <w:rPr>
          <w:rFonts w:cs="Arial"/>
        </w:rPr>
      </w:pPr>
      <w:r w:rsidRPr="00406B0E">
        <w:rPr>
          <w:rFonts w:cs="Arial"/>
          <w:color w:val="000000" w:themeColor="text1"/>
        </w:rPr>
        <w:t xml:space="preserve">A relação de fêmeas ovígeras comparadas com as não ovígeras foi maior no mês de abril nos pontos </w:t>
      </w:r>
      <w:proofErr w:type="gramStart"/>
      <w:r w:rsidRPr="00406B0E">
        <w:rPr>
          <w:rFonts w:cs="Arial"/>
          <w:color w:val="000000" w:themeColor="text1"/>
        </w:rPr>
        <w:t>1</w:t>
      </w:r>
      <w:proofErr w:type="gramEnd"/>
      <w:r w:rsidRPr="00406B0E">
        <w:rPr>
          <w:rFonts w:cs="Arial"/>
          <w:color w:val="000000" w:themeColor="text1"/>
        </w:rPr>
        <w:t xml:space="preserve"> e 4, em maio foi observado um equilíbrio no ponto 1 e uma maior quantidade no ponto 4, e em junho foi observada uma maior abundância somente no ponto 4 (Figura 2). Essa maior quantidade </w:t>
      </w:r>
      <w:r>
        <w:rPr>
          <w:rFonts w:cs="Arial"/>
          <w:color w:val="000000" w:themeColor="text1"/>
        </w:rPr>
        <w:t xml:space="preserve">de </w:t>
      </w:r>
      <w:r w:rsidRPr="00406B0E">
        <w:rPr>
          <w:rFonts w:cs="Arial"/>
          <w:color w:val="000000" w:themeColor="text1"/>
        </w:rPr>
        <w:t xml:space="preserve">fêmeas ovigeras no ponto </w:t>
      </w:r>
      <w:proofErr w:type="gramStart"/>
      <w:r w:rsidRPr="00406B0E">
        <w:rPr>
          <w:rFonts w:cs="Arial"/>
          <w:color w:val="000000" w:themeColor="text1"/>
        </w:rPr>
        <w:t>4</w:t>
      </w:r>
      <w:proofErr w:type="gramEnd"/>
      <w:r w:rsidRPr="00406B0E">
        <w:rPr>
          <w:rFonts w:cs="Arial"/>
          <w:color w:val="000000" w:themeColor="text1"/>
        </w:rPr>
        <w:t xml:space="preserve"> </w:t>
      </w:r>
      <w:r w:rsidRPr="00406B0E">
        <w:rPr>
          <w:rFonts w:cs="Arial"/>
        </w:rPr>
        <w:t>está diretamente ligado ao fato de que os meses</w:t>
      </w:r>
      <w:r>
        <w:rPr>
          <w:rFonts w:cs="Arial"/>
        </w:rPr>
        <w:t xml:space="preserve"> em q</w:t>
      </w:r>
      <w:r w:rsidRPr="00406B0E">
        <w:rPr>
          <w:rFonts w:cs="Arial"/>
        </w:rPr>
        <w:t xml:space="preserve">ue </w:t>
      </w:r>
      <w:r>
        <w:rPr>
          <w:rFonts w:cs="Arial"/>
        </w:rPr>
        <w:t>foram re</w:t>
      </w:r>
      <w:r w:rsidR="00E84033">
        <w:rPr>
          <w:rFonts w:cs="Arial"/>
        </w:rPr>
        <w:t>alizadas as coletas corresponde</w:t>
      </w:r>
      <w:r>
        <w:rPr>
          <w:rFonts w:cs="Arial"/>
        </w:rPr>
        <w:t xml:space="preserve"> ao </w:t>
      </w:r>
      <w:r w:rsidRPr="00406B0E">
        <w:rPr>
          <w:rFonts w:cs="Arial"/>
        </w:rPr>
        <w:t>período chuvoso, período</w:t>
      </w:r>
      <w:r>
        <w:rPr>
          <w:rFonts w:cs="Arial"/>
        </w:rPr>
        <w:t xml:space="preserve"> esse de reprodução da espécie</w:t>
      </w:r>
      <w:r w:rsidRPr="00406B0E">
        <w:rPr>
          <w:rFonts w:cs="Arial"/>
        </w:rPr>
        <w:t>, con</w:t>
      </w:r>
      <w:r>
        <w:rPr>
          <w:rFonts w:cs="Arial"/>
        </w:rPr>
        <w:t xml:space="preserve">cordando com </w:t>
      </w:r>
      <w:r w:rsidRPr="00406B0E">
        <w:rPr>
          <w:rFonts w:cs="Arial"/>
        </w:rPr>
        <w:t xml:space="preserve">Lima </w:t>
      </w:r>
      <w:r w:rsidR="003361F0" w:rsidRPr="003361F0">
        <w:rPr>
          <w:rFonts w:cs="Arial"/>
          <w:i/>
          <w:iCs/>
        </w:rPr>
        <w:t>e</w:t>
      </w:r>
      <w:r w:rsidR="003361F0">
        <w:rPr>
          <w:rFonts w:cs="Arial"/>
          <w:i/>
          <w:iCs/>
        </w:rPr>
        <w:t>t</w:t>
      </w:r>
      <w:r w:rsidR="003361F0" w:rsidRPr="003361F0">
        <w:rPr>
          <w:rFonts w:cs="Arial"/>
          <w:i/>
          <w:iCs/>
        </w:rPr>
        <w:t xml:space="preserve"> al.</w:t>
      </w:r>
      <w:r w:rsidR="00BE5025">
        <w:rPr>
          <w:rFonts w:cs="Arial"/>
          <w:i/>
          <w:iCs/>
        </w:rPr>
        <w:t xml:space="preserve"> </w:t>
      </w:r>
      <w:r w:rsidRPr="00406B0E">
        <w:rPr>
          <w:rFonts w:cs="Arial"/>
        </w:rPr>
        <w:t>(2013), que</w:t>
      </w:r>
      <w:r>
        <w:rPr>
          <w:rFonts w:cs="Arial"/>
        </w:rPr>
        <w:t xml:space="preserve"> afirma que</w:t>
      </w:r>
      <w:r w:rsidR="00BE5025">
        <w:rPr>
          <w:rFonts w:cs="Arial"/>
        </w:rPr>
        <w:t xml:space="preserve"> </w:t>
      </w:r>
      <w:r>
        <w:rPr>
          <w:rFonts w:cs="Arial"/>
          <w:i/>
        </w:rPr>
        <w:t>M. j</w:t>
      </w:r>
      <w:r w:rsidRPr="00406B0E">
        <w:rPr>
          <w:rFonts w:cs="Arial"/>
          <w:i/>
        </w:rPr>
        <w:t xml:space="preserve">elskii </w:t>
      </w:r>
      <w:r w:rsidRPr="00406B0E">
        <w:rPr>
          <w:rFonts w:cs="Arial"/>
        </w:rPr>
        <w:t xml:space="preserve"> apresenta um período sazonal de reprodução, o qual ocorre durante o período mais chuvoso.</w:t>
      </w:r>
    </w:p>
    <w:p w:rsidR="00404924" w:rsidRPr="008433E6" w:rsidRDefault="00404924" w:rsidP="003B19F3">
      <w:pPr>
        <w:pStyle w:val="Corpodetexto"/>
        <w:ind w:right="114" w:firstLine="568"/>
        <w:rPr>
          <w:rFonts w:cs="Arial"/>
          <w:sz w:val="16"/>
        </w:rPr>
      </w:pPr>
    </w:p>
    <w:p w:rsidR="00B16274" w:rsidRPr="00406B0E" w:rsidRDefault="00B16274" w:rsidP="00B16274">
      <w:pPr>
        <w:pStyle w:val="SemEspaamento"/>
        <w:keepNext/>
        <w:jc w:val="center"/>
        <w:rPr>
          <w:rFonts w:ascii="Arial MT" w:hAnsi="Arial MT" w:cs="Arial"/>
        </w:rPr>
      </w:pPr>
      <w:r w:rsidRPr="00406B0E">
        <w:rPr>
          <w:rFonts w:ascii="Arial MT" w:hAnsi="Arial MT" w:cs="Arial"/>
          <w:noProof/>
        </w:rPr>
        <w:lastRenderedPageBreak/>
        <w:drawing>
          <wp:inline distT="0" distB="0" distL="0" distR="0">
            <wp:extent cx="2661285" cy="1600200"/>
            <wp:effectExtent l="19050" t="0" r="24765" b="0"/>
            <wp:docPr id="6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06B0E">
        <w:rPr>
          <w:rFonts w:ascii="Arial MT" w:hAnsi="Arial MT" w:cs="Arial"/>
          <w:noProof/>
          <w:sz w:val="24"/>
          <w:szCs w:val="16"/>
        </w:rPr>
        <w:drawing>
          <wp:inline distT="0" distB="0" distL="0" distR="0">
            <wp:extent cx="2655570" cy="1602105"/>
            <wp:effectExtent l="19050" t="0" r="11430" b="0"/>
            <wp:docPr id="7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F5C6E" w:rsidRDefault="006F5C6E" w:rsidP="00B16274">
      <w:pPr>
        <w:ind w:left="122" w:right="103" w:firstLine="19"/>
        <w:jc w:val="both"/>
        <w:rPr>
          <w:rFonts w:ascii="Arial" w:hAnsi="Arial"/>
          <w:b/>
        </w:rPr>
      </w:pPr>
    </w:p>
    <w:p w:rsidR="00B16274" w:rsidRDefault="00B16274" w:rsidP="00B16274">
      <w:pPr>
        <w:ind w:left="122" w:right="103" w:firstLine="19"/>
        <w:jc w:val="both"/>
        <w:rPr>
          <w:rFonts w:cs="Arial"/>
        </w:rPr>
      </w:pPr>
      <w:r>
        <w:rPr>
          <w:rFonts w:ascii="Arial" w:hAnsi="Arial"/>
          <w:b/>
        </w:rPr>
        <w:t>Figura</w:t>
      </w:r>
      <w:r>
        <w:rPr>
          <w:rFonts w:ascii="Arial" w:hAnsi="Arial"/>
          <w:b/>
          <w:spacing w:val="9"/>
        </w:rPr>
        <w:t xml:space="preserve"> </w:t>
      </w:r>
      <w:proofErr w:type="gramStart"/>
      <w:r>
        <w:rPr>
          <w:rFonts w:ascii="Arial" w:hAnsi="Arial"/>
          <w:b/>
          <w:spacing w:val="9"/>
        </w:rPr>
        <w:t>2</w:t>
      </w:r>
      <w:r>
        <w:rPr>
          <w:rFonts w:ascii="Arial" w:hAnsi="Arial"/>
          <w:b/>
        </w:rPr>
        <w:t>.</w:t>
      </w:r>
      <w:proofErr w:type="gramEnd"/>
      <w:r w:rsidRPr="00406B0E">
        <w:rPr>
          <w:rFonts w:cs="Arial"/>
          <w:bCs/>
        </w:rPr>
        <w:t xml:space="preserve">Abundância mensal, por ponto de coleta, de </w:t>
      </w:r>
      <w:r w:rsidRPr="00406B0E">
        <w:rPr>
          <w:rFonts w:cs="Arial"/>
        </w:rPr>
        <w:t xml:space="preserve">fêmeas ovígeras e não ovígeras de </w:t>
      </w:r>
      <w:r w:rsidRPr="00406B0E">
        <w:rPr>
          <w:rFonts w:cs="Arial"/>
          <w:i/>
          <w:iCs/>
        </w:rPr>
        <w:t>Macrobrachium jelskii</w:t>
      </w:r>
      <w:r w:rsidRPr="00406B0E">
        <w:rPr>
          <w:rFonts w:cs="Arial"/>
        </w:rPr>
        <w:t xml:space="preserve"> no Lago da Barragem de Itaparica, Petrolândia</w:t>
      </w:r>
      <w:r w:rsidR="00E84033">
        <w:rPr>
          <w:rFonts w:cs="Arial"/>
        </w:rPr>
        <w:t>-PE</w:t>
      </w:r>
      <w:r w:rsidRPr="00406B0E">
        <w:rPr>
          <w:rFonts w:cs="Arial"/>
        </w:rPr>
        <w:t>.</w:t>
      </w:r>
    </w:p>
    <w:p w:rsidR="00B16274" w:rsidRPr="00211B0F" w:rsidRDefault="00B16274" w:rsidP="00B16274">
      <w:pPr>
        <w:ind w:left="122" w:right="533" w:firstLine="19"/>
        <w:rPr>
          <w:sz w:val="16"/>
        </w:rPr>
      </w:pPr>
    </w:p>
    <w:p w:rsidR="003006EC" w:rsidRDefault="0086496E">
      <w:pPr>
        <w:pStyle w:val="Ttulo11"/>
        <w:spacing w:line="260" w:lineRule="exact"/>
      </w:pPr>
      <w:r>
        <w:t>CONCLUSÕES</w:t>
      </w:r>
    </w:p>
    <w:p w:rsidR="003006EC" w:rsidRDefault="00991F4E">
      <w:pPr>
        <w:pStyle w:val="Corpodetexto"/>
        <w:spacing w:before="1"/>
        <w:ind w:right="116" w:firstLine="568"/>
      </w:pPr>
      <w:r w:rsidRPr="00406B0E">
        <w:rPr>
          <w:rFonts w:cs="Arial"/>
        </w:rPr>
        <w:t xml:space="preserve">Em </w:t>
      </w:r>
      <w:proofErr w:type="gramStart"/>
      <w:r w:rsidRPr="00406B0E">
        <w:rPr>
          <w:rFonts w:cs="Arial"/>
        </w:rPr>
        <w:t>geral,</w:t>
      </w:r>
      <w:proofErr w:type="gramEnd"/>
      <w:r w:rsidRPr="00406B0E">
        <w:rPr>
          <w:rFonts w:cs="Arial"/>
        </w:rPr>
        <w:t xml:space="preserve">apresença desta espécie nos ambientes onde foram coletadas pode sugerir que esses locais sejam adequados para a reprodução e o desenvolvimento </w:t>
      </w:r>
      <w:r w:rsidR="00CD29CC">
        <w:rPr>
          <w:rFonts w:cs="Arial"/>
        </w:rPr>
        <w:t>dos juvenis</w:t>
      </w:r>
      <w:r w:rsidRPr="00406B0E">
        <w:rPr>
          <w:rFonts w:cs="Arial"/>
        </w:rPr>
        <w:t xml:space="preserve">. O que torna mais compreensivo a maior quantidade de fêmeas e </w:t>
      </w:r>
      <w:r>
        <w:rPr>
          <w:rFonts w:cs="Arial"/>
        </w:rPr>
        <w:t>indivíduos</w:t>
      </w:r>
      <w:r w:rsidRPr="00406B0E">
        <w:rPr>
          <w:rFonts w:cs="Arial"/>
        </w:rPr>
        <w:t xml:space="preserve"> com menos de 25 mm nos meses de maio e junho, já que o período reprodutivo dessa espécie ocorre durante o período chuvoso</w:t>
      </w:r>
      <w:r>
        <w:rPr>
          <w:rFonts w:cs="Arial"/>
        </w:rPr>
        <w:t>.</w:t>
      </w:r>
    </w:p>
    <w:p w:rsidR="003006EC" w:rsidRPr="00211B0F" w:rsidRDefault="003006EC">
      <w:pPr>
        <w:pStyle w:val="Corpodetexto"/>
        <w:ind w:left="3079"/>
        <w:rPr>
          <w:sz w:val="16"/>
        </w:rPr>
      </w:pPr>
    </w:p>
    <w:p w:rsidR="003006EC" w:rsidRDefault="0086496E">
      <w:pPr>
        <w:pStyle w:val="Ttulo11"/>
      </w:pPr>
      <w:r>
        <w:t>REFERÊNCIAS</w:t>
      </w:r>
    </w:p>
    <w:p w:rsidR="005B4B2C" w:rsidRPr="00991F4E" w:rsidRDefault="005B4B2C" w:rsidP="005B4B2C">
      <w:pPr>
        <w:pStyle w:val="Ttulo110"/>
        <w:jc w:val="both"/>
        <w:rPr>
          <w:b w:val="0"/>
          <w:shd w:val="clear" w:color="auto" w:fill="FFFFFF"/>
        </w:rPr>
      </w:pPr>
      <w:r w:rsidRPr="00991F4E">
        <w:rPr>
          <w:b w:val="0"/>
        </w:rPr>
        <w:t>BARROS, A. C. Evolução de Fatores Hidrobiológicos no Reservatório de Itaparica – Rio S</w:t>
      </w:r>
      <w:r w:rsidRPr="00991F4E">
        <w:rPr>
          <w:rFonts w:hint="eastAsia"/>
          <w:b w:val="0"/>
        </w:rPr>
        <w:t>ão</w:t>
      </w:r>
      <w:r w:rsidRPr="00991F4E">
        <w:rPr>
          <w:b w:val="0"/>
        </w:rPr>
        <w:t xml:space="preserve"> Francisco</w:t>
      </w:r>
      <w:r w:rsidRPr="00991F4E">
        <w:rPr>
          <w:b w:val="0"/>
          <w:shd w:val="clear" w:color="auto" w:fill="FFFFFF"/>
        </w:rPr>
        <w:t xml:space="preserve"> (</w:t>
      </w:r>
      <w:proofErr w:type="gramStart"/>
      <w:r w:rsidRPr="00991F4E">
        <w:rPr>
          <w:b w:val="0"/>
          <w:shd w:val="clear" w:color="auto" w:fill="FFFFFF"/>
        </w:rPr>
        <w:t>1987, 1989 e 2002</w:t>
      </w:r>
      <w:proofErr w:type="gramEnd"/>
      <w:r w:rsidRPr="00991F4E">
        <w:rPr>
          <w:b w:val="0"/>
          <w:shd w:val="clear" w:color="auto" w:fill="FFFFFF"/>
        </w:rPr>
        <w:t>). 2004. 104 p. Dissertação (Mestrado em Gestão e Políticas Ambientais) - U</w:t>
      </w:r>
      <w:r>
        <w:rPr>
          <w:b w:val="0"/>
          <w:shd w:val="clear" w:color="auto" w:fill="FFFFFF"/>
        </w:rPr>
        <w:t>niversidade</w:t>
      </w:r>
      <w:r w:rsidRPr="00991F4E">
        <w:rPr>
          <w:b w:val="0"/>
          <w:shd w:val="clear" w:color="auto" w:fill="FFFFFF"/>
        </w:rPr>
        <w:t xml:space="preserve"> F</w:t>
      </w:r>
      <w:r>
        <w:rPr>
          <w:b w:val="0"/>
          <w:shd w:val="clear" w:color="auto" w:fill="FFFFFF"/>
        </w:rPr>
        <w:t>ederalde</w:t>
      </w:r>
      <w:r w:rsidRPr="00991F4E">
        <w:rPr>
          <w:b w:val="0"/>
          <w:shd w:val="clear" w:color="auto" w:fill="FFFFFF"/>
        </w:rPr>
        <w:t xml:space="preserve"> P</w:t>
      </w:r>
      <w:r>
        <w:rPr>
          <w:b w:val="0"/>
          <w:shd w:val="clear" w:color="auto" w:fill="FFFFFF"/>
        </w:rPr>
        <w:t>ernambuco</w:t>
      </w:r>
      <w:r w:rsidRPr="00991F4E">
        <w:rPr>
          <w:b w:val="0"/>
          <w:shd w:val="clear" w:color="auto" w:fill="FFFFFF"/>
        </w:rPr>
        <w:t xml:space="preserve">, </w:t>
      </w:r>
      <w:proofErr w:type="gramStart"/>
      <w:r w:rsidRPr="00991F4E">
        <w:rPr>
          <w:b w:val="0"/>
          <w:shd w:val="clear" w:color="auto" w:fill="FFFFFF"/>
        </w:rPr>
        <w:t>Recife -PE</w:t>
      </w:r>
      <w:proofErr w:type="gramEnd"/>
      <w:r w:rsidRPr="00991F4E">
        <w:rPr>
          <w:b w:val="0"/>
          <w:shd w:val="clear" w:color="auto" w:fill="FFFFFF"/>
        </w:rPr>
        <w:t>, 2004.</w:t>
      </w:r>
    </w:p>
    <w:p w:rsidR="00BF2F0B" w:rsidRDefault="00BF2F0B" w:rsidP="00C70EB0">
      <w:pPr>
        <w:pStyle w:val="Ttulo11"/>
        <w:jc w:val="both"/>
        <w:rPr>
          <w:b w:val="0"/>
          <w:lang w:val="en-US"/>
        </w:rPr>
      </w:pPr>
      <w:r w:rsidRPr="00BF2F0B">
        <w:rPr>
          <w:b w:val="0"/>
          <w:lang w:val="en-US"/>
        </w:rPr>
        <w:t>B</w:t>
      </w:r>
      <w:r>
        <w:rPr>
          <w:b w:val="0"/>
          <w:lang w:val="en-US"/>
        </w:rPr>
        <w:t>ATE</w:t>
      </w:r>
      <w:r w:rsidRPr="00BF2F0B">
        <w:rPr>
          <w:b w:val="0"/>
          <w:lang w:val="en-US"/>
        </w:rPr>
        <w:t xml:space="preserve">, C.S. </w:t>
      </w:r>
      <w:proofErr w:type="gramStart"/>
      <w:r w:rsidRPr="00BF2F0B">
        <w:rPr>
          <w:b w:val="0"/>
          <w:lang w:val="en-US"/>
        </w:rPr>
        <w:t>On a new Genus, with four new Species, of freshwater Prawns.</w:t>
      </w:r>
      <w:proofErr w:type="gramEnd"/>
      <w:r w:rsidRPr="00BF2F0B">
        <w:rPr>
          <w:b w:val="0"/>
          <w:lang w:val="en-US"/>
        </w:rPr>
        <w:t xml:space="preserve"> </w:t>
      </w:r>
      <w:proofErr w:type="gramStart"/>
      <w:r w:rsidRPr="00BF2F0B">
        <w:rPr>
          <w:b w:val="0"/>
          <w:lang w:val="en-US"/>
        </w:rPr>
        <w:t>Proceedings of the Zoological Society of London, 1868.</w:t>
      </w:r>
      <w:proofErr w:type="gramEnd"/>
      <w:r w:rsidR="00845B53">
        <w:rPr>
          <w:b w:val="0"/>
          <w:lang w:val="en-US"/>
        </w:rPr>
        <w:t xml:space="preserve"> p. 363-368.</w:t>
      </w:r>
    </w:p>
    <w:p w:rsidR="00991F4E" w:rsidRPr="00210A0D" w:rsidRDefault="00991F4E" w:rsidP="00C70EB0">
      <w:pPr>
        <w:pStyle w:val="Ttulo11"/>
        <w:jc w:val="both"/>
        <w:rPr>
          <w:b w:val="0"/>
        </w:rPr>
      </w:pPr>
      <w:proofErr w:type="gramStart"/>
      <w:r w:rsidRPr="005B4B2C">
        <w:rPr>
          <w:b w:val="0"/>
          <w:lang w:val="en-US"/>
        </w:rPr>
        <w:t>LATINI, A. O.; RESENDE, D. C.; POMBO, V. B.; CORADIN, L. (Org.).</w:t>
      </w:r>
      <w:proofErr w:type="gramEnd"/>
      <w:r w:rsidRPr="005B4B2C">
        <w:rPr>
          <w:b w:val="0"/>
          <w:lang w:val="en-US"/>
        </w:rPr>
        <w:t xml:space="preserve"> </w:t>
      </w:r>
      <w:r w:rsidRPr="00210A0D">
        <w:rPr>
          <w:b w:val="0"/>
        </w:rPr>
        <w:t>Espécies exóticas invasoras de águas continentais no Brasil. Brasília: MMA, 2016. 791p.</w:t>
      </w:r>
    </w:p>
    <w:p w:rsidR="00991F4E" w:rsidRPr="00991F4E" w:rsidRDefault="00991F4E" w:rsidP="00C70EB0">
      <w:pPr>
        <w:pStyle w:val="Ttulo11"/>
        <w:jc w:val="both"/>
        <w:rPr>
          <w:rFonts w:eastAsia="Times New Roman"/>
          <w:b w:val="0"/>
        </w:rPr>
      </w:pPr>
      <w:r w:rsidRPr="00991F4E">
        <w:rPr>
          <w:rFonts w:eastAsia="Times New Roman"/>
          <w:b w:val="0"/>
        </w:rPr>
        <w:t>LIMA, D.P.; SILVA, L.M.A.</w:t>
      </w:r>
      <w:r w:rsidR="003361F0">
        <w:rPr>
          <w:rFonts w:eastAsia="Times New Roman"/>
          <w:b w:val="0"/>
        </w:rPr>
        <w:t xml:space="preserve">; </w:t>
      </w:r>
      <w:r w:rsidRPr="00991F4E">
        <w:rPr>
          <w:rFonts w:eastAsia="Times New Roman"/>
          <w:b w:val="0"/>
        </w:rPr>
        <w:t>LIRA, A.C.S. Biologia populacional de </w:t>
      </w:r>
      <w:r w:rsidRPr="00991F4E">
        <w:rPr>
          <w:rFonts w:eastAsia="Times New Roman"/>
          <w:b w:val="0"/>
          <w:i/>
          <w:iCs/>
        </w:rPr>
        <w:t>Macrobrachium jelskii</w:t>
      </w:r>
      <w:r w:rsidRPr="00991F4E">
        <w:rPr>
          <w:rFonts w:eastAsia="Times New Roman"/>
          <w:b w:val="0"/>
        </w:rPr>
        <w:t> (Miers, 1778) (Crustacea, Decapoda, Palaemonidae) em uma planície inundável na Amazônia Oriental, Brasil. </w:t>
      </w:r>
      <w:r w:rsidRPr="00991F4E">
        <w:rPr>
          <w:rFonts w:eastAsia="Times New Roman"/>
          <w:b w:val="0"/>
          <w:i/>
          <w:iCs/>
        </w:rPr>
        <w:t>Biota Amazônia</w:t>
      </w:r>
      <w:r w:rsidRPr="00991F4E">
        <w:rPr>
          <w:rFonts w:eastAsia="Times New Roman"/>
          <w:b w:val="0"/>
        </w:rPr>
        <w:t xml:space="preserve">, </w:t>
      </w:r>
      <w:proofErr w:type="gramStart"/>
      <w:r w:rsidRPr="00991F4E">
        <w:rPr>
          <w:rFonts w:eastAsia="Times New Roman"/>
          <w:b w:val="0"/>
        </w:rPr>
        <w:t>3</w:t>
      </w:r>
      <w:proofErr w:type="gramEnd"/>
      <w:r w:rsidRPr="00991F4E">
        <w:rPr>
          <w:rFonts w:eastAsia="Times New Roman"/>
          <w:b w:val="0"/>
        </w:rPr>
        <w:t>: 11-22. 2013.</w:t>
      </w:r>
    </w:p>
    <w:p w:rsidR="00991F4E" w:rsidRPr="00991F4E" w:rsidRDefault="00991F4E" w:rsidP="00C70EB0">
      <w:pPr>
        <w:pStyle w:val="Ttulo11"/>
        <w:jc w:val="both"/>
        <w:rPr>
          <w:rFonts w:eastAsia="Times New Roman"/>
          <w:b w:val="0"/>
          <w:szCs w:val="23"/>
        </w:rPr>
      </w:pPr>
      <w:proofErr w:type="gramStart"/>
      <w:r w:rsidRPr="00991F4E">
        <w:rPr>
          <w:b w:val="0"/>
          <w:shd w:val="clear" w:color="auto" w:fill="FFFFFF"/>
        </w:rPr>
        <w:t>MELO,</w:t>
      </w:r>
      <w:proofErr w:type="gramEnd"/>
      <w:r w:rsidRPr="00991F4E">
        <w:rPr>
          <w:b w:val="0"/>
          <w:shd w:val="clear" w:color="auto" w:fill="FFFFFF"/>
        </w:rPr>
        <w:t xml:space="preserve"> G. A. S. </w:t>
      </w:r>
      <w:r w:rsidRPr="00991F4E">
        <w:rPr>
          <w:rFonts w:eastAsia="Times New Roman"/>
          <w:b w:val="0"/>
          <w:szCs w:val="23"/>
        </w:rPr>
        <w:t xml:space="preserve">Famílias Atyidae, Palaemonidae e Sergestidae. In Manual de identificação dos Crustacea Decapoda de água doce do Brasil (G.A.S. </w:t>
      </w:r>
      <w:proofErr w:type="gramStart"/>
      <w:r w:rsidRPr="00991F4E">
        <w:rPr>
          <w:rFonts w:eastAsia="Times New Roman"/>
          <w:b w:val="0"/>
          <w:szCs w:val="23"/>
        </w:rPr>
        <w:t>Melo,</w:t>
      </w:r>
      <w:proofErr w:type="gramEnd"/>
      <w:r w:rsidRPr="00991F4E">
        <w:rPr>
          <w:rFonts w:eastAsia="Times New Roman"/>
          <w:b w:val="0"/>
          <w:szCs w:val="23"/>
        </w:rPr>
        <w:t xml:space="preserve"> ed.). Edições Loyola, São Paulo, p.289-415.</w:t>
      </w:r>
      <w:r w:rsidR="001109E9">
        <w:rPr>
          <w:rFonts w:eastAsia="Times New Roman"/>
          <w:b w:val="0"/>
          <w:szCs w:val="23"/>
        </w:rPr>
        <w:t xml:space="preserve"> 2003.</w:t>
      </w:r>
    </w:p>
    <w:p w:rsidR="005B4B2C" w:rsidRPr="00137259" w:rsidRDefault="005B4B2C" w:rsidP="005B4B2C">
      <w:pPr>
        <w:pStyle w:val="Ttulo110"/>
        <w:jc w:val="both"/>
        <w:rPr>
          <w:b w:val="0"/>
        </w:rPr>
      </w:pPr>
      <w:r w:rsidRPr="00137259">
        <w:rPr>
          <w:b w:val="0"/>
          <w:shd w:val="clear" w:color="auto" w:fill="FFFFFF"/>
        </w:rPr>
        <w:t xml:space="preserve">SOARES, M. R. S. Biologia populacional de </w:t>
      </w:r>
      <w:r w:rsidRPr="00931106">
        <w:rPr>
          <w:b w:val="0"/>
          <w:i/>
          <w:iCs/>
          <w:shd w:val="clear" w:color="auto" w:fill="FFFFFF"/>
        </w:rPr>
        <w:t>Macrobrachium jelskii</w:t>
      </w:r>
      <w:r w:rsidRPr="00137259">
        <w:rPr>
          <w:b w:val="0"/>
          <w:shd w:val="clear" w:color="auto" w:fill="FFFFFF"/>
        </w:rPr>
        <w:t xml:space="preserve"> (Crustacea, Decapoda, Palaemonidae) na Represa de Três Marias e no Rio São Francisco, MG, Brasil. 2008. 89 f. Dissertação (Mestrado em Biologia Animal) - Instituto de Ciências Biológicas e da Saúde, Universidade Federal Rural do Rio de Janeiro, Seropédica - RJ, 2008.</w:t>
      </w:r>
    </w:p>
    <w:p w:rsidR="005B4B2C" w:rsidRDefault="005B4B2C" w:rsidP="005B4B2C">
      <w:pPr>
        <w:pStyle w:val="Ttulo110"/>
        <w:jc w:val="both"/>
        <w:rPr>
          <w:b w:val="0"/>
          <w:shd w:val="clear" w:color="auto" w:fill="FFFFFF"/>
        </w:rPr>
      </w:pPr>
      <w:r w:rsidRPr="00BF2F0B">
        <w:rPr>
          <w:b w:val="0"/>
          <w:shd w:val="clear" w:color="auto" w:fill="FFFFFF"/>
        </w:rPr>
        <w:t>SUASSUNA. C. C. A. Dano moral ambiental coletivo em populações atingidas por empreedimentos hidrelétricos: o caso de Petrolândia - PE. 2005. Dissertação (Mestrado</w:t>
      </w:r>
      <w:r>
        <w:rPr>
          <w:b w:val="0"/>
          <w:shd w:val="clear" w:color="auto" w:fill="FFFFFF"/>
        </w:rPr>
        <w:t xml:space="preserve"> em</w:t>
      </w:r>
      <w:r w:rsidRPr="00BF2F0B">
        <w:rPr>
          <w:b w:val="0"/>
          <w:shd w:val="clear" w:color="auto" w:fill="FFFFFF"/>
        </w:rPr>
        <w:t xml:space="preserve"> Programa de Pós-Graduação em Gestão e Políticas Ambientais</w:t>
      </w:r>
      <w:r>
        <w:rPr>
          <w:b w:val="0"/>
          <w:shd w:val="clear" w:color="auto" w:fill="FFFFFF"/>
        </w:rPr>
        <w:t xml:space="preserve">) - </w:t>
      </w:r>
      <w:r w:rsidRPr="00BF2F0B">
        <w:rPr>
          <w:b w:val="0"/>
          <w:shd w:val="clear" w:color="auto" w:fill="FFFFFF"/>
        </w:rPr>
        <w:t>Universidade Federal de Pernambuco, Recife, 2005.</w:t>
      </w:r>
    </w:p>
    <w:p w:rsidR="008433E6" w:rsidRDefault="00C70EB0" w:rsidP="008433E6">
      <w:pPr>
        <w:pStyle w:val="Ttulo11"/>
        <w:jc w:val="both"/>
        <w:rPr>
          <w:b w:val="0"/>
          <w:shd w:val="clear" w:color="auto" w:fill="FFFFFF"/>
        </w:rPr>
      </w:pPr>
      <w:r w:rsidRPr="00C70EB0">
        <w:rPr>
          <w:b w:val="0"/>
          <w:shd w:val="clear" w:color="auto" w:fill="FFFFFF"/>
        </w:rPr>
        <w:t>Z</w:t>
      </w:r>
      <w:r>
        <w:rPr>
          <w:b w:val="0"/>
          <w:shd w:val="clear" w:color="auto" w:fill="FFFFFF"/>
        </w:rPr>
        <w:t>EINEDDINE.</w:t>
      </w:r>
      <w:r w:rsidRPr="00C70EB0">
        <w:rPr>
          <w:b w:val="0"/>
          <w:shd w:val="clear" w:color="auto" w:fill="FFFFFF"/>
        </w:rPr>
        <w:t xml:space="preserve"> G</w:t>
      </w:r>
      <w:r>
        <w:rPr>
          <w:b w:val="0"/>
          <w:shd w:val="clear" w:color="auto" w:fill="FFFFFF"/>
        </w:rPr>
        <w:t xml:space="preserve">. </w:t>
      </w:r>
      <w:r w:rsidRPr="00C70EB0">
        <w:rPr>
          <w:b w:val="0"/>
          <w:shd w:val="clear" w:color="auto" w:fill="FFFFFF"/>
        </w:rPr>
        <w:t>C</w:t>
      </w:r>
      <w:r>
        <w:rPr>
          <w:b w:val="0"/>
          <w:shd w:val="clear" w:color="auto" w:fill="FFFFFF"/>
        </w:rPr>
        <w:t>.;</w:t>
      </w:r>
      <w:r w:rsidRPr="00C70EB0">
        <w:rPr>
          <w:b w:val="0"/>
          <w:shd w:val="clear" w:color="auto" w:fill="FFFFFF"/>
        </w:rPr>
        <w:t xml:space="preserve"> B</w:t>
      </w:r>
      <w:r>
        <w:rPr>
          <w:b w:val="0"/>
          <w:shd w:val="clear" w:color="auto" w:fill="FFFFFF"/>
        </w:rPr>
        <w:t>ARRELLA.</w:t>
      </w:r>
      <w:r w:rsidRPr="00C70EB0">
        <w:rPr>
          <w:b w:val="0"/>
          <w:shd w:val="clear" w:color="auto" w:fill="FFFFFF"/>
        </w:rPr>
        <w:t xml:space="preserve"> W</w:t>
      </w:r>
      <w:proofErr w:type="gramStart"/>
      <w:r>
        <w:rPr>
          <w:b w:val="0"/>
          <w:shd w:val="clear" w:color="auto" w:fill="FFFFFF"/>
        </w:rPr>
        <w:t>.;</w:t>
      </w:r>
      <w:proofErr w:type="gramEnd"/>
      <w:r w:rsidRPr="00C70EB0">
        <w:rPr>
          <w:b w:val="0"/>
          <w:shd w:val="clear" w:color="auto" w:fill="FFFFFF"/>
        </w:rPr>
        <w:t xml:space="preserve"> R</w:t>
      </w:r>
      <w:r>
        <w:rPr>
          <w:b w:val="0"/>
          <w:shd w:val="clear" w:color="auto" w:fill="FFFFFF"/>
        </w:rPr>
        <w:t>OTUNDO.</w:t>
      </w:r>
      <w:r w:rsidRPr="00C70EB0">
        <w:rPr>
          <w:b w:val="0"/>
          <w:shd w:val="clear" w:color="auto" w:fill="FFFFFF"/>
        </w:rPr>
        <w:t xml:space="preserve"> M</w:t>
      </w:r>
      <w:r>
        <w:rPr>
          <w:b w:val="0"/>
          <w:shd w:val="clear" w:color="auto" w:fill="FFFFFF"/>
        </w:rPr>
        <w:t xml:space="preserve">. </w:t>
      </w:r>
      <w:r w:rsidRPr="00C70EB0">
        <w:rPr>
          <w:b w:val="0"/>
          <w:shd w:val="clear" w:color="auto" w:fill="FFFFFF"/>
        </w:rPr>
        <w:t>M</w:t>
      </w:r>
      <w:r>
        <w:rPr>
          <w:b w:val="0"/>
          <w:shd w:val="clear" w:color="auto" w:fill="FFFFFF"/>
        </w:rPr>
        <w:t>.;</w:t>
      </w:r>
      <w:r w:rsidRPr="00C70EB0">
        <w:rPr>
          <w:b w:val="0"/>
          <w:shd w:val="clear" w:color="auto" w:fill="FFFFFF"/>
        </w:rPr>
        <w:t xml:space="preserve"> C</w:t>
      </w:r>
      <w:r>
        <w:rPr>
          <w:b w:val="0"/>
          <w:shd w:val="clear" w:color="auto" w:fill="FFFFFF"/>
        </w:rPr>
        <w:t>LAUZET</w:t>
      </w:r>
      <w:r w:rsidRPr="00C70EB0">
        <w:rPr>
          <w:b w:val="0"/>
          <w:shd w:val="clear" w:color="auto" w:fill="FFFFFF"/>
        </w:rPr>
        <w:t xml:space="preserve"> M</w:t>
      </w:r>
      <w:r>
        <w:rPr>
          <w:b w:val="0"/>
          <w:shd w:val="clear" w:color="auto" w:fill="FFFFFF"/>
        </w:rPr>
        <w:t>.;</w:t>
      </w:r>
      <w:proofErr w:type="gramStart"/>
      <w:r w:rsidRPr="00C70EB0">
        <w:rPr>
          <w:b w:val="0"/>
          <w:shd w:val="clear" w:color="auto" w:fill="FFFFFF"/>
        </w:rPr>
        <w:t xml:space="preserve">  </w:t>
      </w:r>
      <w:proofErr w:type="gramEnd"/>
      <w:r w:rsidRPr="00C70EB0">
        <w:rPr>
          <w:b w:val="0"/>
          <w:shd w:val="clear" w:color="auto" w:fill="FFFFFF"/>
        </w:rPr>
        <w:t>R</w:t>
      </w:r>
      <w:r>
        <w:rPr>
          <w:b w:val="0"/>
          <w:shd w:val="clear" w:color="auto" w:fill="FFFFFF"/>
        </w:rPr>
        <w:t>AMIRES</w:t>
      </w:r>
      <w:r w:rsidRPr="00C70EB0">
        <w:rPr>
          <w:b w:val="0"/>
          <w:shd w:val="clear" w:color="auto" w:fill="FFFFFF"/>
        </w:rPr>
        <w:t xml:space="preserve"> M.  Etnoecologia  da  pesca  de camarões usados  como  isca  viva  em  Barra  do  Uma,  Peruíbe  (SP/Brasil). Revista</w:t>
      </w:r>
      <w:proofErr w:type="gramStart"/>
      <w:r w:rsidRPr="00C70EB0">
        <w:rPr>
          <w:b w:val="0"/>
          <w:shd w:val="clear" w:color="auto" w:fill="FFFFFF"/>
        </w:rPr>
        <w:t xml:space="preserve">  </w:t>
      </w:r>
      <w:proofErr w:type="gramEnd"/>
      <w:r w:rsidRPr="00C70EB0">
        <w:rPr>
          <w:b w:val="0"/>
          <w:shd w:val="clear" w:color="auto" w:fill="FFFFFF"/>
        </w:rPr>
        <w:t xml:space="preserve">Brasileira  de Zoociências. </w:t>
      </w:r>
      <w:proofErr w:type="gramStart"/>
      <w:r w:rsidR="00845B53">
        <w:rPr>
          <w:b w:val="0"/>
          <w:shd w:val="clear" w:color="auto" w:fill="FFFFFF"/>
        </w:rPr>
        <w:t>2014/</w:t>
      </w:r>
      <w:r w:rsidRPr="00C70EB0">
        <w:rPr>
          <w:b w:val="0"/>
          <w:shd w:val="clear" w:color="auto" w:fill="FFFFFF"/>
        </w:rPr>
        <w:t>2015;</w:t>
      </w:r>
      <w:proofErr w:type="gramEnd"/>
      <w:r w:rsidRPr="00C70EB0">
        <w:rPr>
          <w:b w:val="0"/>
          <w:shd w:val="clear" w:color="auto" w:fill="FFFFFF"/>
        </w:rPr>
        <w:t>16(1):67-83.</w:t>
      </w:r>
    </w:p>
    <w:sectPr w:rsidR="008433E6" w:rsidSect="008433E6">
      <w:headerReference w:type="default" r:id="rId13"/>
      <w:pgSz w:w="11910" w:h="16840"/>
      <w:pgMar w:top="2269" w:right="1580" w:bottom="280" w:left="1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F8" w:rsidRDefault="002D02F8" w:rsidP="003006EC">
      <w:r>
        <w:separator/>
      </w:r>
    </w:p>
  </w:endnote>
  <w:endnote w:type="continuationSeparator" w:id="0">
    <w:p w:rsidR="002D02F8" w:rsidRDefault="002D02F8" w:rsidP="0030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F8" w:rsidRDefault="002D02F8" w:rsidP="003006EC">
      <w:r>
        <w:separator/>
      </w:r>
    </w:p>
  </w:footnote>
  <w:footnote w:type="continuationSeparator" w:id="0">
    <w:p w:rsidR="002D02F8" w:rsidRDefault="002D02F8" w:rsidP="00300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EC" w:rsidRDefault="0086496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5920" behindDoc="1" locked="0" layoutInCell="1" allowOverlap="1">
          <wp:simplePos x="0" y="0"/>
          <wp:positionH relativeFrom="page">
            <wp:posOffset>85725</wp:posOffset>
          </wp:positionH>
          <wp:positionV relativeFrom="page">
            <wp:posOffset>-9525</wp:posOffset>
          </wp:positionV>
          <wp:extent cx="7381875" cy="1419225"/>
          <wp:effectExtent l="1905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18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06EC"/>
    <w:rsid w:val="00020040"/>
    <w:rsid w:val="000324B5"/>
    <w:rsid w:val="0005121D"/>
    <w:rsid w:val="00073BC8"/>
    <w:rsid w:val="000836D9"/>
    <w:rsid w:val="000D5127"/>
    <w:rsid w:val="001109E9"/>
    <w:rsid w:val="00131E20"/>
    <w:rsid w:val="00137259"/>
    <w:rsid w:val="001743BE"/>
    <w:rsid w:val="001D5F74"/>
    <w:rsid w:val="00210A0D"/>
    <w:rsid w:val="00211B0F"/>
    <w:rsid w:val="00215130"/>
    <w:rsid w:val="00272FEB"/>
    <w:rsid w:val="002953BA"/>
    <w:rsid w:val="002A3B84"/>
    <w:rsid w:val="002D02F8"/>
    <w:rsid w:val="002D38A2"/>
    <w:rsid w:val="003006EC"/>
    <w:rsid w:val="003010E1"/>
    <w:rsid w:val="003361F0"/>
    <w:rsid w:val="003730B6"/>
    <w:rsid w:val="003B19F3"/>
    <w:rsid w:val="00404924"/>
    <w:rsid w:val="00444D52"/>
    <w:rsid w:val="00490725"/>
    <w:rsid w:val="00492695"/>
    <w:rsid w:val="004A78BA"/>
    <w:rsid w:val="004B2CF3"/>
    <w:rsid w:val="0050581A"/>
    <w:rsid w:val="00523117"/>
    <w:rsid w:val="0052473A"/>
    <w:rsid w:val="00571A37"/>
    <w:rsid w:val="00594EA6"/>
    <w:rsid w:val="005A1256"/>
    <w:rsid w:val="005B4B2C"/>
    <w:rsid w:val="006406E1"/>
    <w:rsid w:val="006B2C2D"/>
    <w:rsid w:val="006E3804"/>
    <w:rsid w:val="006F5C6E"/>
    <w:rsid w:val="00701406"/>
    <w:rsid w:val="007679CC"/>
    <w:rsid w:val="00804851"/>
    <w:rsid w:val="00811675"/>
    <w:rsid w:val="008404E8"/>
    <w:rsid w:val="008433E6"/>
    <w:rsid w:val="00845B53"/>
    <w:rsid w:val="0086496E"/>
    <w:rsid w:val="008A557A"/>
    <w:rsid w:val="00917262"/>
    <w:rsid w:val="009345AF"/>
    <w:rsid w:val="009603C8"/>
    <w:rsid w:val="009833F4"/>
    <w:rsid w:val="00991F4E"/>
    <w:rsid w:val="00A161D1"/>
    <w:rsid w:val="00A31EDC"/>
    <w:rsid w:val="00A65868"/>
    <w:rsid w:val="00A71484"/>
    <w:rsid w:val="00AC4FED"/>
    <w:rsid w:val="00B16274"/>
    <w:rsid w:val="00BE5025"/>
    <w:rsid w:val="00BF2F0B"/>
    <w:rsid w:val="00C533B0"/>
    <w:rsid w:val="00C55AFD"/>
    <w:rsid w:val="00C55D59"/>
    <w:rsid w:val="00C620E3"/>
    <w:rsid w:val="00C70EB0"/>
    <w:rsid w:val="00CA6E7A"/>
    <w:rsid w:val="00CD29CC"/>
    <w:rsid w:val="00CD2DED"/>
    <w:rsid w:val="00CE152A"/>
    <w:rsid w:val="00DB54F0"/>
    <w:rsid w:val="00DB5B98"/>
    <w:rsid w:val="00DE391E"/>
    <w:rsid w:val="00E005C7"/>
    <w:rsid w:val="00E7095B"/>
    <w:rsid w:val="00E84033"/>
    <w:rsid w:val="00E9516C"/>
    <w:rsid w:val="00EA2CA0"/>
    <w:rsid w:val="00EB05B3"/>
    <w:rsid w:val="00F0677E"/>
    <w:rsid w:val="00F076F1"/>
    <w:rsid w:val="00F54A4D"/>
    <w:rsid w:val="00F5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6EC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006EC"/>
    <w:pPr>
      <w:ind w:left="122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3006EC"/>
    <w:pPr>
      <w:ind w:left="12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3006EC"/>
    <w:pPr>
      <w:spacing w:before="92"/>
      <w:ind w:left="3463" w:right="533" w:hanging="2919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3006EC"/>
  </w:style>
  <w:style w:type="paragraph" w:customStyle="1" w:styleId="TableParagraph">
    <w:name w:val="Table Paragraph"/>
    <w:basedOn w:val="Normal"/>
    <w:uiPriority w:val="1"/>
    <w:qFormat/>
    <w:rsid w:val="003006EC"/>
    <w:pPr>
      <w:spacing w:line="232" w:lineRule="exact"/>
      <w:ind w:left="249" w:right="249"/>
      <w:jc w:val="center"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3B19F3"/>
    <w:rPr>
      <w:color w:val="0000FF"/>
      <w:u w:val="single"/>
    </w:rPr>
  </w:style>
  <w:style w:type="paragraph" w:styleId="SemEspaamento">
    <w:name w:val="No Spacing"/>
    <w:uiPriority w:val="1"/>
    <w:qFormat/>
    <w:rsid w:val="003B19F3"/>
    <w:pPr>
      <w:widowControl/>
      <w:autoSpaceDE/>
      <w:autoSpaceDN/>
    </w:pPr>
    <w:rPr>
      <w:rFonts w:eastAsiaTheme="minorEastAsia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19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9F3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CA6E7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71A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71A3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571A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1A37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D5F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5F7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5F74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5F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5F74"/>
    <w:rPr>
      <w:rFonts w:ascii="Arial MT" w:eastAsia="Arial MT" w:hAnsi="Arial MT" w:cs="Arial MT"/>
      <w:b/>
      <w:bCs/>
      <w:sz w:val="20"/>
      <w:szCs w:val="20"/>
      <w:lang w:val="pt-PT"/>
    </w:rPr>
  </w:style>
  <w:style w:type="paragraph" w:customStyle="1" w:styleId="Ttulo110">
    <w:name w:val="Título 11"/>
    <w:basedOn w:val="Normal"/>
    <w:uiPriority w:val="1"/>
    <w:qFormat/>
    <w:rsid w:val="005B4B2C"/>
    <w:pPr>
      <w:ind w:left="122"/>
      <w:outlineLvl w:val="1"/>
    </w:pPr>
    <w:rPr>
      <w:rFonts w:ascii="Arial" w:eastAsia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Palaemonida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Perei%C3%B3po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Fêmeas ovígeras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Abril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Plan1!$A$2:$A$5</c:f>
              <c:strCache>
                <c:ptCount val="4"/>
                <c:pt idx="0">
                  <c:v>Ponto 01</c:v>
                </c:pt>
                <c:pt idx="1">
                  <c:v>Ponto 03</c:v>
                </c:pt>
                <c:pt idx="2">
                  <c:v>Ponto 04</c:v>
                </c:pt>
                <c:pt idx="3">
                  <c:v>Ponto 06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47-004F-8544-13EECFB13361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Maio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Plan1!$A$2:$A$5</c:f>
              <c:strCache>
                <c:ptCount val="4"/>
                <c:pt idx="0">
                  <c:v>Ponto 01</c:v>
                </c:pt>
                <c:pt idx="1">
                  <c:v>Ponto 03</c:v>
                </c:pt>
                <c:pt idx="2">
                  <c:v>Ponto 04</c:v>
                </c:pt>
                <c:pt idx="3">
                  <c:v>Ponto 06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  <c:pt idx="0">
                  <c:v>25</c:v>
                </c:pt>
                <c:pt idx="1">
                  <c:v>2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47-004F-8544-13EECFB13361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Junho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Plan1!$A$2:$A$5</c:f>
              <c:strCache>
                <c:ptCount val="4"/>
                <c:pt idx="0">
                  <c:v>Ponto 01</c:v>
                </c:pt>
                <c:pt idx="1">
                  <c:v>Ponto 03</c:v>
                </c:pt>
                <c:pt idx="2">
                  <c:v>Ponto 04</c:v>
                </c:pt>
                <c:pt idx="3">
                  <c:v>Ponto 06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16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947-004F-8544-13EECFB133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0198144"/>
        <c:axId val="93770496"/>
      </c:barChart>
      <c:catAx>
        <c:axId val="110198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3770496"/>
        <c:crosses val="autoZero"/>
        <c:auto val="1"/>
        <c:lblAlgn val="ctr"/>
        <c:lblOffset val="100"/>
        <c:noMultiLvlLbl val="0"/>
      </c:catAx>
      <c:valAx>
        <c:axId val="937704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01981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Fêmeas</a:t>
            </a:r>
            <a:r>
              <a:rPr lang="pt-BR" baseline="0"/>
              <a:t> não ovígeras</a:t>
            </a:r>
            <a:endParaRPr lang="pt-BR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Abril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Plan1!$A$2:$A$5</c:f>
              <c:strCache>
                <c:ptCount val="4"/>
                <c:pt idx="0">
                  <c:v>Ponto 01</c:v>
                </c:pt>
                <c:pt idx="1">
                  <c:v>Ponto 03</c:v>
                </c:pt>
                <c:pt idx="2">
                  <c:v>Ponto 04</c:v>
                </c:pt>
                <c:pt idx="3">
                  <c:v>Ponto 06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7D-AE4D-971D-2B7D1AE7935F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Maio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Plan1!$A$2:$A$5</c:f>
              <c:strCache>
                <c:ptCount val="4"/>
                <c:pt idx="0">
                  <c:v>Ponto 01</c:v>
                </c:pt>
                <c:pt idx="1">
                  <c:v>Ponto 03</c:v>
                </c:pt>
                <c:pt idx="2">
                  <c:v>Ponto 04</c:v>
                </c:pt>
                <c:pt idx="3">
                  <c:v>Ponto 06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  <c:pt idx="0">
                  <c:v>25</c:v>
                </c:pt>
                <c:pt idx="1">
                  <c:v>3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37D-AE4D-971D-2B7D1AE7935F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Junho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Plan1!$A$2:$A$5</c:f>
              <c:strCache>
                <c:ptCount val="4"/>
                <c:pt idx="0">
                  <c:v>Ponto 01</c:v>
                </c:pt>
                <c:pt idx="1">
                  <c:v>Ponto 03</c:v>
                </c:pt>
                <c:pt idx="2">
                  <c:v>Ponto 04</c:v>
                </c:pt>
                <c:pt idx="3">
                  <c:v>Ponto 06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  <c:pt idx="0">
                  <c:v>10</c:v>
                </c:pt>
                <c:pt idx="1">
                  <c:v>2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37D-AE4D-971D-2B7D1AE793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0347008"/>
        <c:axId val="110348544"/>
      </c:barChart>
      <c:catAx>
        <c:axId val="1103470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0348544"/>
        <c:crosses val="autoZero"/>
        <c:auto val="1"/>
        <c:lblAlgn val="ctr"/>
        <c:lblOffset val="100"/>
        <c:noMultiLvlLbl val="0"/>
      </c:catAx>
      <c:valAx>
        <c:axId val="1103485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034700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D445-96B2-4981-B3D4-12FDBC63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1557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Ávila Daniel</dc:creator>
  <cp:lastModifiedBy>ANTHONY ALVES DE AMORIM</cp:lastModifiedBy>
  <cp:revision>4</cp:revision>
  <dcterms:created xsi:type="dcterms:W3CDTF">2022-09-04T19:06:00Z</dcterms:created>
  <dcterms:modified xsi:type="dcterms:W3CDTF">2022-09-06T16:30:00Z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2022-08-22T00:00:00Z</vt:filetime>
  </property>
</Properties>
</file>