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3367A" w14:textId="77777777" w:rsidR="00C0112A" w:rsidRDefault="00C0112A" w:rsidP="00C0112A">
      <w:pPr>
        <w:tabs>
          <w:tab w:val="left" w:pos="567"/>
        </w:tabs>
        <w:spacing w:beforeAutospacing="1" w:after="100" w:afterAutospacing="1" w:line="24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905B496" w14:textId="78DC7D63" w:rsidR="00DA0C47" w:rsidRPr="00D71D44" w:rsidRDefault="00DA0C47" w:rsidP="00C0112A">
      <w:pPr>
        <w:tabs>
          <w:tab w:val="left" w:pos="567"/>
        </w:tabs>
        <w:spacing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D71D44">
        <w:rPr>
          <w:rFonts w:ascii="Times New Roman" w:hAnsi="Times New Roman" w:cs="Times New Roman"/>
          <w:b/>
          <w:bCs/>
          <w:sz w:val="24"/>
          <w:szCs w:val="24"/>
        </w:rPr>
        <w:t>EDUCAÇÃO POPULAR EM SAÚDE FORTALECE AGENTES COMUNITÁRIOS NA PREVENÇÃO DO CÂNCER DO COLO DO ÚTERO</w:t>
      </w:r>
    </w:p>
    <w:p w14:paraId="359A377F" w14:textId="14514CC2" w:rsidR="00AE3B97" w:rsidRPr="008B35C1" w:rsidRDefault="00DA0C47" w:rsidP="00C0112A">
      <w:pPr>
        <w:tabs>
          <w:tab w:val="left" w:pos="567"/>
        </w:tabs>
        <w:spacing w:line="240" w:lineRule="auto"/>
        <w:ind w:firstLine="720"/>
        <w:jc w:val="both"/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F79A5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INTRODUÇÃO</w:t>
      </w:r>
      <w:r w:rsidR="00BF79A5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AE3B97" w:rsidRPr="00AE3B97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O câncer do colo do útero (CCU) constitui importante problema de saúde pública no Brasil, especialmente em regiões marcadas por desigualdades sociais e dificuldades de acesso aos serviços de saúde. Na Região Norte, apresenta taxas de incidência e mortalidade superiores à média nacional, evidenciando desafios relacionados à prevenção, rastreamento e continuidade do cuidado. Na Atenção Primária à Saúde (APS), a prevenção do CCU ocorre principalmente por meio da vacinação contra o Papilomavírus Humano (HPV) e da realização periódica do exame </w:t>
      </w:r>
      <w:proofErr w:type="spellStart"/>
      <w:r w:rsidR="00AE3B97" w:rsidRPr="00AE3B97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citopatológico</w:t>
      </w:r>
      <w:proofErr w:type="spellEnd"/>
      <w:r w:rsidR="00AE3B97" w:rsidRPr="00AE3B97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do colo do útero (PCCU). Nesse contexto, os Agentes Comunitários de Saúde (ACS) desempenham papel estratégico na Estratégia Saúde da Família (ESF), atuando na mobilização comunitária, orientação das usuárias e identificação de situações de vulnerabilidade. Entretanto, muitos profissionais enfrentam dificuldades relacionadas ao acesso a processos formativos contínuos sobre a Linha de Cuidado do CCU, comprometendo a efetividade das ações educativas no território. A Educação Permanente em Saúde (EPS) possibilita processos formativos articulados às necessidades concretas do cotidiano profissional. Associada à Educação Popular em Saúde, fundamentada no diálogo e na valorização dos saberes populares, favorece práticas educativas mais participativas e emancipatórias. Ações extensionistas voltadas aos ACS podem fortalecer o protagonismo desses trabalhadores e contribuir para a qualificação das práticas educativas na APS.</w:t>
      </w:r>
      <w:r w:rsidR="00AE3B97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Pr="00BF79A5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OBJETIVO</w:t>
      </w:r>
      <w:r w:rsidR="00BF79A5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AE3B97">
        <w:rPr>
          <w:rFonts w:ascii="Times New Roman" w:eastAsia="Times New Roman" w:hAnsi="Times New Roman" w:cs="Times New Roman"/>
          <w:sz w:val="24"/>
          <w:szCs w:val="24"/>
        </w:rPr>
        <w:t>Relatar a experiência de uma ação de Educação Permanente em Saúde desenvolvida com Agentes Comunitários de Saúde de uma Unidade de Saúde da Família, utilizando metodologias ativas e princípios da Educação Popular em Saúde para fortalecer conhecimentos e práticas relacionadas à prevenção do câncer do colo do útero.</w:t>
      </w:r>
      <w:r w:rsidR="00AE3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79A5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MÉTODO</w:t>
      </w:r>
      <w:r w:rsidR="00BF79A5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AE3B97">
        <w:rPr>
          <w:rFonts w:ascii="Times New Roman" w:eastAsia="Times New Roman" w:hAnsi="Times New Roman" w:cs="Times New Roman"/>
          <w:sz w:val="24"/>
          <w:szCs w:val="24"/>
        </w:rPr>
        <w:t>Trata-se de um relato de experiência descritivo, de abordagem qualitativa, referente a uma ação extensionista desenvolvida no âmbito do Programa de Ação Comunitária (PROEX-PAC) da Universidade do Estado do Pará (UEPA), Campus Bragança, entre maio e agosto de 2025, em uma Unidade de Saúde da Família do município de Bragança, Pará. Participaram 10 Agentes Comunitários de Saúde vinculados à unidade. A ação foi desenvolvida por acadêmicas do curso de Enfermagem, bolsistas e voluntárias, sob orientação docente.</w:t>
      </w:r>
      <w:r w:rsidR="00AE3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3B97">
        <w:rPr>
          <w:rFonts w:ascii="Times New Roman" w:eastAsia="Times New Roman" w:hAnsi="Times New Roman" w:cs="Times New Roman"/>
          <w:sz w:val="24"/>
          <w:szCs w:val="24"/>
        </w:rPr>
        <w:t>O planejamento ocorreu de forma participativa, considerando as dificuldades dos ACS na abordagem educativa sobre prevenção do CCU. Foi elaborada uma cartilha educativa ilustrativa sobre a Linha de Cuidado do CCU, contemplando vacinação contra HPV, rastreamento por meio do PCCU, fatores de risco, sinais de alerta e importância do diagnóstico precoce.</w:t>
      </w:r>
      <w:r w:rsidR="00AE3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3B97">
        <w:rPr>
          <w:rFonts w:ascii="Times New Roman" w:eastAsia="Times New Roman" w:hAnsi="Times New Roman" w:cs="Times New Roman"/>
          <w:sz w:val="24"/>
          <w:szCs w:val="24"/>
        </w:rPr>
        <w:t>O encontro formativo teve duração de oito horas e foi estruturado em três momentos metodológicos. O primeiro correspondeu ao acolhimento e sensibilização por meio da dinâmica 'Mural: o que ser ACS representa para você?', favorecendo a valorização das experiências coletivas. O segundo momento foi a 'Teia do Conhecimento', estratégia lúdico-pedagógica voltada à problematização das práticas relacionadas à prevenção do CCU, abordando vacinação contra HPV, realização do PCCU, barreiras culturais e utilização do teste molecular DNA-HPV. O terceiro consistiu na devolutiva coletiva e entrega da cartilha educativa, seguida de avaliação coletiva da atividade.</w:t>
      </w:r>
      <w:r w:rsidR="00AE3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3B97">
        <w:rPr>
          <w:rFonts w:ascii="Times New Roman" w:eastAsia="Times New Roman" w:hAnsi="Times New Roman" w:cs="Times New Roman"/>
          <w:sz w:val="24"/>
          <w:szCs w:val="24"/>
        </w:rPr>
        <w:t xml:space="preserve">A coleta de dados ocorreu por meio de observação participante e registros em diário de campo. A análise foi realizada de forma descritiva e reflexiva, à luz da literatura científica relacionada à EPS, </w:t>
      </w:r>
      <w:r w:rsidR="00AE3B97">
        <w:rPr>
          <w:rFonts w:ascii="Times New Roman" w:eastAsia="Times New Roman" w:hAnsi="Times New Roman" w:cs="Times New Roman"/>
          <w:sz w:val="24"/>
          <w:szCs w:val="24"/>
        </w:rPr>
        <w:lastRenderedPageBreak/>
        <w:t>Educação Popular em Saúde e atuação dos ACS na prevenção do CCU. Todos os participantes foram convidados voluntariamente, respeitando-se os princípios éticos relacionados ao acolhimento e valorização das experiências.</w:t>
      </w:r>
      <w:r w:rsidR="00AE3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79A5" w:rsidRPr="00BF79A5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Pr="00BF79A5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ESULTADOS E DISCUSSÃO</w:t>
      </w:r>
      <w:r w:rsidR="00BF79A5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AE3B97">
        <w:rPr>
          <w:rFonts w:ascii="Times New Roman" w:eastAsia="Times New Roman" w:hAnsi="Times New Roman" w:cs="Times New Roman"/>
          <w:sz w:val="24"/>
          <w:szCs w:val="24"/>
        </w:rPr>
        <w:t>A ação contou com participação ativa dos 10 ACS, evidenciando interesse dos profissionais pela temática e reconhecimento da importância da formação continuada. No momento de acolhimento, destacaram-se palavras associadas ao cuidado, responsabilidade e compromisso social, reforçando a percepção dos ACS sobre seu papel como mediadores entre serviços de saúde e comunidade.</w:t>
      </w:r>
      <w:r w:rsidR="00AE3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3B97">
        <w:rPr>
          <w:rFonts w:ascii="Times New Roman" w:eastAsia="Times New Roman" w:hAnsi="Times New Roman" w:cs="Times New Roman"/>
          <w:sz w:val="24"/>
          <w:szCs w:val="24"/>
        </w:rPr>
        <w:t>Durante a 'Teia do Conhecimento', verificou-se ampliação dos saberes relacionados à prevenção do CCU. Oito dos dez participantes relataram sentir-se mais seguros para orientar mulheres sobre prevenção e rastreamento após a atividade. Alguns ACS destacaram dificuldades anteriores para abordar o tema durante visitas domiciliares, especialmente diante da desinformação e da resistência de algumas usuárias em realizar o exame preventivo.</w:t>
      </w:r>
      <w:r w:rsidR="00AE3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3B97">
        <w:rPr>
          <w:rFonts w:ascii="Times New Roman" w:eastAsia="Times New Roman" w:hAnsi="Times New Roman" w:cs="Times New Roman"/>
          <w:sz w:val="24"/>
          <w:szCs w:val="24"/>
        </w:rPr>
        <w:t>Os participantes problematizaram desafios presentes no território, identificando medo, vergonha, desinformação e barreiras culturais como fatores que dificultam a adesão às ações preventivas. Esses achados dialogam com estudos que apontam aspectos socioculturais e fragilidades no acesso à informação como determinantes da baixa cobertura do PCCU em diferentes regiões do Brasil.</w:t>
      </w:r>
      <w:r w:rsidR="00AE3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3B97">
        <w:rPr>
          <w:rFonts w:ascii="Times New Roman" w:eastAsia="Times New Roman" w:hAnsi="Times New Roman" w:cs="Times New Roman"/>
          <w:sz w:val="24"/>
          <w:szCs w:val="24"/>
        </w:rPr>
        <w:t xml:space="preserve">As metodologias ativas favoreceram participação coletiva e troca horizontal de saberes. </w:t>
      </w:r>
      <w:r w:rsidR="000C2625" w:rsidRPr="000C2625">
        <w:rPr>
          <w:rFonts w:ascii="Times New Roman" w:hAnsi="Times New Roman" w:cs="Times New Roman"/>
          <w:sz w:val="24"/>
          <w:szCs w:val="24"/>
        </w:rPr>
        <w:t>Os ACS compartilharam experiências do território e refletiram criticamente sobre suas práticas</w:t>
      </w:r>
      <w:r w:rsidR="00AE3B97" w:rsidRPr="000C2625">
        <w:rPr>
          <w:rFonts w:ascii="Times New Roman" w:eastAsia="Times New Roman" w:hAnsi="Times New Roman" w:cs="Times New Roman"/>
          <w:sz w:val="24"/>
          <w:szCs w:val="24"/>
        </w:rPr>
        <w:t>.</w:t>
      </w:r>
      <w:r w:rsidR="00AE3B97">
        <w:rPr>
          <w:rFonts w:ascii="Times New Roman" w:eastAsia="Times New Roman" w:hAnsi="Times New Roman" w:cs="Times New Roman"/>
          <w:sz w:val="24"/>
          <w:szCs w:val="24"/>
        </w:rPr>
        <w:t xml:space="preserve"> A cartilha educativa foi avaliada positivamente, sendo reconhecida como ferramenta acessível para apoio às ações educativas durante visitas domiciliares, grupos educativos e ações coletivas na unidade. Os profissionais destacaram que materiais simples e contextualizados facilitam o diálogo com a população e ampliam a compreensão das informações sobre prevenção do CCU.</w:t>
      </w:r>
      <w:r w:rsidR="00AE3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3B97">
        <w:rPr>
          <w:rFonts w:ascii="Times New Roman" w:eastAsia="Times New Roman" w:hAnsi="Times New Roman" w:cs="Times New Roman"/>
          <w:sz w:val="24"/>
          <w:szCs w:val="24"/>
        </w:rPr>
        <w:t>A experiência possibilitou ainda o fortalecimento da integração ensino-serviço-comunidade, proporcionando às acadêmicas vivências relacionadas à educação em saúde e ao trabalho interprofissional na APS. As discussões permitiram refletir sobre desafios estruturais, como limitações de acesso aos serviços especializados e fragilidades na continuidade do cuidado, reforçando a necessidade de fortalecimento das políticas públicas voltadas à saúde da mulher.</w:t>
      </w:r>
      <w:r w:rsidR="00AE3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3B97">
        <w:rPr>
          <w:rFonts w:ascii="Times New Roman" w:eastAsia="Times New Roman" w:hAnsi="Times New Roman" w:cs="Times New Roman"/>
          <w:sz w:val="24"/>
          <w:szCs w:val="24"/>
        </w:rPr>
        <w:t>Como limitação, destaca-se a realização de apenas um encontro formativo e a ausência de acompanhamento longitudinal, dificultando a avaliação dos impactos sobre mudanças efetivas nas práticas dos ACS. Ressalta-se, portanto, a importância de ações contínuas de EPS voltadas aos trabalhadores da APS.</w:t>
      </w:r>
      <w:r w:rsidR="00AE3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79A5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CONSIDERAÇÕES FINAIS</w:t>
      </w:r>
      <w:r w:rsidR="00BF79A5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AE3B97">
        <w:rPr>
          <w:rFonts w:ascii="Times New Roman" w:eastAsia="Times New Roman" w:hAnsi="Times New Roman" w:cs="Times New Roman"/>
          <w:sz w:val="24"/>
          <w:szCs w:val="24"/>
        </w:rPr>
        <w:t>A experiência demonstrou que ações de Educação Permanente fundamentadas na Educação Popular em Saúde e em metodologias ativas constituem estratégias relevantes para qualificação dos ACS na prevenção do CCU. O encontro possibilitou ampliação dos conhecimentos preventivos, fortalecimento do protagonismo dos ACS e reflexão crítica sobre os desafios territoriais. As metodologias participativas favoreceram troca horizontal de saberes e construção coletiva do conhecimento, evidenciando o potencial dessas estratégias para fortalecer as práticas educativas na APS.</w:t>
      </w:r>
      <w:r w:rsidR="00AE3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3B97">
        <w:rPr>
          <w:rFonts w:ascii="Times New Roman" w:eastAsia="Times New Roman" w:hAnsi="Times New Roman" w:cs="Times New Roman"/>
          <w:sz w:val="24"/>
          <w:szCs w:val="24"/>
        </w:rPr>
        <w:t>A ação apresenta potencial de replicabilidade em outras unidades do SUS, contribuindo para o fortalecimento das estratégias de prevenção do CCU. Reforça ainda a necessidade de ampliação de investimentos em processos contínuos de EPS para trabalhadores da APS, especialmente em regiões historicamente marcadas por desigualdades sociais, consolidando os princípios do SUS — integralidade, equidade e participação social.</w:t>
      </w:r>
      <w:r w:rsidR="00AE3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79A5" w:rsidRPr="00BF79A5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BF79A5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ONTRIBUIÇÕES PARA A ENFERMAGEM</w:t>
      </w:r>
      <w:r w:rsidR="00BF79A5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AE3B97" w:rsidRPr="008B35C1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A experiência apresenta contribuições relevantes para a Enfermagem nos campos da formação, assistência e extensão universitária. No âmbito formativo, possibilitou às acadêmicas de Enfermagem o </w:t>
      </w:r>
      <w:r w:rsidR="00AE3B97" w:rsidRPr="008B35C1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lastRenderedPageBreak/>
        <w:t>desenvolvimento de competências relacionadas ao planejamento e execução de ações educativas em saúde coletiva, fortalecimento do trabalho em equipe e utilização de metodologias participativas na APS. Na dimensão assistencial, a ação contribuiu para qualificação dos ACS enquanto parceiros estratégicos da equipe de Enfermagem na Estratégia Saúde da Família, fortalecendo o trabalho interprofissional e a integração ensino-serviço-comunidade. Além disso, favoreceu a ampliação das ações educativas relacionadas à saúde da mulher e prevenção do câncer do colo do útero no território. O relato também contribui para produção de conhecimentos sobre utilização da Educação Popular em Saúde e metodologias ativas na qualificação de trabalhadores da APS, reforçando a importância da Educação Permanente como estratégia de fortalecimento do SUS e promoção do cuidado integral à população.</w:t>
      </w:r>
    </w:p>
    <w:p w14:paraId="25AE3D56" w14:textId="784FCD9D" w:rsidR="00DA0C47" w:rsidRPr="0009257C" w:rsidRDefault="00DA0C47" w:rsidP="00C0112A">
      <w:pPr>
        <w:tabs>
          <w:tab w:val="left" w:pos="567"/>
        </w:tabs>
        <w:spacing w:line="240" w:lineRule="auto"/>
        <w:ind w:firstLine="720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4FCCC7B" w14:textId="048CE353" w:rsidR="00DA062F" w:rsidRDefault="00483094" w:rsidP="00C0112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625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Descritores (</w:t>
      </w:r>
      <w:proofErr w:type="spellStart"/>
      <w:r w:rsidRPr="000C2625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DeCS</w:t>
      </w:r>
      <w:proofErr w:type="spellEnd"/>
      <w:r w:rsidRPr="000C2625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– ID): </w:t>
      </w:r>
      <w:r w:rsidR="00AE3B97" w:rsidRPr="000C2625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Agente Comunitária de Saúde</w:t>
      </w:r>
      <w:r w:rsidR="00DA062F" w:rsidRPr="000C2625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: </w:t>
      </w:r>
      <w:r w:rsidR="00AE3B97" w:rsidRPr="000C2625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D003150</w:t>
      </w:r>
      <w:r w:rsidR="00AE3B97" w:rsidRPr="000C2625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, </w:t>
      </w:r>
      <w:r w:rsidR="00AE3B97" w:rsidRPr="000C2625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Neoplasias do Colo do Útero</w:t>
      </w:r>
      <w:r w:rsidR="00DA062F" w:rsidRPr="000C2625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: </w:t>
      </w:r>
      <w:r w:rsidR="00AE3B97" w:rsidRPr="000C2625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D002583</w:t>
      </w:r>
      <w:r w:rsidR="00DA062F" w:rsidRPr="000C2625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e </w:t>
      </w:r>
      <w:r w:rsidR="00DA062F" w:rsidRPr="000C2625">
        <w:rPr>
          <w:rFonts w:ascii="Times New Roman" w:hAnsi="Times New Roman" w:cs="Times New Roman"/>
          <w:sz w:val="24"/>
          <w:szCs w:val="24"/>
        </w:rPr>
        <w:t>Enfermagem</w:t>
      </w:r>
      <w:r w:rsidR="00DA062F" w:rsidRPr="000C2625">
        <w:rPr>
          <w:rFonts w:ascii="Times New Roman" w:hAnsi="Times New Roman" w:cs="Times New Roman"/>
          <w:sz w:val="24"/>
          <w:szCs w:val="24"/>
        </w:rPr>
        <w:t xml:space="preserve">: </w:t>
      </w:r>
      <w:r w:rsidR="00DA062F" w:rsidRPr="000C2625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D009729</w:t>
      </w:r>
      <w:r w:rsidR="00DA062F" w:rsidRPr="000C262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BF9966F" w14:textId="77777777" w:rsidR="00C0112A" w:rsidRPr="000C2625" w:rsidRDefault="00C0112A" w:rsidP="00C0112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367E51" w14:textId="210CEB68" w:rsidR="00483094" w:rsidRDefault="00483094" w:rsidP="00C0112A">
      <w:pPr>
        <w:pStyle w:val="Corpodetexto"/>
        <w:tabs>
          <w:tab w:val="left" w:pos="567"/>
        </w:tabs>
        <w:spacing w:after="100" w:line="240" w:lineRule="auto"/>
        <w:jc w:val="both"/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Modalidade: </w:t>
      </w:r>
      <w:r w:rsidRPr="00AE3B97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estudo original </w:t>
      </w:r>
      <w:proofErr w:type="gramStart"/>
      <w:r w:rsidRPr="00AE3B97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( </w:t>
      </w:r>
      <w:r w:rsidR="00AE3B97" w:rsidRPr="00AE3B97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x</w:t>
      </w:r>
      <w:proofErr w:type="gramEnd"/>
      <w:r w:rsidRPr="00AE3B97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) relato de experiência (  ) revisão da literatura (  )</w:t>
      </w:r>
    </w:p>
    <w:p w14:paraId="07AFA869" w14:textId="77777777" w:rsidR="00C0112A" w:rsidRPr="00AE3B97" w:rsidRDefault="00C0112A" w:rsidP="00C0112A">
      <w:pPr>
        <w:pStyle w:val="Corpodetexto"/>
        <w:tabs>
          <w:tab w:val="left" w:pos="567"/>
        </w:tabs>
        <w:spacing w:after="100" w:line="240" w:lineRule="auto"/>
        <w:jc w:val="both"/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</w:p>
    <w:p w14:paraId="3E98BA0D" w14:textId="7A94D682" w:rsidR="00483094" w:rsidRPr="00AE3B97" w:rsidRDefault="00483094" w:rsidP="00C0112A">
      <w:pPr>
        <w:pStyle w:val="Corpodetexto"/>
        <w:tabs>
          <w:tab w:val="left" w:pos="567"/>
        </w:tabs>
        <w:spacing w:after="10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3B97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Eixo Temático:  </w:t>
      </w:r>
      <w:r w:rsidR="00AE3B97" w:rsidRPr="00AE3B97">
        <w:rPr>
          <w:rFonts w:ascii="Times New Roman" w:hAnsi="Times New Roman" w:cs="Times New Roman"/>
          <w:sz w:val="24"/>
          <w:szCs w:val="24"/>
        </w:rPr>
        <w:t>Eixo 9 – Reflexões e experiências educativas inovadoras na Enfermagem</w:t>
      </w:r>
    </w:p>
    <w:p w14:paraId="04264949" w14:textId="6F8C64BF" w:rsidR="00483094" w:rsidRDefault="00483094" w:rsidP="00C0112A">
      <w:pPr>
        <w:pStyle w:val="Corpodetexto"/>
        <w:tabs>
          <w:tab w:val="left" w:pos="567"/>
        </w:tabs>
        <w:spacing w:after="10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BD630B6" w14:textId="77777777" w:rsidR="00483094" w:rsidRPr="0009257C" w:rsidRDefault="00483094" w:rsidP="00C0112A">
      <w:pPr>
        <w:pStyle w:val="Corpodetexto"/>
        <w:tabs>
          <w:tab w:val="left" w:pos="567"/>
        </w:tabs>
        <w:spacing w:after="100" w:line="240" w:lineRule="auto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REFERÊNCIAS: </w:t>
      </w:r>
    </w:p>
    <w:p w14:paraId="6FA33C1D" w14:textId="6D97E285" w:rsidR="00DA062F" w:rsidRPr="00C0112A" w:rsidRDefault="00DA062F" w:rsidP="00C0112A">
      <w:pPr>
        <w:tabs>
          <w:tab w:val="left" w:pos="567"/>
        </w:tabs>
        <w:spacing w:before="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112A">
        <w:rPr>
          <w:rFonts w:ascii="Times New Roman" w:eastAsia="Times New Roman" w:hAnsi="Times New Roman" w:cs="Times New Roman"/>
          <w:sz w:val="24"/>
          <w:szCs w:val="24"/>
        </w:rPr>
        <w:t>Instituto Nacional de Câncer José Alencar Gomes da Silva. Estimativa 2023: incidência de câncer no Brasil [Internet]. Rio de Janeiro: INCA; 2022 [</w:t>
      </w:r>
      <w:proofErr w:type="spellStart"/>
      <w:r w:rsidRPr="00C0112A">
        <w:rPr>
          <w:rFonts w:ascii="Times New Roman" w:eastAsia="Times New Roman" w:hAnsi="Times New Roman" w:cs="Times New Roman"/>
          <w:sz w:val="24"/>
          <w:szCs w:val="24"/>
        </w:rPr>
        <w:t>cited</w:t>
      </w:r>
      <w:proofErr w:type="spellEnd"/>
      <w:r w:rsidRPr="00C0112A">
        <w:rPr>
          <w:rFonts w:ascii="Times New Roman" w:eastAsia="Times New Roman" w:hAnsi="Times New Roman" w:cs="Times New Roman"/>
          <w:sz w:val="24"/>
          <w:szCs w:val="24"/>
        </w:rPr>
        <w:t xml:space="preserve"> 2026 May 5]. </w:t>
      </w:r>
      <w:proofErr w:type="spellStart"/>
      <w:r w:rsidRPr="00C0112A">
        <w:rPr>
          <w:rFonts w:ascii="Times New Roman" w:eastAsia="Times New Roman" w:hAnsi="Times New Roman" w:cs="Times New Roman"/>
          <w:sz w:val="24"/>
          <w:szCs w:val="24"/>
        </w:rPr>
        <w:t>Available</w:t>
      </w:r>
      <w:proofErr w:type="spellEnd"/>
      <w:r w:rsidRPr="00C011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112A">
        <w:rPr>
          <w:rFonts w:ascii="Times New Roman" w:eastAsia="Times New Roman" w:hAnsi="Times New Roman" w:cs="Times New Roman"/>
          <w:sz w:val="24"/>
          <w:szCs w:val="24"/>
        </w:rPr>
        <w:t>from</w:t>
      </w:r>
      <w:proofErr w:type="spellEnd"/>
      <w:r w:rsidRPr="00C0112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7" w:tgtFrame="_new" w:history="1">
        <w:r w:rsidRPr="00C011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https://www.inca.gov.br/publicacoes/livros/estimativa-2023-incidencia-de-cancer-no-brasil</w:t>
        </w:r>
      </w:hyperlink>
      <w:r w:rsidRPr="00C011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6D9ECA4" w14:textId="77777777" w:rsidR="00DA062F" w:rsidRPr="00DA062F" w:rsidRDefault="00DA062F" w:rsidP="00C0112A">
      <w:pPr>
        <w:tabs>
          <w:tab w:val="left" w:pos="567"/>
        </w:tabs>
        <w:spacing w:before="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460E7B" w14:textId="759FE3A9" w:rsidR="00DA062F" w:rsidRPr="00C0112A" w:rsidRDefault="00DA062F" w:rsidP="00C0112A">
      <w:pPr>
        <w:tabs>
          <w:tab w:val="left" w:pos="567"/>
        </w:tabs>
        <w:spacing w:before="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112A">
        <w:rPr>
          <w:rFonts w:ascii="Times New Roman" w:eastAsia="Times New Roman" w:hAnsi="Times New Roman" w:cs="Times New Roman"/>
          <w:sz w:val="24"/>
          <w:szCs w:val="24"/>
        </w:rPr>
        <w:t>Brasil. Ministério da Saúde. Controle dos cânceres do colo do útero e da mama [Internet]. 2nd ed. Brasília: Ministério da Saúde; 2013 [</w:t>
      </w:r>
      <w:proofErr w:type="spellStart"/>
      <w:r w:rsidRPr="00C0112A">
        <w:rPr>
          <w:rFonts w:ascii="Times New Roman" w:eastAsia="Times New Roman" w:hAnsi="Times New Roman" w:cs="Times New Roman"/>
          <w:sz w:val="24"/>
          <w:szCs w:val="24"/>
        </w:rPr>
        <w:t>cited</w:t>
      </w:r>
      <w:proofErr w:type="spellEnd"/>
      <w:r w:rsidRPr="00C0112A">
        <w:rPr>
          <w:rFonts w:ascii="Times New Roman" w:eastAsia="Times New Roman" w:hAnsi="Times New Roman" w:cs="Times New Roman"/>
          <w:sz w:val="24"/>
          <w:szCs w:val="24"/>
        </w:rPr>
        <w:t xml:space="preserve"> 2026 May 5]. </w:t>
      </w:r>
      <w:proofErr w:type="spellStart"/>
      <w:r w:rsidRPr="00C0112A">
        <w:rPr>
          <w:rFonts w:ascii="Times New Roman" w:eastAsia="Times New Roman" w:hAnsi="Times New Roman" w:cs="Times New Roman"/>
          <w:sz w:val="24"/>
          <w:szCs w:val="24"/>
        </w:rPr>
        <w:t>Available</w:t>
      </w:r>
      <w:proofErr w:type="spellEnd"/>
      <w:r w:rsidRPr="00C011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112A">
        <w:rPr>
          <w:rFonts w:ascii="Times New Roman" w:eastAsia="Times New Roman" w:hAnsi="Times New Roman" w:cs="Times New Roman"/>
          <w:sz w:val="24"/>
          <w:szCs w:val="24"/>
        </w:rPr>
        <w:t>from</w:t>
      </w:r>
      <w:proofErr w:type="spellEnd"/>
      <w:r w:rsidRPr="00C0112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8" w:tgtFrame="_new" w:history="1">
        <w:r w:rsidRPr="00C011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https://bvsms.saude.gov.br/bvs/publicacoes/controle_canceres_colo_utero_2013.pdf</w:t>
        </w:r>
      </w:hyperlink>
      <w:r w:rsidRPr="00C011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1EDC86D" w14:textId="77777777" w:rsidR="00DA062F" w:rsidRPr="00DA062F" w:rsidRDefault="00DA062F" w:rsidP="00C0112A">
      <w:pPr>
        <w:tabs>
          <w:tab w:val="left" w:pos="567"/>
        </w:tabs>
        <w:spacing w:before="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A67EE4" w14:textId="34B8FE41" w:rsidR="00DA062F" w:rsidRPr="00C0112A" w:rsidRDefault="00DA062F" w:rsidP="00C0112A">
      <w:pPr>
        <w:tabs>
          <w:tab w:val="left" w:pos="567"/>
        </w:tabs>
        <w:spacing w:before="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112A">
        <w:rPr>
          <w:rFonts w:ascii="Times New Roman" w:eastAsia="Times New Roman" w:hAnsi="Times New Roman" w:cs="Times New Roman"/>
          <w:sz w:val="24"/>
          <w:szCs w:val="24"/>
        </w:rPr>
        <w:t>Brasil. Ministério da Saúde. Política Nacional de Educação Popular em Saúde no Sistema Único de Saúde (PNEP-SUS) [Internet]. Brasília: Ministério da Saúde; 2013 [</w:t>
      </w:r>
      <w:proofErr w:type="spellStart"/>
      <w:r w:rsidRPr="00C0112A">
        <w:rPr>
          <w:rFonts w:ascii="Times New Roman" w:eastAsia="Times New Roman" w:hAnsi="Times New Roman" w:cs="Times New Roman"/>
          <w:sz w:val="24"/>
          <w:szCs w:val="24"/>
        </w:rPr>
        <w:t>cited</w:t>
      </w:r>
      <w:proofErr w:type="spellEnd"/>
      <w:r w:rsidRPr="00C0112A">
        <w:rPr>
          <w:rFonts w:ascii="Times New Roman" w:eastAsia="Times New Roman" w:hAnsi="Times New Roman" w:cs="Times New Roman"/>
          <w:sz w:val="24"/>
          <w:szCs w:val="24"/>
        </w:rPr>
        <w:t xml:space="preserve"> 2026 May 5]. </w:t>
      </w:r>
      <w:proofErr w:type="spellStart"/>
      <w:r w:rsidRPr="00C0112A">
        <w:rPr>
          <w:rFonts w:ascii="Times New Roman" w:eastAsia="Times New Roman" w:hAnsi="Times New Roman" w:cs="Times New Roman"/>
          <w:sz w:val="24"/>
          <w:szCs w:val="24"/>
        </w:rPr>
        <w:t>Available</w:t>
      </w:r>
      <w:proofErr w:type="spellEnd"/>
      <w:r w:rsidRPr="00C011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112A">
        <w:rPr>
          <w:rFonts w:ascii="Times New Roman" w:eastAsia="Times New Roman" w:hAnsi="Times New Roman" w:cs="Times New Roman"/>
          <w:sz w:val="24"/>
          <w:szCs w:val="24"/>
        </w:rPr>
        <w:t>from</w:t>
      </w:r>
      <w:proofErr w:type="spellEnd"/>
      <w:r w:rsidRPr="00C0112A">
        <w:rPr>
          <w:rFonts w:ascii="Times New Roman" w:eastAsia="Times New Roman" w:hAnsi="Times New Roman" w:cs="Times New Roman"/>
          <w:sz w:val="24"/>
          <w:szCs w:val="24"/>
        </w:rPr>
        <w:t xml:space="preserve">: https://bvsms.saude.gov.br/bvs/publicacoes/politica_nacional_educacao_popular_saude.pdf </w:t>
      </w:r>
    </w:p>
    <w:p w14:paraId="37FEC6C0" w14:textId="77777777" w:rsidR="00DA062F" w:rsidRPr="00DA062F" w:rsidRDefault="00DA062F" w:rsidP="00C0112A">
      <w:pPr>
        <w:tabs>
          <w:tab w:val="left" w:pos="567"/>
        </w:tabs>
        <w:spacing w:before="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355D0F" w14:textId="77777777" w:rsidR="00DA062F" w:rsidRPr="00C0112A" w:rsidRDefault="00DA062F" w:rsidP="00C0112A">
      <w:pPr>
        <w:tabs>
          <w:tab w:val="left" w:pos="567"/>
        </w:tabs>
        <w:spacing w:before="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0112A">
        <w:rPr>
          <w:rFonts w:ascii="Times New Roman" w:eastAsia="Times New Roman" w:hAnsi="Times New Roman" w:cs="Times New Roman"/>
          <w:sz w:val="24"/>
          <w:szCs w:val="24"/>
        </w:rPr>
        <w:t>Brasil. Ministério da Saúde. Política Nacional de Educação Permanente em Saúde: o que se tem produzido para o seu fortalecimento? [Internet]. Brasília: Ministério da Saúde; 2018 [</w:t>
      </w:r>
      <w:proofErr w:type="spellStart"/>
      <w:r w:rsidRPr="00C0112A">
        <w:rPr>
          <w:rFonts w:ascii="Times New Roman" w:eastAsia="Times New Roman" w:hAnsi="Times New Roman" w:cs="Times New Roman"/>
          <w:sz w:val="24"/>
          <w:szCs w:val="24"/>
        </w:rPr>
        <w:t>cited</w:t>
      </w:r>
      <w:proofErr w:type="spellEnd"/>
      <w:r w:rsidRPr="00C0112A">
        <w:rPr>
          <w:rFonts w:ascii="Times New Roman" w:eastAsia="Times New Roman" w:hAnsi="Times New Roman" w:cs="Times New Roman"/>
          <w:sz w:val="24"/>
          <w:szCs w:val="24"/>
        </w:rPr>
        <w:t xml:space="preserve"> 2026 May 5]. </w:t>
      </w:r>
      <w:r w:rsidRPr="00C0112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Available from: </w:t>
      </w:r>
      <w:hyperlink r:id="rId9" w:tgtFrame="_new" w:history="1">
        <w:r w:rsidRPr="00C011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https://bvsms.saude.gov.br/bvs/publicacoes/politica_nacional_educacao_permanente_saude_fortalecimento.pdf</w:t>
        </w:r>
      </w:hyperlink>
      <w:r w:rsidRPr="00C0112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1560F607" w14:textId="77777777" w:rsidR="00DA062F" w:rsidRPr="00DA062F" w:rsidRDefault="00DA062F" w:rsidP="00C0112A">
      <w:pPr>
        <w:pStyle w:val="PargrafodaLista"/>
        <w:tabs>
          <w:tab w:val="left" w:pos="567"/>
        </w:tabs>
        <w:spacing w:before="0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BA77ED" w14:textId="071D5317" w:rsidR="00212EC8" w:rsidRDefault="00DA062F" w:rsidP="00C0112A">
      <w:pPr>
        <w:tabs>
          <w:tab w:val="left" w:pos="567"/>
        </w:tabs>
        <w:spacing w:before="0" w:after="0" w:line="240" w:lineRule="auto"/>
        <w:jc w:val="both"/>
      </w:pPr>
      <w:r w:rsidRPr="00C0112A">
        <w:rPr>
          <w:rFonts w:ascii="Times New Roman" w:eastAsia="Times New Roman" w:hAnsi="Times New Roman" w:cs="Times New Roman"/>
          <w:sz w:val="24"/>
          <w:szCs w:val="24"/>
        </w:rPr>
        <w:t>Freire P. Pedagogia do oprimido. 84th ed. Rio de Janeiro: Paz e Terra; 2023.</w:t>
      </w:r>
      <w:r w:rsidR="00C0112A" w:rsidRPr="00C011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212EC8" w:rsidSect="00C0112A">
      <w:headerReference w:type="default" r:id="rId10"/>
      <w:footerReference w:type="default" r:id="rId11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A6755" w14:textId="77777777" w:rsidR="00085DD3" w:rsidRDefault="00085DD3" w:rsidP="0068569C">
      <w:pPr>
        <w:spacing w:before="0" w:after="0" w:line="240" w:lineRule="auto"/>
      </w:pPr>
      <w:r>
        <w:separator/>
      </w:r>
    </w:p>
  </w:endnote>
  <w:endnote w:type="continuationSeparator" w:id="0">
    <w:p w14:paraId="2766B653" w14:textId="77777777" w:rsidR="00085DD3" w:rsidRDefault="00085DD3" w:rsidP="0068569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26A6F" w14:textId="068E8347" w:rsidR="007958B3" w:rsidRPr="007958B3" w:rsidRDefault="007958B3" w:rsidP="007958B3">
    <w:pPr>
      <w:pStyle w:val="Rodap"/>
    </w:pPr>
    <w:r w:rsidRPr="007958B3">
      <w:rPr>
        <w:noProof/>
      </w:rPr>
      <w:drawing>
        <wp:inline distT="0" distB="0" distL="0" distR="0" wp14:anchorId="44F87CA4" wp14:editId="2A0A764F">
          <wp:extent cx="5397905" cy="789559"/>
          <wp:effectExtent l="0" t="0" r="0" b="0"/>
          <wp:docPr id="193522519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426"/>
                  <a:stretch>
                    <a:fillRect/>
                  </a:stretch>
                </pic:blipFill>
                <pic:spPr bwMode="auto">
                  <a:xfrm>
                    <a:off x="0" y="0"/>
                    <a:ext cx="5424788" cy="79349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5D3F7BF" w14:textId="77777777" w:rsidR="007958B3" w:rsidRDefault="007958B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395637" w14:textId="77777777" w:rsidR="00085DD3" w:rsidRDefault="00085DD3" w:rsidP="0068569C">
      <w:pPr>
        <w:spacing w:before="0" w:after="0" w:line="240" w:lineRule="auto"/>
      </w:pPr>
      <w:r>
        <w:separator/>
      </w:r>
    </w:p>
  </w:footnote>
  <w:footnote w:type="continuationSeparator" w:id="0">
    <w:p w14:paraId="11445EB2" w14:textId="77777777" w:rsidR="00085DD3" w:rsidRDefault="00085DD3" w:rsidP="0068569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748B1" w14:textId="4BF7574D" w:rsidR="0068569C" w:rsidRDefault="0068569C">
    <w:pPr>
      <w:pStyle w:val="Cabealho"/>
    </w:pPr>
    <w:r w:rsidRPr="0068569C">
      <w:rPr>
        <w:noProof/>
      </w:rPr>
      <w:drawing>
        <wp:inline distT="0" distB="0" distL="0" distR="0" wp14:anchorId="6ADCF6A4" wp14:editId="4A582121">
          <wp:extent cx="5397754" cy="899160"/>
          <wp:effectExtent l="0" t="0" r="0" b="0"/>
          <wp:docPr id="48213083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213083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39886" cy="9061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C111CC"/>
    <w:multiLevelType w:val="hybridMultilevel"/>
    <w:tmpl w:val="1ECA8F8C"/>
    <w:lvl w:ilvl="0" w:tplc="0F08FD68">
      <w:start w:val="1"/>
      <w:numFmt w:val="decimal"/>
      <w:lvlText w:val="%1-"/>
      <w:lvlJc w:val="left"/>
      <w:pPr>
        <w:ind w:left="720" w:hanging="360"/>
      </w:pPr>
      <w:rPr>
        <w:rFonts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094"/>
    <w:rsid w:val="00085DD3"/>
    <w:rsid w:val="000C2625"/>
    <w:rsid w:val="00212EC8"/>
    <w:rsid w:val="002177C6"/>
    <w:rsid w:val="003624A6"/>
    <w:rsid w:val="004431AA"/>
    <w:rsid w:val="00483094"/>
    <w:rsid w:val="00660F8B"/>
    <w:rsid w:val="0068569C"/>
    <w:rsid w:val="007436FB"/>
    <w:rsid w:val="00753F32"/>
    <w:rsid w:val="007958B3"/>
    <w:rsid w:val="00AE3B97"/>
    <w:rsid w:val="00B10BE2"/>
    <w:rsid w:val="00BF79A5"/>
    <w:rsid w:val="00C0112A"/>
    <w:rsid w:val="00DA062F"/>
    <w:rsid w:val="00DA0C47"/>
    <w:rsid w:val="00E83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FF119"/>
  <w15:chartTrackingRefBased/>
  <w15:docId w15:val="{FD5DBA8C-C9D1-4FE3-9B78-6B7BE94BD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094"/>
    <w:pPr>
      <w:spacing w:before="100" w:after="200" w:line="276" w:lineRule="auto"/>
    </w:pPr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830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830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830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830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830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830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830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830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830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830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830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830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8309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8309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8309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8309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8309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8309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830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830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830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830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830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8309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8309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8309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830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8309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83094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rsid w:val="00483094"/>
    <w:pPr>
      <w:spacing w:after="140"/>
    </w:pPr>
  </w:style>
  <w:style w:type="character" w:customStyle="1" w:styleId="CorpodetextoChar">
    <w:name w:val="Corpo de texto Char"/>
    <w:basedOn w:val="Fontepargpadro"/>
    <w:link w:val="Corpodetexto"/>
    <w:rsid w:val="00483094"/>
    <w:rPr>
      <w:rFonts w:eastAsiaTheme="minorEastAsia"/>
      <w:kern w:val="0"/>
      <w:sz w:val="20"/>
      <w:szCs w:val="20"/>
      <w:lang w:eastAsia="pt-BR"/>
      <w14:ligatures w14:val="none"/>
    </w:rPr>
  </w:style>
  <w:style w:type="character" w:customStyle="1" w:styleId="nfaseforte">
    <w:name w:val="Ênfase forte"/>
    <w:rsid w:val="00483094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  <w:style w:type="character" w:styleId="Hyperlink">
    <w:name w:val="Hyperlink"/>
    <w:basedOn w:val="Fontepargpadro"/>
    <w:uiPriority w:val="99"/>
    <w:semiHidden/>
    <w:unhideWhenUsed/>
    <w:rsid w:val="00DA06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8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vsms.saude.gov.br/bvs/publicacoes/controle_canceres_colo_utero_2013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inca.gov.br/publicacoes/livros/estimativa-2023-incidencia-de-cancer-no-brasi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bvsms.saude.gov.br/bvs/publicacoes/politica_nacional_educacao_permanente_saude_fortalecimento.pdf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1623</Words>
  <Characters>8768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Borges</dc:creator>
  <cp:keywords/>
  <dc:description/>
  <cp:lastModifiedBy>Ana Camila</cp:lastModifiedBy>
  <cp:revision>2</cp:revision>
  <dcterms:created xsi:type="dcterms:W3CDTF">2026-05-05T22:41:00Z</dcterms:created>
  <dcterms:modified xsi:type="dcterms:W3CDTF">2026-05-05T22:41:00Z</dcterms:modified>
</cp:coreProperties>
</file>