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198D" w14:textId="5C67255A" w:rsidR="00E44B9C" w:rsidRDefault="00E44B9C" w:rsidP="00E44B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ALTERAÇÕES NO EFEITO DA SEDAÇÃO GERAL POR </w:t>
      </w:r>
      <w:r w:rsidR="001648BB">
        <w:rPr>
          <w:rFonts w:ascii="Times New Roman" w:hAnsi="Times New Roman" w:cs="Times New Roman"/>
          <w:b/>
          <w:bCs/>
          <w:sz w:val="24"/>
          <w:szCs w:val="24"/>
        </w:rPr>
        <w:t>CONSUMO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PRÉVIO DE BEBIDA ALCOÓLICA:</w:t>
      </w:r>
      <w:r w:rsidR="001648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REVISÃO DA LITERATURA</w:t>
      </w:r>
    </w:p>
    <w:p w14:paraId="39BE32FB" w14:textId="77777777" w:rsidR="00E44B9C" w:rsidRPr="00820B47" w:rsidRDefault="00E44B9C" w:rsidP="00E44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FA">
        <w:rPr>
          <w:rFonts w:ascii="Times New Roman" w:hAnsi="Times New Roman" w:cs="Times New Roman"/>
          <w:sz w:val="24"/>
          <w:szCs w:val="24"/>
        </w:rPr>
        <w:t>Stefani Santos Oliveira</w:t>
      </w:r>
      <w:r>
        <w:rPr>
          <w:rFonts w:ascii="Times New Roman" w:hAnsi="Times New Roman" w:cs="Times New Roman"/>
          <w:sz w:val="24"/>
          <w:szCs w:val="24"/>
        </w:rPr>
        <w:t>¹</w:t>
      </w:r>
      <w:r w:rsidRPr="00213C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João Gabriel Nunes Texeira¹,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Sérgio dos Santos Kohler¹, Geovana de Santana Barreto¹, Anna Julia Santos Dantas¹, Gutemberg Santos de Almeida Neto¹,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Varela Câncio².</w:t>
      </w:r>
    </w:p>
    <w:p w14:paraId="50B68B4B" w14:textId="77777777" w:rsidR="00E44B9C" w:rsidRDefault="00E44B9C" w:rsidP="00F30C55">
      <w:pPr>
        <w:pStyle w:val="PargrafodaLista"/>
        <w:numPr>
          <w:ilvl w:val="0"/>
          <w:numId w:val="1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de Excelência (UNEX) – Feira de Santana – Bahia.</w:t>
      </w:r>
    </w:p>
    <w:p w14:paraId="2D1D378C" w14:textId="77777777" w:rsidR="00F30C55" w:rsidRPr="00150FDD" w:rsidRDefault="00F30C55" w:rsidP="00F30C55">
      <w:pPr>
        <w:pStyle w:val="PargrafodaLista"/>
        <w:numPr>
          <w:ilvl w:val="0"/>
          <w:numId w:val="1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Estadual de Feira de Santana (UEFS) – Feira de Santana – Bahia.</w:t>
      </w:r>
    </w:p>
    <w:p w14:paraId="5FD0744A" w14:textId="77777777" w:rsidR="00E44B9C" w:rsidRDefault="00E44B9C" w:rsidP="00E44B9C">
      <w:pPr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5B0A35EA" w14:textId="77777777" w:rsidR="00E44B9C" w:rsidRPr="00674133" w:rsidRDefault="00E44B9C" w:rsidP="00E44B9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Stefani.oliveira@ftc.edu.br</w:t>
      </w:r>
    </w:p>
    <w:p w14:paraId="31C33597" w14:textId="372E9C39" w:rsidR="00E44B9C" w:rsidRDefault="00E44B9C" w:rsidP="00E44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325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325">
        <w:rPr>
          <w:rFonts w:ascii="Times New Roman" w:hAnsi="Times New Roman" w:cs="Times New Roman"/>
          <w:sz w:val="24"/>
          <w:szCs w:val="24"/>
        </w:rPr>
        <w:t xml:space="preserve">A sedação geral é uma técnica essencial em </w:t>
      </w:r>
      <w:r w:rsidR="003628A3">
        <w:rPr>
          <w:rFonts w:ascii="Times New Roman" w:hAnsi="Times New Roman" w:cs="Times New Roman"/>
          <w:sz w:val="24"/>
          <w:szCs w:val="24"/>
        </w:rPr>
        <w:t>abordagens com necessidade de colaboração total</w:t>
      </w:r>
      <w:r>
        <w:rPr>
          <w:rFonts w:ascii="Times New Roman" w:hAnsi="Times New Roman" w:cs="Times New Roman"/>
          <w:sz w:val="24"/>
          <w:szCs w:val="24"/>
        </w:rPr>
        <w:t xml:space="preserve"> e analgesia</w:t>
      </w:r>
      <w:r w:rsidR="003628A3">
        <w:rPr>
          <w:rFonts w:ascii="Times New Roman" w:hAnsi="Times New Roman" w:cs="Times New Roman"/>
          <w:sz w:val="24"/>
          <w:szCs w:val="24"/>
        </w:rPr>
        <w:t xml:space="preserve"> do paciente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28A3">
        <w:rPr>
          <w:rFonts w:ascii="Times New Roman" w:hAnsi="Times New Roman" w:cs="Times New Roman"/>
          <w:sz w:val="24"/>
          <w:szCs w:val="24"/>
        </w:rPr>
        <w:t>principalmente</w:t>
      </w:r>
      <w:r>
        <w:rPr>
          <w:rFonts w:ascii="Times New Roman" w:hAnsi="Times New Roman" w:cs="Times New Roman"/>
          <w:sz w:val="24"/>
          <w:szCs w:val="24"/>
        </w:rPr>
        <w:t xml:space="preserve"> em casos de cirurgias de caráter de urgência e emergência</w:t>
      </w:r>
      <w:r w:rsidR="003628A3">
        <w:rPr>
          <w:rFonts w:ascii="Times New Roman" w:hAnsi="Times New Roman" w:cs="Times New Roman"/>
          <w:sz w:val="24"/>
          <w:szCs w:val="24"/>
        </w:rPr>
        <w:t>. É</w:t>
      </w:r>
      <w:r>
        <w:rPr>
          <w:rFonts w:ascii="Times New Roman" w:hAnsi="Times New Roman" w:cs="Times New Roman"/>
          <w:sz w:val="24"/>
          <w:szCs w:val="24"/>
        </w:rPr>
        <w:t xml:space="preserve"> proporcionado conforto para o paciente e segurança de trabalho para o operador</w:t>
      </w:r>
      <w:r w:rsidR="003628A3">
        <w:rPr>
          <w:rFonts w:ascii="Times New Roman" w:hAnsi="Times New Roman" w:cs="Times New Roman"/>
          <w:sz w:val="24"/>
          <w:szCs w:val="24"/>
        </w:rPr>
        <w:t>, n</w:t>
      </w:r>
      <w:r w:rsidRPr="00BE7325">
        <w:rPr>
          <w:rFonts w:ascii="Times New Roman" w:hAnsi="Times New Roman" w:cs="Times New Roman"/>
          <w:sz w:val="24"/>
          <w:szCs w:val="24"/>
        </w:rPr>
        <w:t>o entanto</w:t>
      </w:r>
      <w:r w:rsidR="003628A3">
        <w:rPr>
          <w:rFonts w:ascii="Times New Roman" w:hAnsi="Times New Roman" w:cs="Times New Roman"/>
          <w:sz w:val="24"/>
          <w:szCs w:val="24"/>
        </w:rPr>
        <w:t xml:space="preserve">, quando associada ao </w:t>
      </w:r>
      <w:r w:rsidRPr="00BE7325">
        <w:rPr>
          <w:rFonts w:ascii="Times New Roman" w:hAnsi="Times New Roman" w:cs="Times New Roman"/>
          <w:sz w:val="24"/>
          <w:szCs w:val="24"/>
        </w:rPr>
        <w:t xml:space="preserve">consumo de álcool </w:t>
      </w:r>
      <w:r w:rsidR="003628A3">
        <w:rPr>
          <w:rFonts w:ascii="Times New Roman" w:hAnsi="Times New Roman" w:cs="Times New Roman"/>
          <w:sz w:val="24"/>
          <w:szCs w:val="24"/>
        </w:rPr>
        <w:t>prévio, a sedação pode</w:t>
      </w:r>
      <w:r w:rsidRPr="00BE7325">
        <w:rPr>
          <w:rFonts w:ascii="Times New Roman" w:hAnsi="Times New Roman" w:cs="Times New Roman"/>
          <w:sz w:val="24"/>
          <w:szCs w:val="24"/>
        </w:rPr>
        <w:t xml:space="preserve"> apresenta</w:t>
      </w:r>
      <w:r w:rsidR="003628A3">
        <w:rPr>
          <w:rFonts w:ascii="Times New Roman" w:hAnsi="Times New Roman" w:cs="Times New Roman"/>
          <w:sz w:val="24"/>
          <w:szCs w:val="24"/>
        </w:rPr>
        <w:t>r</w:t>
      </w:r>
      <w:r w:rsidRPr="00BE7325">
        <w:rPr>
          <w:rFonts w:ascii="Times New Roman" w:hAnsi="Times New Roman" w:cs="Times New Roman"/>
          <w:sz w:val="24"/>
          <w:szCs w:val="24"/>
        </w:rPr>
        <w:t xml:space="preserve"> riscos significativos para a segurança e eficácia do procedimento.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84C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BE7325">
        <w:rPr>
          <w:rFonts w:ascii="Times New Roman" w:hAnsi="Times New Roman" w:cs="Times New Roman"/>
          <w:sz w:val="24"/>
          <w:szCs w:val="24"/>
        </w:rPr>
        <w:t xml:space="preserve"> </w:t>
      </w:r>
      <w:r w:rsidR="003628A3">
        <w:rPr>
          <w:rFonts w:ascii="Times New Roman" w:hAnsi="Times New Roman" w:cs="Times New Roman"/>
          <w:sz w:val="24"/>
          <w:szCs w:val="24"/>
        </w:rPr>
        <w:t>Abordar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325">
        <w:rPr>
          <w:rFonts w:ascii="Times New Roman" w:hAnsi="Times New Roman" w:cs="Times New Roman"/>
          <w:sz w:val="24"/>
          <w:szCs w:val="24"/>
        </w:rPr>
        <w:t>os efeitos do álcool na sedação geral e os potenciais riscos associados a essa combinação.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85A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Foi realizada uma busca nas bases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Google acadêmico, através do cruzamento dos descritores</w:t>
      </w:r>
      <w:r w:rsidR="003628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auxílio do operador booleano “AND</w:t>
      </w:r>
      <w:r w:rsidRPr="00632110">
        <w:rPr>
          <w:rFonts w:ascii="Times New Roman" w:hAnsi="Times New Roman" w:cs="Times New Roman"/>
          <w:sz w:val="24"/>
          <w:szCs w:val="24"/>
        </w:rPr>
        <w:t xml:space="preserve">”, sendo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32110">
        <w:rPr>
          <w:rFonts w:ascii="Times New Roman" w:hAnsi="Times New Roman" w:cs="Times New Roman"/>
          <w:sz w:val="24"/>
          <w:szCs w:val="24"/>
        </w:rPr>
        <w:t xml:space="preserve"> artigos encontrados.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84C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325">
        <w:rPr>
          <w:rFonts w:ascii="Times New Roman" w:hAnsi="Times New Roman" w:cs="Times New Roman"/>
          <w:sz w:val="24"/>
          <w:szCs w:val="24"/>
        </w:rPr>
        <w:t>O álcool é um depressor do sistema nervoso central que pode potencializar os efeitos dos agentes sedativos utilizados na sedação geral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085A">
        <w:rPr>
          <w:rFonts w:ascii="Times New Roman" w:hAnsi="Times New Roman" w:cs="Times New Roman"/>
          <w:sz w:val="24"/>
          <w:szCs w:val="24"/>
        </w:rPr>
        <w:t>como os anestésicos intravenosos e os benzodiazepínicos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7325">
        <w:rPr>
          <w:rFonts w:ascii="Times New Roman" w:hAnsi="Times New Roman" w:cs="Times New Roman"/>
          <w:sz w:val="24"/>
          <w:szCs w:val="24"/>
        </w:rPr>
        <w:t>Essa combinação pode resultar em uma depressão respiratória aumentada</w:t>
      </w:r>
      <w:r>
        <w:rPr>
          <w:rFonts w:ascii="Times New Roman" w:hAnsi="Times New Roman" w:cs="Times New Roman"/>
          <w:sz w:val="24"/>
          <w:szCs w:val="24"/>
        </w:rPr>
        <w:t>, sendo este um</w:t>
      </w:r>
      <w:r w:rsidRPr="00CB085A">
        <w:rPr>
          <w:rFonts w:ascii="Times New Roman" w:hAnsi="Times New Roman" w:cs="Times New Roman"/>
          <w:sz w:val="24"/>
          <w:szCs w:val="24"/>
        </w:rPr>
        <w:t xml:space="preserve"> dos maiores riscos dessa interação</w:t>
      </w:r>
      <w:r>
        <w:rPr>
          <w:rFonts w:ascii="Times New Roman" w:hAnsi="Times New Roman" w:cs="Times New Roman"/>
          <w:sz w:val="24"/>
          <w:szCs w:val="24"/>
        </w:rPr>
        <w:t>, pois t</w:t>
      </w:r>
      <w:r w:rsidRPr="00CB085A">
        <w:rPr>
          <w:rFonts w:ascii="Times New Roman" w:hAnsi="Times New Roman" w:cs="Times New Roman"/>
          <w:sz w:val="24"/>
          <w:szCs w:val="24"/>
        </w:rPr>
        <w:t>anto o álcool quanto os agentes sedativos podem reduzir a atividade do centro respiratório no cérebro, diminuindo a frequência respiratória e a capacidade do corpo de responder adequadamente à falta de oxigênio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28A3">
        <w:rPr>
          <w:rFonts w:ascii="Times New Roman" w:hAnsi="Times New Roman" w:cs="Times New Roman"/>
          <w:sz w:val="24"/>
          <w:szCs w:val="24"/>
        </w:rPr>
        <w:t>levando</w:t>
      </w:r>
      <w:r w:rsidRPr="00CB085A">
        <w:rPr>
          <w:rFonts w:ascii="Times New Roman" w:hAnsi="Times New Roman" w:cs="Times New Roman"/>
          <w:sz w:val="24"/>
          <w:szCs w:val="24"/>
        </w:rPr>
        <w:t xml:space="preserve"> a hipoxemia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85A">
        <w:rPr>
          <w:rFonts w:ascii="Times New Roman" w:hAnsi="Times New Roman" w:cs="Times New Roman"/>
          <w:sz w:val="24"/>
          <w:szCs w:val="24"/>
        </w:rPr>
        <w:t>e, em casos extremos, à insuficiência respiratória.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325">
        <w:rPr>
          <w:rFonts w:ascii="Times New Roman" w:hAnsi="Times New Roman" w:cs="Times New Roman"/>
          <w:sz w:val="24"/>
          <w:szCs w:val="24"/>
        </w:rPr>
        <w:t>Além disso, o álcool pode interferir na farmacocinética e farmacodinâmica dos agentes anestésicos, aumentando o risco de efeitos adversos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085A">
        <w:rPr>
          <w:rFonts w:ascii="Times New Roman" w:hAnsi="Times New Roman" w:cs="Times New Roman"/>
          <w:sz w:val="24"/>
          <w:szCs w:val="24"/>
        </w:rPr>
        <w:t>como sonolência excessiva, confusão, sedação prolongada</w:t>
      </w:r>
      <w:r w:rsidR="003628A3">
        <w:rPr>
          <w:rFonts w:ascii="Times New Roman" w:hAnsi="Times New Roman" w:cs="Times New Roman"/>
          <w:sz w:val="24"/>
          <w:szCs w:val="24"/>
        </w:rPr>
        <w:t>,</w:t>
      </w:r>
      <w:r w:rsidRPr="00CB0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coma,</w:t>
      </w:r>
      <w:r w:rsidRPr="00BE7325">
        <w:rPr>
          <w:rFonts w:ascii="Times New Roman" w:hAnsi="Times New Roman" w:cs="Times New Roman"/>
          <w:sz w:val="24"/>
          <w:szCs w:val="24"/>
        </w:rPr>
        <w:t xml:space="preserve"> e interações medicamentosas.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325">
        <w:rPr>
          <w:rFonts w:ascii="Times New Roman" w:hAnsi="Times New Roman" w:cs="Times New Roman"/>
          <w:sz w:val="24"/>
          <w:szCs w:val="24"/>
        </w:rPr>
        <w:t>O consumo de álcool antes da sedação geral também pode aumentar o risco de complicações pós-operatórias, como sonolência prolongada, confusão e comprometimento da função cognitiva. Além disso, a combinação de álcool e sedação geral pode levar a uma resposta imprevisível aos agentes anestésicos, aumentando o risco de toxicidade ou</w:t>
      </w:r>
      <w:r w:rsidR="003628A3">
        <w:rPr>
          <w:rFonts w:ascii="Times New Roman" w:hAnsi="Times New Roman" w:cs="Times New Roman"/>
          <w:sz w:val="24"/>
          <w:szCs w:val="24"/>
        </w:rPr>
        <w:t xml:space="preserve"> de</w:t>
      </w:r>
      <w:r w:rsidRPr="00BE7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5">
        <w:rPr>
          <w:rFonts w:ascii="Times New Roman" w:hAnsi="Times New Roman" w:cs="Times New Roman"/>
          <w:sz w:val="24"/>
          <w:szCs w:val="24"/>
        </w:rPr>
        <w:t>subdosagem</w:t>
      </w:r>
      <w:proofErr w:type="spellEnd"/>
      <w:r w:rsidRPr="00BE73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85A">
        <w:rPr>
          <w:rFonts w:ascii="Times New Roman" w:hAnsi="Times New Roman" w:cs="Times New Roman"/>
          <w:b/>
          <w:bCs/>
          <w:sz w:val="24"/>
          <w:szCs w:val="24"/>
        </w:rPr>
        <w:t>Conclusões: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BE7325">
        <w:rPr>
          <w:rFonts w:ascii="Times New Roman" w:hAnsi="Times New Roman" w:cs="Times New Roman"/>
          <w:sz w:val="24"/>
          <w:szCs w:val="24"/>
        </w:rPr>
        <w:t xml:space="preserve"> consumo de álcool antes da sedação geral apresenta sérios riscos para a segurança e eficácia do procedimento. Os pacientes devem ser orientados a se absterem do consumo de álcool antes de se submeterem à sedação geral, e os profissionais de saúde devem realizar uma avaliação cuidadosa do histórico de consumo de álcool dos pacientes.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F64">
        <w:rPr>
          <w:rFonts w:ascii="Times New Roman" w:hAnsi="Times New Roman" w:cs="Times New Roman"/>
          <w:sz w:val="24"/>
          <w:szCs w:val="24"/>
        </w:rPr>
        <w:t>Em resumo, o uso prévio de bebida alcoólica pode ter sérias implicações na eficácia e segurança da sedação geral</w:t>
      </w:r>
      <w:r>
        <w:rPr>
          <w:rFonts w:ascii="Times New Roman" w:hAnsi="Times New Roman" w:cs="Times New Roman"/>
          <w:sz w:val="24"/>
          <w:szCs w:val="24"/>
        </w:rPr>
        <w:t xml:space="preserve">, e os </w:t>
      </w:r>
      <w:r w:rsidRPr="005A7F64">
        <w:rPr>
          <w:rFonts w:ascii="Times New Roman" w:hAnsi="Times New Roman" w:cs="Times New Roman"/>
          <w:sz w:val="24"/>
          <w:szCs w:val="24"/>
        </w:rPr>
        <w:t>profissionais devem estar cientes desses riscos e tomar medidas para evitar a combinação de álcool e sedação geral sempre que possível</w:t>
      </w:r>
      <w:r w:rsidR="006C6AA0">
        <w:rPr>
          <w:rFonts w:ascii="Times New Roman" w:hAnsi="Times New Roman" w:cs="Times New Roman"/>
          <w:sz w:val="24"/>
          <w:szCs w:val="24"/>
        </w:rPr>
        <w:t xml:space="preserve">. A </w:t>
      </w:r>
      <w:r w:rsidRPr="005A7F64">
        <w:rPr>
          <w:rFonts w:ascii="Times New Roman" w:hAnsi="Times New Roman" w:cs="Times New Roman"/>
          <w:sz w:val="24"/>
          <w:szCs w:val="24"/>
        </w:rPr>
        <w:t>abordagem individualizada e cuidadosa é fundamental para garantir a segurança e o bem-estar dos pacientes durante procedimentos de urgência.</w:t>
      </w:r>
    </w:p>
    <w:p w14:paraId="28EBA4B1" w14:textId="77777777" w:rsidR="00E44B9C" w:rsidRDefault="00E44B9C" w:rsidP="00E44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Pr="00E53BA6">
        <w:rPr>
          <w:rFonts w:ascii="Times New Roman" w:hAnsi="Times New Roman" w:cs="Times New Roman"/>
          <w:sz w:val="24"/>
          <w:szCs w:val="24"/>
        </w:rPr>
        <w:t>Sedação Profunda. Consumo de Bebidas Alcoólicas. Farmacocinética</w:t>
      </w:r>
    </w:p>
    <w:p w14:paraId="7128C1B6" w14:textId="23B263DD" w:rsidR="00AF422B" w:rsidRPr="00E44B9C" w:rsidRDefault="00E44B9C" w:rsidP="00E44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 Urgência e emergência em Medicina, Enfermagem e Odontologia.</w:t>
      </w:r>
    </w:p>
    <w:sectPr w:rsidR="00AF422B" w:rsidRPr="00E44B9C" w:rsidSect="00207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EE"/>
    <w:multiLevelType w:val="hybridMultilevel"/>
    <w:tmpl w:val="B478E2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5BD"/>
    <w:multiLevelType w:val="hybridMultilevel"/>
    <w:tmpl w:val="B478E2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063888">
    <w:abstractNumId w:val="1"/>
  </w:num>
  <w:num w:numId="2" w16cid:durableId="95212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B9C"/>
    <w:rsid w:val="001648BB"/>
    <w:rsid w:val="00207BB3"/>
    <w:rsid w:val="003628A3"/>
    <w:rsid w:val="005D0F4C"/>
    <w:rsid w:val="006C6AA0"/>
    <w:rsid w:val="007D6409"/>
    <w:rsid w:val="00AF422B"/>
    <w:rsid w:val="00E44B9C"/>
    <w:rsid w:val="00F3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8575"/>
  <w15:chartTrackingRefBased/>
  <w15:docId w15:val="{54036EF6-C00A-4E81-9837-2EAD9BE9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B9C"/>
  </w:style>
  <w:style w:type="paragraph" w:styleId="Ttulo1">
    <w:name w:val="heading 1"/>
    <w:basedOn w:val="Normal"/>
    <w:next w:val="Normal"/>
    <w:link w:val="Ttulo1Char"/>
    <w:uiPriority w:val="9"/>
    <w:qFormat/>
    <w:rsid w:val="00E44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4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4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4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4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4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4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4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4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4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4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4B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4B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4B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4B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4B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4B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4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4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4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4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4B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4B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4B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4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4B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4B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Oliveira</dc:creator>
  <cp:keywords/>
  <dc:description/>
  <cp:lastModifiedBy>Stefani Oliveira</cp:lastModifiedBy>
  <cp:revision>4</cp:revision>
  <dcterms:created xsi:type="dcterms:W3CDTF">2024-03-13T20:26:00Z</dcterms:created>
  <dcterms:modified xsi:type="dcterms:W3CDTF">2024-03-13T21:44:00Z</dcterms:modified>
</cp:coreProperties>
</file>