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Diagnóstico e tratamento de cardiopatias congênitas no Brasil: desafios e perspectivas do Sistema Único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04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As cardiopatias congênitas (CC) constituem um importante problema de saúde pública em todo o mundo. No Brasil, estima-se que aproximadamente 30.000 recém-nascidos por ano apresentem alguma anomalia cardíaca (1). Apesar dos avanços no diagnóstico e tratamento, ainda há desafios significativos no acesso aos serviços de saúde, especialmente no Sistema Único de Saúde (SUS) (2). </w:t>
      </w:r>
      <w:r w:rsidDel="00000000" w:rsidR="00000000" w:rsidRPr="00000000">
        <w:rPr>
          <w:b w:val="1"/>
          <w:rtl w:val="0"/>
        </w:rPr>
        <w:t xml:space="preserve">Objetivo(s): </w:t>
      </w:r>
      <w:r w:rsidDel="00000000" w:rsidR="00000000" w:rsidRPr="00000000">
        <w:rPr>
          <w:rtl w:val="0"/>
        </w:rPr>
        <w:t xml:space="preserve">O presente estudo teve como objetivo analisar o panorama das CC no Brasil, abordando métodos diagnósticos, acesso aos serviços e desafios do SUS. Métodos: Realizou-se revisão de literatura nas bases PubMed, LILACS e SciELO, utilizando os descritores “cardiopatias congênitas”, “Brasil” e “Sistema Único de Saúde” de acordo com o DeCS. Foram incluídos trabalhos completos sobre epidemiologia, diagnóstico, tratamento e políticas públicas relacionadas às CC no contexto brasileiro, publicados entre 2010-2020.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A oximetria de pulso é o principal método de triagem de CC em recém-nascidos no Brasil, apresentando sensibilidade de 75% e especificidade de 99% (3). Entretanto, há desafios na implementação em larga escala. Observou-se aumento da sobrevida com avanços cirúrgicos, atingindo até 90% em algumas cardiopatias menos complexas, porém o tratamento cirúrgico e o uso de circulação extracorpórea associam-se a maior morbidade em longo prazo, devido a sequelas, respostas inflamatórias e hábitos de vida inadequados (4). Levantamento com dados do Ministério da Saúde de 2014 revelou escassez e distribuição desigual de leitos e centros especializados no SUS, já que apenas 9,6% dos hospitais credenciados ofereciam cirurgia cardíaca pediátrica, com carência de serviços em alguns estados. Estimativas apontam que de 30 a 50% dos casos de CC no Brasil não chegam a ser diagnosticados ou recebem atendimento tardio, evoluindo para óbito (1).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As CC representam um relevante problema de saúde pública no Brasil. São necessárias políticas para ampliar a cobertura da triagem neonatal, qualificar a rede de atenção e equalizar a distribuição regional de recursos especializados no SUS.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Brasil; cardiopatias congênitas; diagnóstico; Sistema Único de Saúde.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BRASIL. Ministério da Saúde. Secretaria de Atenção à Saúde. Departamento de Atenção Especializada. Política Nacional de Atenção Cardiovascular de Alta Complexidade. Brasília: Ministério da Saúde,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FABIO AUGUSTO SELIG. Panorama e Estratégias no Diagnóstico e Tratamento de Cardiopatias Congênitas no Brasil. DOAJ (DOAJ: Directory of Open Access Journals), 2021.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MARELLI, A. J. et al. Lifetime prevalence of congenital heart disease in the general population from 2000 to 2010. Circulation, v. 130, n. 9, p. 749-756, 2014.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MARELLI, A. J.; GAUVREAU, K. Long-term health-related quality of life outcomes in contemporary adult congenital heart disease patients. Cardiology Clinics, v. 35, n. 3, p. 397-413, 2017.</w:t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‌</w:t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b w:val="1"/>
          <w:color w:val="3c315b"/>
          <w:sz w:val="20"/>
          <w:szCs w:val="20"/>
          <w:shd w:fill="f5f2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680.3149606299213" w:top="680.3149606299213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_B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color w:val="ffffff"/>
      <w:sz w:val="30"/>
      <w:szCs w:val="30"/>
      <w:shd w:fill="a4c2f4" w:val="clear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28"/>
      <w:szCs w:val="28"/>
      <w:shd w:fill="c9daf8" w:val="clear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0b539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0b5394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