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D96" w:rsidRDefault="00FA79B1">
      <w:pPr>
        <w:pBdr>
          <w:top w:val="single" w:sz="8" w:space="0" w:color="C0C0C0"/>
          <w:left w:val="nil"/>
          <w:bottom w:val="nil"/>
          <w:right w:val="nil"/>
          <w:between w:val="nil"/>
        </w:pBdr>
        <w:spacing w:before="1100" w:after="0" w:line="360" w:lineRule="auto"/>
        <w:ind w:left="5" w:hanging="7"/>
        <w:jc w:val="left"/>
        <w:rPr>
          <w:color w:val="000000"/>
          <w:sz w:val="40"/>
          <w:szCs w:val="40"/>
        </w:rPr>
      </w:pPr>
      <w:bookmarkStart w:id="0" w:name="_heading=h.gjdgxs" w:colFirst="0" w:colLast="0"/>
      <w:bookmarkStart w:id="1" w:name="_GoBack"/>
      <w:bookmarkEnd w:id="0"/>
      <w:bookmarkEnd w:id="1"/>
      <w:r>
        <w:rPr>
          <w:color w:val="C0C0C0"/>
          <w:sz w:val="72"/>
          <w:szCs w:val="72"/>
        </w:rPr>
        <w:t>Resultado de Pesquisa</w:t>
      </w:r>
      <w:r>
        <w:rPr>
          <w:color w:val="000000"/>
          <w:sz w:val="40"/>
          <w:szCs w:val="40"/>
        </w:rPr>
        <w:tab/>
      </w:r>
    </w:p>
    <w:p w:rsidR="00B07D8E" w:rsidRPr="00B07D8E" w:rsidRDefault="00B07D8E" w:rsidP="00B07D8E">
      <w:pPr>
        <w:spacing w:line="360" w:lineRule="auto"/>
        <w:ind w:left="2" w:hanging="4"/>
        <w:jc w:val="center"/>
        <w:rPr>
          <w:rFonts w:eastAsia="Times New Roman" w:cs="Arial"/>
          <w:sz w:val="44"/>
          <w:szCs w:val="44"/>
        </w:rPr>
      </w:pPr>
      <w:r w:rsidRPr="00B07D8E">
        <w:rPr>
          <w:rFonts w:eastAsia="Times New Roman" w:cs="Arial"/>
          <w:sz w:val="44"/>
          <w:szCs w:val="44"/>
        </w:rPr>
        <w:t>BIODIVERSIDADE DE ODONATA E SUAS CONTRIBUIÇÕES COMO BIOINDICADORES DO RIO LONTRA</w:t>
      </w:r>
    </w:p>
    <w:p w:rsidR="00307D96" w:rsidRDefault="00307D96" w:rsidP="00B07D8E">
      <w:pPr>
        <w:spacing w:line="360" w:lineRule="auto"/>
        <w:ind w:leftChars="0" w:left="0" w:firstLineChars="0" w:firstLine="0"/>
        <w:rPr>
          <w:sz w:val="28"/>
          <w:szCs w:val="28"/>
        </w:rPr>
        <w:sectPr w:rsidR="00307D96">
          <w:headerReference w:type="default" r:id="rId9"/>
          <w:footerReference w:type="default" r:id="rId10"/>
          <w:pgSz w:w="11907" w:h="16840"/>
          <w:pgMar w:top="1440" w:right="1800" w:bottom="1440" w:left="1800" w:header="720" w:footer="720" w:gutter="0"/>
          <w:pgNumType w:start="1"/>
          <w:cols w:space="720"/>
        </w:sectPr>
      </w:pPr>
    </w:p>
    <w:p w:rsidR="00307D96" w:rsidRDefault="00307D96">
      <w:pPr>
        <w:spacing w:line="360" w:lineRule="auto"/>
        <w:ind w:left="1" w:hanging="3"/>
        <w:jc w:val="right"/>
        <w:rPr>
          <w:sz w:val="28"/>
          <w:szCs w:val="28"/>
        </w:rPr>
      </w:pPr>
    </w:p>
    <w:p w:rsidR="00B07D8E" w:rsidRPr="003547A0" w:rsidRDefault="00B07D8E">
      <w:pPr>
        <w:spacing w:line="276" w:lineRule="auto"/>
        <w:ind w:left="1" w:hanging="3"/>
        <w:jc w:val="right"/>
        <w:rPr>
          <w:b/>
          <w:sz w:val="28"/>
          <w:szCs w:val="28"/>
        </w:rPr>
      </w:pPr>
      <w:r w:rsidRPr="003547A0">
        <w:rPr>
          <w:b/>
          <w:sz w:val="28"/>
          <w:szCs w:val="28"/>
        </w:rPr>
        <w:t>Gisele da Silva dos S</w:t>
      </w:r>
      <w:r w:rsidR="003547A0" w:rsidRPr="003547A0">
        <w:rPr>
          <w:b/>
          <w:sz w:val="28"/>
          <w:szCs w:val="28"/>
        </w:rPr>
        <w:t xml:space="preserve">antos, Universidade Federal do Norte do Tocantins, gisele.santos.@mail.uft.edu.br </w:t>
      </w:r>
    </w:p>
    <w:p w:rsidR="003547A0" w:rsidRPr="003547A0" w:rsidRDefault="003547A0">
      <w:pPr>
        <w:spacing w:line="276" w:lineRule="auto"/>
        <w:ind w:left="1" w:hanging="3"/>
        <w:jc w:val="right"/>
        <w:rPr>
          <w:b/>
          <w:sz w:val="28"/>
          <w:szCs w:val="28"/>
        </w:rPr>
      </w:pPr>
      <w:r w:rsidRPr="003547A0">
        <w:rPr>
          <w:b/>
          <w:sz w:val="28"/>
          <w:szCs w:val="28"/>
        </w:rPr>
        <w:t xml:space="preserve">Silvia Leitão Dutra, Universidade Federal do Norte do Tocantins, </w:t>
      </w:r>
      <w:r w:rsidRPr="003547A0">
        <w:rPr>
          <w:rFonts w:eastAsia="Arial" w:cs="Arial"/>
          <w:b/>
          <w:color w:val="000000"/>
          <w:sz w:val="28"/>
          <w:szCs w:val="28"/>
        </w:rPr>
        <w:t>silvia.dutra@ufnt.edu.br</w:t>
      </w:r>
      <w:r w:rsidRPr="003547A0">
        <w:rPr>
          <w:b/>
          <w:sz w:val="28"/>
          <w:szCs w:val="28"/>
        </w:rPr>
        <w:t xml:space="preserve"> </w:t>
      </w:r>
    </w:p>
    <w:p w:rsidR="00307D96" w:rsidRDefault="00307D96" w:rsidP="004900B9">
      <w:pPr>
        <w:spacing w:before="0" w:after="0" w:line="360" w:lineRule="auto"/>
        <w:ind w:leftChars="0" w:left="0" w:firstLineChars="0" w:firstLine="0"/>
        <w:sectPr w:rsidR="00307D96">
          <w:headerReference w:type="default" r:id="rId11"/>
          <w:type w:val="continuous"/>
          <w:pgSz w:w="11907" w:h="16840"/>
          <w:pgMar w:top="1440" w:right="1800" w:bottom="1440" w:left="1800" w:header="720" w:footer="720" w:gutter="0"/>
          <w:cols w:space="720"/>
        </w:sectPr>
      </w:pPr>
    </w:p>
    <w:p w:rsidR="00307D96" w:rsidRDefault="00307D96" w:rsidP="004900B9">
      <w:pPr>
        <w:pBdr>
          <w:top w:val="nil"/>
          <w:left w:val="nil"/>
          <w:bottom w:val="nil"/>
          <w:right w:val="nil"/>
          <w:between w:val="nil"/>
        </w:pBdr>
        <w:spacing w:before="0" w:after="80" w:line="360" w:lineRule="auto"/>
        <w:ind w:leftChars="0" w:left="0" w:firstLineChars="0" w:firstLine="0"/>
        <w:jc w:val="left"/>
        <w:rPr>
          <w:color w:val="000000"/>
          <w:sz w:val="44"/>
          <w:szCs w:val="44"/>
        </w:rPr>
      </w:pPr>
      <w:bookmarkStart w:id="2" w:name="_heading=h.30j0zll" w:colFirst="0" w:colLast="0"/>
      <w:bookmarkEnd w:id="2"/>
    </w:p>
    <w:p w:rsidR="00307D96" w:rsidRDefault="00FA79B1">
      <w:pPr>
        <w:numPr>
          <w:ilvl w:val="0"/>
          <w:numId w:val="1"/>
        </w:numPr>
        <w:pBdr>
          <w:top w:val="nil"/>
          <w:left w:val="nil"/>
          <w:bottom w:val="nil"/>
          <w:right w:val="nil"/>
          <w:between w:val="nil"/>
        </w:pBdr>
        <w:spacing w:before="0" w:after="80" w:line="360" w:lineRule="auto"/>
        <w:ind w:left="2" w:hanging="4"/>
        <w:jc w:val="left"/>
        <w:rPr>
          <w:color w:val="000000"/>
          <w:sz w:val="44"/>
          <w:szCs w:val="44"/>
        </w:rPr>
      </w:pPr>
      <w:bookmarkStart w:id="3" w:name="bookmark=id.1fob9te" w:colFirst="0" w:colLast="0"/>
      <w:bookmarkEnd w:id="3"/>
      <w:r>
        <w:rPr>
          <w:color w:val="000000"/>
          <w:sz w:val="44"/>
          <w:szCs w:val="44"/>
        </w:rPr>
        <w:t>Apresentação e Justificativa</w:t>
      </w:r>
    </w:p>
    <w:p w:rsidR="004900B9" w:rsidRPr="00C55C4E" w:rsidRDefault="004900B9" w:rsidP="004900B9">
      <w:pPr>
        <w:pStyle w:val="NormalWeb"/>
        <w:spacing w:before="240" w:after="240" w:line="360" w:lineRule="auto"/>
        <w:ind w:leftChars="0" w:left="0" w:firstLineChars="0" w:firstLine="720"/>
        <w:rPr>
          <w:rFonts w:ascii="Century Gothic" w:hAnsi="Century Gothic" w:cs="Arial"/>
          <w:sz w:val="20"/>
        </w:rPr>
      </w:pPr>
      <w:r w:rsidRPr="00C55C4E">
        <w:rPr>
          <w:rFonts w:ascii="Century Gothic" w:hAnsi="Century Gothic" w:cs="Arial"/>
          <w:color w:val="000000"/>
          <w:sz w:val="20"/>
        </w:rPr>
        <w:t xml:space="preserve">A bacia do Rio Lontra é de suma importância para a região que utiliza suas águas para o desenvolvimento das cidades, como Araguaína- Tocantins, que fica localizada na porção norte do estado do Tocantins. A relação entre o Rio Lontra e as atividades humanas do município de Araguaína são de constante análise pelas entidades públicas e pela comunidade científica, acerca dos impactos que o rio tem sobre a população humana, assim como os impactos que o estilo de vida desta população tem sobre o rio (TRINDADE &amp; SIEBEN, 2012; BRITO </w:t>
      </w:r>
      <w:r w:rsidRPr="00C55C4E">
        <w:rPr>
          <w:rFonts w:ascii="Century Gothic" w:hAnsi="Century Gothic" w:cs="Arial"/>
          <w:i/>
          <w:iCs/>
          <w:color w:val="000000"/>
          <w:sz w:val="20"/>
        </w:rPr>
        <w:t>et al</w:t>
      </w:r>
      <w:r w:rsidRPr="00C55C4E">
        <w:rPr>
          <w:rFonts w:ascii="Century Gothic" w:hAnsi="Century Gothic" w:cs="Arial"/>
          <w:color w:val="000000"/>
          <w:sz w:val="20"/>
        </w:rPr>
        <w:t>., 2014; VELOSO &amp; SILVA; SEPLAN, 2002; SILVA, SIMAÕ &amp; DUTRA, 2018).</w:t>
      </w:r>
    </w:p>
    <w:p w:rsidR="004900B9" w:rsidRPr="00C55C4E" w:rsidRDefault="004900B9" w:rsidP="004900B9">
      <w:pPr>
        <w:pStyle w:val="NormalWeb"/>
        <w:spacing w:before="240" w:after="240" w:line="360" w:lineRule="auto"/>
        <w:ind w:leftChars="0" w:left="0" w:firstLineChars="0" w:firstLine="720"/>
        <w:rPr>
          <w:rFonts w:ascii="Century Gothic" w:hAnsi="Century Gothic" w:cs="Arial"/>
          <w:sz w:val="20"/>
        </w:rPr>
      </w:pPr>
      <w:r w:rsidRPr="00C55C4E">
        <w:rPr>
          <w:rFonts w:ascii="Century Gothic" w:hAnsi="Century Gothic" w:cs="Arial"/>
          <w:color w:val="000000"/>
          <w:sz w:val="20"/>
        </w:rPr>
        <w:t xml:space="preserve">A crescente expansão demográfica assim como a industrial, aliada ao desenvolvimento socioeconômico ocorrido nas últimas décadas tem ocasionado impactos diversos nos recursos naturais, principalmente nos recursos hídricos (FRANÇA </w:t>
      </w:r>
      <w:r w:rsidRPr="00C55C4E">
        <w:rPr>
          <w:rFonts w:ascii="Century Gothic" w:hAnsi="Century Gothic" w:cs="Arial"/>
          <w:i/>
          <w:iCs/>
          <w:color w:val="000000"/>
          <w:sz w:val="20"/>
        </w:rPr>
        <w:t>et</w:t>
      </w:r>
      <w:r w:rsidRPr="00C55C4E">
        <w:rPr>
          <w:rFonts w:ascii="Century Gothic" w:hAnsi="Century Gothic" w:cs="Arial"/>
          <w:color w:val="000000"/>
          <w:sz w:val="20"/>
        </w:rPr>
        <w:t xml:space="preserve"> </w:t>
      </w:r>
      <w:r w:rsidRPr="00C55C4E">
        <w:rPr>
          <w:rFonts w:ascii="Century Gothic" w:hAnsi="Century Gothic" w:cs="Arial"/>
          <w:i/>
          <w:iCs/>
          <w:color w:val="000000"/>
          <w:sz w:val="20"/>
        </w:rPr>
        <w:t>al</w:t>
      </w:r>
      <w:r w:rsidRPr="00C55C4E">
        <w:rPr>
          <w:rFonts w:ascii="Century Gothic" w:hAnsi="Century Gothic" w:cs="Arial"/>
          <w:color w:val="000000"/>
          <w:sz w:val="20"/>
        </w:rPr>
        <w:t>.,</w:t>
      </w:r>
      <w:r w:rsidRPr="00C55C4E">
        <w:rPr>
          <w:rFonts w:ascii="Century Gothic" w:hAnsi="Century Gothic" w:cs="Arial"/>
          <w:i/>
          <w:iCs/>
          <w:color w:val="000000"/>
          <w:sz w:val="20"/>
        </w:rPr>
        <w:t xml:space="preserve"> </w:t>
      </w:r>
      <w:r w:rsidRPr="00C55C4E">
        <w:rPr>
          <w:rFonts w:ascii="Century Gothic" w:hAnsi="Century Gothic" w:cs="Arial"/>
          <w:color w:val="000000"/>
          <w:sz w:val="20"/>
        </w:rPr>
        <w:t>2019</w:t>
      </w:r>
      <w:r w:rsidRPr="00C55C4E">
        <w:rPr>
          <w:rFonts w:ascii="Century Gothic" w:hAnsi="Century Gothic" w:cs="Arial"/>
          <w:i/>
          <w:iCs/>
          <w:color w:val="000000"/>
          <w:sz w:val="20"/>
        </w:rPr>
        <w:t>)</w:t>
      </w:r>
      <w:r w:rsidRPr="00C55C4E">
        <w:rPr>
          <w:rFonts w:ascii="Century Gothic" w:hAnsi="Century Gothic" w:cs="Arial"/>
          <w:color w:val="000000"/>
          <w:sz w:val="20"/>
        </w:rPr>
        <w:t>. Deste modo, analisar a qualidade da água é de fundamental importância para que as comunidades ribeirinhas, pescadores e banhistas não sofram contaminações. Aliado a isto, materiais biológicos podem auxiliar na avaliação da qualidade do ambiente, isto é, os bioindicadores.</w:t>
      </w:r>
    </w:p>
    <w:p w:rsidR="004900B9" w:rsidRPr="00C55C4E" w:rsidRDefault="004900B9" w:rsidP="00C55C4E">
      <w:pPr>
        <w:pStyle w:val="NormalWeb"/>
        <w:spacing w:before="240" w:after="240" w:line="360" w:lineRule="auto"/>
        <w:ind w:leftChars="0" w:left="0" w:firstLineChars="0" w:firstLine="720"/>
        <w:rPr>
          <w:rFonts w:ascii="Century Gothic" w:hAnsi="Century Gothic" w:cs="Arial"/>
          <w:sz w:val="20"/>
        </w:rPr>
      </w:pPr>
      <w:r w:rsidRPr="00C55C4E">
        <w:rPr>
          <w:rFonts w:ascii="Century Gothic" w:hAnsi="Century Gothic" w:cs="Arial"/>
          <w:color w:val="000000"/>
          <w:sz w:val="20"/>
        </w:rPr>
        <w:t xml:space="preserve">Os bioindicadores são definidos como um grupo de espécies ou comunidades biológicas cujos aspectos como quantidade, distribuição e presença indicam a magnitude de impactos ambientais em um ecossistema (CALISTO, GONÇALVES &amp; MORENO, 2018; BRAZ &amp; LONGO, 2019), modificando suas funções vitais, ou até mesmo sua composição química (KAPUSTA, 2008; BRAZ &amp; LONGO). Os insetos são ótimos bioindicadores por possuírem curto ciclo de vida e responderem rapidamente às alterações ambientais (BUSS </w:t>
      </w:r>
      <w:r w:rsidRPr="00C55C4E">
        <w:rPr>
          <w:rFonts w:ascii="Century Gothic" w:hAnsi="Century Gothic" w:cs="Arial"/>
          <w:i/>
          <w:iCs/>
          <w:color w:val="000000"/>
          <w:sz w:val="20"/>
        </w:rPr>
        <w:t>et</w:t>
      </w:r>
      <w:r w:rsidRPr="00C55C4E">
        <w:rPr>
          <w:rFonts w:ascii="Century Gothic" w:hAnsi="Century Gothic" w:cs="Arial"/>
          <w:color w:val="000000"/>
          <w:sz w:val="20"/>
        </w:rPr>
        <w:t xml:space="preserve"> </w:t>
      </w:r>
      <w:r w:rsidRPr="00C55C4E">
        <w:rPr>
          <w:rFonts w:ascii="Century Gothic" w:hAnsi="Century Gothic" w:cs="Arial"/>
          <w:i/>
          <w:iCs/>
          <w:color w:val="000000"/>
          <w:sz w:val="20"/>
        </w:rPr>
        <w:t>al</w:t>
      </w:r>
      <w:r w:rsidRPr="00C55C4E">
        <w:rPr>
          <w:rFonts w:ascii="Century Gothic" w:hAnsi="Century Gothic" w:cs="Arial"/>
          <w:color w:val="000000"/>
          <w:sz w:val="20"/>
        </w:rPr>
        <w:t>., 2008., SILVA, SIMÃO &amp; DUTRA, 2018), com essas respostas sendo mais evidentes em organismos com histórico de vida complexa, como os pertencentes à ordem Odonata, popularmente chamados de libélulas, cambito, lavadeira, lava-bunda, donzelinha, dentre o</w:t>
      </w:r>
      <w:r w:rsidR="00D918DE">
        <w:rPr>
          <w:rFonts w:ascii="Century Gothic" w:hAnsi="Century Gothic" w:cs="Arial"/>
          <w:color w:val="000000"/>
          <w:sz w:val="20"/>
        </w:rPr>
        <w:t>utros (REMSBURG &amp; TURNER, 2009;</w:t>
      </w:r>
      <w:r w:rsidRPr="00C55C4E">
        <w:rPr>
          <w:rFonts w:ascii="Century Gothic" w:hAnsi="Century Gothic" w:cs="Arial"/>
          <w:color w:val="000000"/>
          <w:sz w:val="20"/>
        </w:rPr>
        <w:t xml:space="preserve"> SILVA, SIMÃO &amp; DUTRA, 2018). </w:t>
      </w:r>
    </w:p>
    <w:p w:rsidR="004900B9" w:rsidRPr="00C55C4E" w:rsidRDefault="004900B9" w:rsidP="00C55C4E">
      <w:pPr>
        <w:pStyle w:val="NormalWeb"/>
        <w:spacing w:before="240" w:after="240" w:line="360" w:lineRule="auto"/>
        <w:ind w:leftChars="0" w:left="0" w:firstLineChars="0" w:firstLine="720"/>
        <w:rPr>
          <w:rFonts w:ascii="Century Gothic" w:hAnsi="Century Gothic" w:cs="Arial"/>
          <w:sz w:val="20"/>
        </w:rPr>
      </w:pPr>
      <w:r w:rsidRPr="00C55C4E">
        <w:rPr>
          <w:rFonts w:ascii="Century Gothic" w:hAnsi="Century Gothic" w:cs="Arial"/>
          <w:color w:val="000000"/>
          <w:sz w:val="20"/>
        </w:rPr>
        <w:t xml:space="preserve">Os insetos aquáticos são definidos como aqueles que vivem pelo menos um estágio do seu ciclo de vida na água (BRASIL </w:t>
      </w:r>
      <w:r w:rsidRPr="00C55C4E">
        <w:rPr>
          <w:rFonts w:ascii="Century Gothic" w:hAnsi="Century Gothic" w:cs="Arial"/>
          <w:i/>
          <w:iCs/>
          <w:color w:val="000000"/>
          <w:sz w:val="20"/>
        </w:rPr>
        <w:t>et al</w:t>
      </w:r>
      <w:r w:rsidRPr="00C55C4E">
        <w:rPr>
          <w:rFonts w:ascii="Century Gothic" w:hAnsi="Century Gothic" w:cs="Arial"/>
          <w:color w:val="000000"/>
          <w:sz w:val="20"/>
        </w:rPr>
        <w:t xml:space="preserve">., 2022) como por exemplo as Odonata. As larvas de Odonata, também denominadas ninfas, estão restritas aos ambientes aquáticos, enquanto os adultos são de vida terrestre. Na fase adulta, </w:t>
      </w:r>
      <w:r w:rsidRPr="00C55C4E">
        <w:rPr>
          <w:rFonts w:ascii="Century Gothic" w:hAnsi="Century Gothic" w:cs="Arial"/>
          <w:color w:val="000000"/>
          <w:sz w:val="20"/>
        </w:rPr>
        <w:lastRenderedPageBreak/>
        <w:t xml:space="preserve">enquanto os machos permanecem próximos aos corpos d’água efetuando a defesa do território reprodutivo, as fêmeas dispersam-se para além dos rios, voltando ao mesmo para realizar a oviposição (CONRAD </w:t>
      </w:r>
      <w:r w:rsidRPr="00C55C4E">
        <w:rPr>
          <w:rFonts w:ascii="Century Gothic" w:hAnsi="Century Gothic" w:cs="Arial"/>
          <w:i/>
          <w:iCs/>
          <w:color w:val="000000"/>
          <w:sz w:val="20"/>
        </w:rPr>
        <w:t>et al</w:t>
      </w:r>
      <w:r w:rsidRPr="00C55C4E">
        <w:rPr>
          <w:rFonts w:ascii="Century Gothic" w:hAnsi="Century Gothic" w:cs="Arial"/>
          <w:color w:val="000000"/>
          <w:sz w:val="20"/>
        </w:rPr>
        <w:t xml:space="preserve">., 1999; CONRAD </w:t>
      </w:r>
      <w:r w:rsidRPr="00C55C4E">
        <w:rPr>
          <w:rFonts w:ascii="Century Gothic" w:hAnsi="Century Gothic" w:cs="Arial"/>
          <w:i/>
          <w:iCs/>
          <w:color w:val="000000"/>
          <w:sz w:val="20"/>
        </w:rPr>
        <w:t>et al</w:t>
      </w:r>
      <w:r w:rsidRPr="00C55C4E">
        <w:rPr>
          <w:rFonts w:ascii="Century Gothic" w:hAnsi="Century Gothic" w:cs="Arial"/>
          <w:color w:val="000000"/>
          <w:sz w:val="20"/>
        </w:rPr>
        <w:t>., 2002).</w:t>
      </w:r>
    </w:p>
    <w:p w:rsidR="00307D96" w:rsidRPr="00C55C4E" w:rsidRDefault="004900B9" w:rsidP="00C55C4E">
      <w:pPr>
        <w:pStyle w:val="NormalWeb"/>
        <w:spacing w:before="240" w:after="240" w:line="360" w:lineRule="auto"/>
        <w:ind w:leftChars="0" w:left="0" w:firstLineChars="0" w:firstLine="720"/>
        <w:rPr>
          <w:rFonts w:ascii="Century Gothic" w:eastAsia="Times New Roman" w:hAnsi="Century Gothic" w:cs="Arial"/>
          <w:sz w:val="20"/>
        </w:rPr>
      </w:pPr>
      <w:r w:rsidRPr="00C55C4E">
        <w:rPr>
          <w:rFonts w:ascii="Century Gothic" w:hAnsi="Century Gothic" w:cs="Arial"/>
          <w:color w:val="000000"/>
          <w:sz w:val="20"/>
        </w:rPr>
        <w:t>Deste modo, a riqueza, composição e distribuição de Odonata estão intimamente relacionados com mudanças nas características dos ambientes onde esses insetos se encontram, podendo assim refletir as condições sobre a integridade do ambiente que os</w:t>
      </w:r>
      <w:r w:rsidR="00D918DE">
        <w:rPr>
          <w:rFonts w:ascii="Century Gothic" w:hAnsi="Century Gothic" w:cs="Arial"/>
          <w:color w:val="000000"/>
          <w:sz w:val="20"/>
        </w:rPr>
        <w:t xml:space="preserve"> rodeiam (BUTLER &amp; DE MAYNADIER, </w:t>
      </w:r>
      <w:r w:rsidRPr="00C55C4E">
        <w:rPr>
          <w:rFonts w:ascii="Century Gothic" w:hAnsi="Century Gothic" w:cs="Arial"/>
          <w:color w:val="000000"/>
          <w:sz w:val="20"/>
        </w:rPr>
        <w:t>2008). Sendo assim, o presente trabalho tem como objetivo central inventariar as espécies de Libélulas adultas (Odonata) presentes na Bacia do Rio Lontra da cidade de Araguaína-TO visando sua utilização como ferramenta de avaliação e monitoramento da saúde ambiental.</w:t>
      </w:r>
    </w:p>
    <w:p w:rsidR="00307D96" w:rsidRDefault="00FA79B1">
      <w:pPr>
        <w:numPr>
          <w:ilvl w:val="0"/>
          <w:numId w:val="1"/>
        </w:numPr>
        <w:pBdr>
          <w:top w:val="nil"/>
          <w:left w:val="nil"/>
          <w:bottom w:val="nil"/>
          <w:right w:val="nil"/>
          <w:between w:val="nil"/>
        </w:pBdr>
        <w:spacing w:before="0" w:after="80" w:line="360" w:lineRule="auto"/>
        <w:ind w:left="2" w:hanging="4"/>
        <w:jc w:val="left"/>
        <w:rPr>
          <w:color w:val="000000"/>
          <w:sz w:val="44"/>
          <w:szCs w:val="44"/>
        </w:rPr>
      </w:pPr>
      <w:r>
        <w:rPr>
          <w:color w:val="000000"/>
          <w:sz w:val="44"/>
          <w:szCs w:val="44"/>
        </w:rPr>
        <w:t>Objetivos</w:t>
      </w:r>
    </w:p>
    <w:p w:rsidR="00714B67" w:rsidRDefault="002B3ECB" w:rsidP="002B3ECB">
      <w:pPr>
        <w:pStyle w:val="NormalWeb"/>
        <w:spacing w:before="240" w:after="240" w:line="360" w:lineRule="auto"/>
        <w:ind w:leftChars="0" w:left="0" w:firstLineChars="0" w:firstLine="0"/>
        <w:rPr>
          <w:rFonts w:ascii="Century Gothic" w:hAnsi="Century Gothic" w:cs="Arial"/>
          <w:sz w:val="20"/>
          <w:szCs w:val="20"/>
        </w:rPr>
      </w:pPr>
      <w:r w:rsidRPr="002B3ECB">
        <w:rPr>
          <w:rFonts w:ascii="Century Gothic" w:hAnsi="Century Gothic" w:cs="Arial"/>
          <w:b/>
          <w:bCs/>
          <w:color w:val="000000"/>
          <w:sz w:val="20"/>
          <w:szCs w:val="20"/>
        </w:rPr>
        <w:t>Objetivo Geral:</w:t>
      </w:r>
    </w:p>
    <w:p w:rsidR="002B3ECB" w:rsidRPr="002B3ECB" w:rsidRDefault="002B3ECB" w:rsidP="002B3ECB">
      <w:pPr>
        <w:pStyle w:val="NormalWeb"/>
        <w:spacing w:before="240" w:after="240" w:line="360" w:lineRule="auto"/>
        <w:ind w:leftChars="0" w:left="0" w:firstLineChars="0" w:firstLine="0"/>
        <w:rPr>
          <w:rFonts w:ascii="Century Gothic" w:hAnsi="Century Gothic" w:cs="Arial"/>
          <w:sz w:val="20"/>
          <w:szCs w:val="20"/>
        </w:rPr>
      </w:pPr>
      <w:r w:rsidRPr="002B3ECB">
        <w:rPr>
          <w:rFonts w:ascii="Century Gothic" w:hAnsi="Century Gothic" w:cs="Arial"/>
          <w:color w:val="000000"/>
          <w:sz w:val="20"/>
          <w:szCs w:val="20"/>
        </w:rPr>
        <w:t>Inventariar as espécies de Libélula (Odonata) presentes na bacia do rio Lontra visando sua utilização como ferramenta de avaliação e monitoramento da saúde ambiental.</w:t>
      </w:r>
    </w:p>
    <w:p w:rsidR="002B3ECB" w:rsidRPr="002B3ECB" w:rsidRDefault="002B3ECB" w:rsidP="002B3ECB">
      <w:pPr>
        <w:pStyle w:val="NormalWeb"/>
        <w:spacing w:before="240" w:after="240" w:line="360" w:lineRule="auto"/>
        <w:ind w:leftChars="0" w:left="0" w:firstLineChars="0" w:firstLine="0"/>
        <w:rPr>
          <w:rFonts w:ascii="Century Gothic" w:hAnsi="Century Gothic" w:cs="Arial"/>
          <w:sz w:val="20"/>
          <w:szCs w:val="20"/>
        </w:rPr>
      </w:pPr>
      <w:r w:rsidRPr="002B3ECB">
        <w:rPr>
          <w:rFonts w:ascii="Century Gothic" w:hAnsi="Century Gothic" w:cs="Arial"/>
          <w:b/>
          <w:bCs/>
          <w:color w:val="000000"/>
          <w:sz w:val="20"/>
          <w:szCs w:val="20"/>
        </w:rPr>
        <w:t>Objetivos Específicos:</w:t>
      </w:r>
    </w:p>
    <w:p w:rsidR="002B3ECB" w:rsidRPr="002B3ECB" w:rsidRDefault="002B3ECB" w:rsidP="002B3ECB">
      <w:pPr>
        <w:pStyle w:val="NormalWeb"/>
        <w:spacing w:before="240" w:after="240" w:line="360" w:lineRule="auto"/>
        <w:ind w:leftChars="0" w:left="0" w:firstLineChars="0" w:firstLine="0"/>
        <w:rPr>
          <w:rFonts w:ascii="Century Gothic" w:hAnsi="Century Gothic" w:cs="Arial"/>
          <w:sz w:val="20"/>
          <w:szCs w:val="20"/>
        </w:rPr>
      </w:pPr>
      <w:r w:rsidRPr="002B3ECB">
        <w:rPr>
          <w:rFonts w:ascii="Century Gothic" w:hAnsi="Century Gothic" w:cs="Arial"/>
          <w:color w:val="000000"/>
          <w:sz w:val="20"/>
          <w:szCs w:val="20"/>
        </w:rPr>
        <w:t>1) Fazer o inventário de espécies de Libélulas (Odonata) encontradas no Rio Lontra;</w:t>
      </w:r>
    </w:p>
    <w:p w:rsidR="002B3ECB" w:rsidRPr="002B3ECB" w:rsidRDefault="002B3ECB" w:rsidP="002B3ECB">
      <w:pPr>
        <w:pStyle w:val="NormalWeb"/>
        <w:spacing w:before="240" w:after="240" w:line="360" w:lineRule="auto"/>
        <w:ind w:leftChars="0" w:left="0" w:firstLineChars="0" w:firstLine="0"/>
        <w:rPr>
          <w:rFonts w:ascii="Century Gothic" w:hAnsi="Century Gothic" w:cs="Arial"/>
          <w:sz w:val="20"/>
          <w:szCs w:val="20"/>
        </w:rPr>
      </w:pPr>
      <w:r w:rsidRPr="002B3ECB">
        <w:rPr>
          <w:rFonts w:ascii="Century Gothic" w:hAnsi="Century Gothic" w:cs="Arial"/>
          <w:color w:val="000000"/>
          <w:sz w:val="20"/>
          <w:szCs w:val="20"/>
        </w:rPr>
        <w:t>2) Determinar relações de pluviometria e temperatura com a distribuição da comunidade de Libélulas pelo rio Lontra;</w:t>
      </w:r>
    </w:p>
    <w:p w:rsidR="002B3ECB" w:rsidRPr="002B3ECB" w:rsidRDefault="002B3ECB" w:rsidP="002B3ECB">
      <w:pPr>
        <w:pStyle w:val="NormalWeb"/>
        <w:spacing w:before="240" w:after="240" w:line="360" w:lineRule="auto"/>
        <w:ind w:leftChars="0" w:left="0" w:firstLineChars="0" w:firstLine="0"/>
        <w:rPr>
          <w:rFonts w:ascii="Century Gothic" w:hAnsi="Century Gothic" w:cs="Arial"/>
          <w:color w:val="000000"/>
          <w:sz w:val="20"/>
          <w:szCs w:val="20"/>
        </w:rPr>
      </w:pPr>
      <w:r w:rsidRPr="002B3ECB">
        <w:rPr>
          <w:rFonts w:ascii="Century Gothic" w:hAnsi="Century Gothic" w:cs="Arial"/>
          <w:color w:val="000000"/>
          <w:sz w:val="20"/>
          <w:szCs w:val="20"/>
        </w:rPr>
        <w:t>3) Avaliar a saúde ambiental do Rio Lontra, utilizando bioindicadores.</w:t>
      </w:r>
      <w:bookmarkStart w:id="4" w:name="_heading=h.3dy6vkm" w:colFirst="0" w:colLast="0"/>
      <w:bookmarkEnd w:id="4"/>
    </w:p>
    <w:p w:rsidR="00307D96" w:rsidRDefault="00FA79B1">
      <w:pPr>
        <w:numPr>
          <w:ilvl w:val="0"/>
          <w:numId w:val="1"/>
        </w:numPr>
        <w:pBdr>
          <w:top w:val="nil"/>
          <w:left w:val="nil"/>
          <w:bottom w:val="nil"/>
          <w:right w:val="nil"/>
          <w:between w:val="nil"/>
        </w:pBdr>
        <w:spacing w:before="0" w:after="80" w:line="360" w:lineRule="auto"/>
        <w:ind w:left="2" w:hanging="4"/>
        <w:jc w:val="left"/>
        <w:rPr>
          <w:color w:val="000000"/>
          <w:sz w:val="44"/>
          <w:szCs w:val="44"/>
        </w:rPr>
      </w:pPr>
      <w:r>
        <w:rPr>
          <w:color w:val="000000"/>
          <w:sz w:val="44"/>
          <w:szCs w:val="44"/>
        </w:rPr>
        <w:t>Metodologia</w:t>
      </w:r>
    </w:p>
    <w:p w:rsidR="002B3ECB" w:rsidRPr="002B3ECB" w:rsidRDefault="002B3ECB" w:rsidP="002B3ECB">
      <w:pPr>
        <w:pStyle w:val="NormalWeb"/>
        <w:spacing w:line="360" w:lineRule="auto"/>
        <w:ind w:leftChars="0" w:left="2" w:firstLineChars="0" w:firstLine="718"/>
        <w:rPr>
          <w:rFonts w:ascii="Century Gothic" w:hAnsi="Century Gothic" w:cs="Arial"/>
          <w:sz w:val="20"/>
          <w:szCs w:val="20"/>
        </w:rPr>
      </w:pPr>
      <w:r w:rsidRPr="002B3ECB">
        <w:rPr>
          <w:rFonts w:ascii="Century Gothic" w:hAnsi="Century Gothic" w:cs="Arial"/>
          <w:color w:val="000000"/>
          <w:sz w:val="20"/>
          <w:szCs w:val="20"/>
        </w:rPr>
        <w:t>O estudo foi realizado no município de Araguaína - Tocantins, cidade localizada na região norte do estado, com cerca de 171.301 habitantes e com área territorial de 4.004.646 km² (IBGE, 2022) com clima que varia entre 20º C e 32º C (SILVA, 2017). É válido mencionar que a cidade é conhecida por apresentar em sua composição vegetativa, tensões ecológicas no formato encrave, isto é, zonas de transição entre duas regiões biogeográficas (ecótonos), estes são os biomas Cerrado e Amazônia (IBGE, 19 de agosto de 2023).</w:t>
      </w:r>
      <w:r w:rsidRPr="002B3ECB">
        <w:rPr>
          <w:rFonts w:ascii="Century Gothic" w:hAnsi="Century Gothic" w:cs="Arial"/>
          <w:sz w:val="20"/>
          <w:szCs w:val="20"/>
        </w:rPr>
        <w:t xml:space="preserve"> </w:t>
      </w:r>
    </w:p>
    <w:p w:rsidR="002B3ECB" w:rsidRDefault="002B3ECB" w:rsidP="002B3ECB">
      <w:pPr>
        <w:pStyle w:val="NormalWeb"/>
        <w:spacing w:line="360" w:lineRule="auto"/>
        <w:ind w:leftChars="0" w:left="0" w:firstLineChars="0" w:firstLine="720"/>
        <w:rPr>
          <w:rFonts w:ascii="Century Gothic" w:hAnsi="Century Gothic" w:cs="Arial"/>
          <w:color w:val="000000"/>
          <w:sz w:val="20"/>
          <w:szCs w:val="20"/>
        </w:rPr>
      </w:pPr>
      <w:r w:rsidRPr="002B3ECB">
        <w:rPr>
          <w:rFonts w:ascii="Century Gothic" w:hAnsi="Century Gothic" w:cs="Arial"/>
          <w:color w:val="000000"/>
          <w:sz w:val="20"/>
          <w:szCs w:val="20"/>
        </w:rPr>
        <w:t>De forma precisa, o estudo foi realizado em nove pontos distribuídos especificamente pelo Rio Lontra</w:t>
      </w:r>
      <w:r w:rsidR="00714B67">
        <w:rPr>
          <w:rFonts w:ascii="Century Gothic" w:hAnsi="Century Gothic" w:cs="Arial"/>
          <w:color w:val="000000"/>
          <w:sz w:val="20"/>
          <w:szCs w:val="20"/>
        </w:rPr>
        <w:t xml:space="preserve"> (Tabela 1 e F</w:t>
      </w:r>
      <w:r w:rsidR="00EE798E">
        <w:rPr>
          <w:rFonts w:ascii="Century Gothic" w:hAnsi="Century Gothic" w:cs="Arial"/>
          <w:color w:val="000000"/>
          <w:sz w:val="20"/>
          <w:szCs w:val="20"/>
        </w:rPr>
        <w:t>igura 1)</w:t>
      </w:r>
      <w:r w:rsidRPr="002B3ECB">
        <w:rPr>
          <w:rFonts w:ascii="Century Gothic" w:hAnsi="Century Gothic" w:cs="Arial"/>
          <w:color w:val="000000"/>
          <w:sz w:val="20"/>
          <w:szCs w:val="20"/>
        </w:rPr>
        <w:t xml:space="preserve">, entre os meses de abril de 2022 </w:t>
      </w:r>
      <w:r w:rsidRPr="002B3ECB">
        <w:rPr>
          <w:rFonts w:ascii="Century Gothic" w:hAnsi="Century Gothic" w:cs="Arial"/>
          <w:color w:val="000000"/>
          <w:sz w:val="20"/>
          <w:szCs w:val="20"/>
        </w:rPr>
        <w:lastRenderedPageBreak/>
        <w:t>até julho de 2023, através de coletas ativas com métodos de varreduras em áreas fixas (SILVA, DE MARCO &amp; RESENDE, 2010) que consiste na contagem visual do número de indivíduos adultos de cada espécie de Odonata, presentes em 100 metros do corpo d’água de cada área, divididos em vinte segmentos de cinco metros cada um (SILVA, SIMÃO &amp; DUTRA, 2018). Os indivíduos de cada espécie de Odonata foram coletados por intermédio de redes entomológicas, conhecidas popularmente como puçá. Após a coleta dos espécimes, os organismos foram alocados em envelopes visitas de tamanho 98 x 68 mm.</w:t>
      </w:r>
    </w:p>
    <w:p w:rsidR="00E919D3" w:rsidRPr="00E919D3" w:rsidRDefault="00E919D3" w:rsidP="00E919D3">
      <w:pPr>
        <w:spacing w:before="240" w:after="240"/>
        <w:ind w:left="0" w:hanging="2"/>
        <w:rPr>
          <w:rFonts w:cs="Times New Roman"/>
        </w:rPr>
      </w:pPr>
      <w:r w:rsidRPr="00E919D3">
        <w:rPr>
          <w:rFonts w:cs="Times New Roman"/>
          <w:b/>
          <w:bCs/>
          <w:color w:val="000000"/>
        </w:rPr>
        <w:t>Tabela 1</w:t>
      </w:r>
      <w:r>
        <w:rPr>
          <w:rFonts w:cs="Times New Roman"/>
          <w:b/>
          <w:bCs/>
          <w:color w:val="000000"/>
        </w:rPr>
        <w:t xml:space="preserve"> </w:t>
      </w:r>
      <w:r w:rsidRPr="00E919D3">
        <w:rPr>
          <w:rFonts w:cs="Times New Roman"/>
          <w:color w:val="000000"/>
        </w:rPr>
        <w:t>- Latitude (S) e longitude (W) dos pontos de coleta das Odonatas, no município de Araguína-TO.</w:t>
      </w:r>
    </w:p>
    <w:tbl>
      <w:tblPr>
        <w:tblW w:w="7118" w:type="dxa"/>
        <w:jc w:val="center"/>
        <w:tblCellMar>
          <w:top w:w="15" w:type="dxa"/>
          <w:left w:w="15" w:type="dxa"/>
          <w:bottom w:w="15" w:type="dxa"/>
          <w:right w:w="15" w:type="dxa"/>
        </w:tblCellMar>
        <w:tblLook w:val="04A0" w:firstRow="1" w:lastRow="0" w:firstColumn="1" w:lastColumn="0" w:noHBand="0" w:noVBand="1"/>
      </w:tblPr>
      <w:tblGrid>
        <w:gridCol w:w="3751"/>
        <w:gridCol w:w="1466"/>
        <w:gridCol w:w="1901"/>
      </w:tblGrid>
      <w:tr w:rsidR="00E919D3" w:rsidRPr="00E919D3" w:rsidTr="00C55C4E">
        <w:trPr>
          <w:trHeight w:val="261"/>
          <w:tblHeader/>
          <w:jc w:val="center"/>
        </w:trPr>
        <w:tc>
          <w:tcPr>
            <w:tcW w:w="0" w:type="auto"/>
            <w:tcBorders>
              <w:top w:val="single" w:sz="4" w:space="0" w:color="000000"/>
              <w:bottom w:val="single" w:sz="4" w:space="0" w:color="000000"/>
            </w:tcBorders>
            <w:shd w:val="clear" w:color="auto" w:fill="FFFFFF"/>
            <w:tcMar>
              <w:top w:w="100" w:type="dxa"/>
              <w:left w:w="100" w:type="dxa"/>
              <w:bottom w:w="100" w:type="dxa"/>
              <w:right w:w="100" w:type="dxa"/>
            </w:tcMar>
            <w:hideMark/>
          </w:tcPr>
          <w:p w:rsidR="00E919D3" w:rsidRPr="00E919D3" w:rsidRDefault="00E919D3" w:rsidP="004900B9">
            <w:pPr>
              <w:ind w:left="0" w:hanging="2"/>
              <w:rPr>
                <w:rFonts w:cs="Times New Roman"/>
                <w:b/>
                <w:bCs/>
              </w:rPr>
            </w:pPr>
            <w:r w:rsidRPr="00E919D3">
              <w:rPr>
                <w:rFonts w:cs="Times New Roman"/>
                <w:b/>
                <w:bCs/>
                <w:color w:val="000000"/>
              </w:rPr>
              <w:t>Pontos de Coletas</w:t>
            </w:r>
          </w:p>
        </w:tc>
        <w:tc>
          <w:tcPr>
            <w:tcW w:w="0" w:type="auto"/>
            <w:tcBorders>
              <w:top w:val="single" w:sz="4" w:space="0" w:color="000000"/>
              <w:bottom w:val="single" w:sz="4" w:space="0" w:color="000000"/>
            </w:tcBorders>
            <w:shd w:val="clear" w:color="auto" w:fill="FFFFFF"/>
            <w:tcMar>
              <w:top w:w="100" w:type="dxa"/>
              <w:left w:w="100" w:type="dxa"/>
              <w:bottom w:w="100" w:type="dxa"/>
              <w:right w:w="100" w:type="dxa"/>
            </w:tcMar>
            <w:hideMark/>
          </w:tcPr>
          <w:p w:rsidR="00E919D3" w:rsidRPr="00E919D3" w:rsidRDefault="00E919D3" w:rsidP="004900B9">
            <w:pPr>
              <w:ind w:left="0" w:hanging="2"/>
              <w:jc w:val="center"/>
              <w:rPr>
                <w:rFonts w:cs="Times New Roman"/>
                <w:b/>
                <w:bCs/>
              </w:rPr>
            </w:pPr>
            <w:r w:rsidRPr="00E919D3">
              <w:rPr>
                <w:rFonts w:cs="Times New Roman"/>
                <w:b/>
                <w:bCs/>
                <w:color w:val="000000"/>
              </w:rPr>
              <w:t xml:space="preserve"> Latitude (S)</w:t>
            </w:r>
          </w:p>
        </w:tc>
        <w:tc>
          <w:tcPr>
            <w:tcW w:w="0" w:type="auto"/>
            <w:tcBorders>
              <w:top w:val="single" w:sz="4" w:space="0" w:color="000000"/>
              <w:bottom w:val="single" w:sz="4" w:space="0" w:color="000000"/>
            </w:tcBorders>
            <w:shd w:val="clear" w:color="auto" w:fill="FFFFFF"/>
            <w:tcMar>
              <w:top w:w="100" w:type="dxa"/>
              <w:left w:w="100" w:type="dxa"/>
              <w:bottom w:w="100" w:type="dxa"/>
              <w:right w:w="100" w:type="dxa"/>
            </w:tcMar>
            <w:hideMark/>
          </w:tcPr>
          <w:p w:rsidR="00E919D3" w:rsidRPr="00E919D3" w:rsidRDefault="00E919D3" w:rsidP="004900B9">
            <w:pPr>
              <w:ind w:left="0" w:hanging="2"/>
              <w:jc w:val="center"/>
              <w:rPr>
                <w:rFonts w:cs="Times New Roman"/>
                <w:b/>
                <w:bCs/>
              </w:rPr>
            </w:pPr>
            <w:r w:rsidRPr="00E919D3">
              <w:rPr>
                <w:rFonts w:cs="Times New Roman"/>
                <w:b/>
                <w:bCs/>
                <w:color w:val="000000"/>
              </w:rPr>
              <w:t>    Longitude (W)</w:t>
            </w:r>
          </w:p>
        </w:tc>
      </w:tr>
      <w:tr w:rsidR="00E919D3" w:rsidRPr="00E919D3" w:rsidTr="00C55C4E">
        <w:trPr>
          <w:trHeight w:val="404"/>
          <w:jc w:val="center"/>
        </w:trPr>
        <w:tc>
          <w:tcPr>
            <w:tcW w:w="0" w:type="auto"/>
            <w:tcBorders>
              <w:top w:val="single" w:sz="4" w:space="0" w:color="000000"/>
            </w:tcBorders>
            <w:tcMar>
              <w:top w:w="43" w:type="dxa"/>
              <w:left w:w="43" w:type="dxa"/>
              <w:bottom w:w="43" w:type="dxa"/>
              <w:right w:w="43" w:type="dxa"/>
            </w:tcMar>
            <w:hideMark/>
          </w:tcPr>
          <w:p w:rsidR="00E919D3" w:rsidRPr="00E919D3" w:rsidRDefault="00E919D3" w:rsidP="004900B9">
            <w:pPr>
              <w:ind w:left="0" w:hanging="2"/>
              <w:rPr>
                <w:rFonts w:cs="Times New Roman"/>
                <w:color w:val="000000"/>
              </w:rPr>
            </w:pPr>
            <w:r w:rsidRPr="00E919D3">
              <w:rPr>
                <w:rFonts w:cs="Times New Roman"/>
                <w:color w:val="000000"/>
              </w:rPr>
              <w:t>Céu Azul (CA)</w:t>
            </w:r>
          </w:p>
          <w:p w:rsidR="00E919D3" w:rsidRPr="00E919D3" w:rsidRDefault="00E919D3" w:rsidP="004900B9">
            <w:pPr>
              <w:ind w:left="0" w:hanging="2"/>
              <w:rPr>
                <w:rFonts w:cs="Times New Roman"/>
              </w:rPr>
            </w:pPr>
            <w:r w:rsidRPr="00E919D3">
              <w:rPr>
                <w:rFonts w:cs="Times New Roman"/>
                <w:color w:val="000000"/>
              </w:rPr>
              <w:t>Clube Naútico Tiúba Montante (CN)</w:t>
            </w:r>
          </w:p>
        </w:tc>
        <w:tc>
          <w:tcPr>
            <w:tcW w:w="0" w:type="auto"/>
            <w:tcBorders>
              <w:top w:val="single" w:sz="4" w:space="0" w:color="000000"/>
            </w:tcBorders>
            <w:tcMar>
              <w:top w:w="43" w:type="dxa"/>
              <w:left w:w="43" w:type="dxa"/>
              <w:bottom w:w="43" w:type="dxa"/>
              <w:right w:w="43" w:type="dxa"/>
            </w:tcMar>
            <w:hideMark/>
          </w:tcPr>
          <w:p w:rsidR="00E919D3" w:rsidRPr="00E919D3" w:rsidRDefault="00E919D3" w:rsidP="004900B9">
            <w:pPr>
              <w:ind w:left="0" w:hanging="2"/>
              <w:jc w:val="center"/>
              <w:rPr>
                <w:rFonts w:cs="Times New Roman"/>
                <w:color w:val="000000"/>
              </w:rPr>
            </w:pPr>
            <w:r w:rsidRPr="00E919D3">
              <w:rPr>
                <w:rFonts w:cs="Times New Roman"/>
                <w:color w:val="000000"/>
              </w:rPr>
              <w:t>7º13’33’’S</w:t>
            </w:r>
          </w:p>
          <w:p w:rsidR="00E919D3" w:rsidRPr="00E919D3" w:rsidRDefault="00E919D3" w:rsidP="004900B9">
            <w:pPr>
              <w:ind w:left="0" w:hanging="2"/>
              <w:jc w:val="center"/>
              <w:rPr>
                <w:rFonts w:cs="Times New Roman"/>
              </w:rPr>
            </w:pPr>
            <w:r w:rsidRPr="00E919D3">
              <w:rPr>
                <w:rFonts w:cs="Times New Roman"/>
                <w:color w:val="000000"/>
              </w:rPr>
              <w:t>7º13’17’’S</w:t>
            </w:r>
          </w:p>
        </w:tc>
        <w:tc>
          <w:tcPr>
            <w:tcW w:w="0" w:type="auto"/>
            <w:tcBorders>
              <w:top w:val="single" w:sz="4" w:space="0" w:color="000000"/>
            </w:tcBorders>
            <w:tcMar>
              <w:top w:w="43" w:type="dxa"/>
              <w:left w:w="43" w:type="dxa"/>
              <w:bottom w:w="43" w:type="dxa"/>
              <w:right w:w="43" w:type="dxa"/>
            </w:tcMar>
            <w:hideMark/>
          </w:tcPr>
          <w:p w:rsidR="00E919D3" w:rsidRPr="00E919D3" w:rsidRDefault="00E919D3" w:rsidP="004900B9">
            <w:pPr>
              <w:ind w:left="0" w:hanging="2"/>
              <w:jc w:val="center"/>
              <w:rPr>
                <w:rFonts w:cs="Times New Roman"/>
                <w:color w:val="000000"/>
              </w:rPr>
            </w:pPr>
            <w:r w:rsidRPr="00E919D3">
              <w:rPr>
                <w:rFonts w:cs="Times New Roman"/>
                <w:color w:val="000000"/>
              </w:rPr>
              <w:t>48º11’12’’W</w:t>
            </w:r>
          </w:p>
          <w:p w:rsidR="00E919D3" w:rsidRPr="00E919D3" w:rsidRDefault="00E919D3" w:rsidP="004900B9">
            <w:pPr>
              <w:ind w:left="0" w:hanging="2"/>
              <w:jc w:val="center"/>
              <w:rPr>
                <w:rFonts w:cs="Times New Roman"/>
              </w:rPr>
            </w:pPr>
            <w:r w:rsidRPr="00E919D3">
              <w:rPr>
                <w:rFonts w:cs="Times New Roman"/>
                <w:color w:val="000000"/>
              </w:rPr>
              <w:t>48º11’57’’W</w:t>
            </w:r>
          </w:p>
        </w:tc>
      </w:tr>
      <w:tr w:rsidR="00E919D3" w:rsidRPr="00683927" w:rsidTr="00C55C4E">
        <w:trPr>
          <w:trHeight w:val="225"/>
          <w:jc w:val="center"/>
        </w:trPr>
        <w:tc>
          <w:tcPr>
            <w:tcW w:w="0" w:type="auto"/>
            <w:tcMar>
              <w:top w:w="43" w:type="dxa"/>
              <w:left w:w="43" w:type="dxa"/>
              <w:bottom w:w="43" w:type="dxa"/>
              <w:right w:w="43" w:type="dxa"/>
            </w:tcMar>
            <w:hideMark/>
          </w:tcPr>
          <w:p w:rsidR="00E919D3" w:rsidRPr="00E919D3" w:rsidRDefault="00E919D3" w:rsidP="004900B9">
            <w:pPr>
              <w:ind w:left="0" w:hanging="2"/>
              <w:rPr>
                <w:rFonts w:cs="Times New Roman"/>
              </w:rPr>
            </w:pPr>
            <w:r w:rsidRPr="00E919D3">
              <w:rPr>
                <w:rFonts w:cs="Times New Roman"/>
                <w:color w:val="000000"/>
              </w:rPr>
              <w:t>Tiúba Jusante (TIU)</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7º13’09’’S</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48º12’13’’W</w:t>
            </w:r>
          </w:p>
        </w:tc>
      </w:tr>
      <w:tr w:rsidR="00E919D3" w:rsidRPr="00683927" w:rsidTr="00C55C4E">
        <w:trPr>
          <w:trHeight w:val="220"/>
          <w:jc w:val="center"/>
        </w:trPr>
        <w:tc>
          <w:tcPr>
            <w:tcW w:w="0" w:type="auto"/>
            <w:tcMar>
              <w:top w:w="43" w:type="dxa"/>
              <w:left w:w="43" w:type="dxa"/>
              <w:bottom w:w="43" w:type="dxa"/>
              <w:right w:w="43" w:type="dxa"/>
            </w:tcMar>
            <w:hideMark/>
          </w:tcPr>
          <w:p w:rsidR="00E919D3" w:rsidRPr="00E919D3" w:rsidRDefault="00E919D3" w:rsidP="004900B9">
            <w:pPr>
              <w:ind w:left="0" w:hanging="2"/>
              <w:rPr>
                <w:rFonts w:cs="Times New Roman"/>
              </w:rPr>
            </w:pPr>
            <w:r w:rsidRPr="00E919D3">
              <w:rPr>
                <w:rFonts w:cs="Times New Roman"/>
                <w:color w:val="000000"/>
              </w:rPr>
              <w:t>Pedalinho Via Lago (PED)</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7°12’33’’S</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48º13’06’’W</w:t>
            </w:r>
          </w:p>
        </w:tc>
      </w:tr>
      <w:tr w:rsidR="00E919D3" w:rsidRPr="00683927" w:rsidTr="00C55C4E">
        <w:trPr>
          <w:trHeight w:val="225"/>
          <w:jc w:val="center"/>
        </w:trPr>
        <w:tc>
          <w:tcPr>
            <w:tcW w:w="0" w:type="auto"/>
            <w:tcMar>
              <w:top w:w="43" w:type="dxa"/>
              <w:left w:w="43" w:type="dxa"/>
              <w:bottom w:w="43" w:type="dxa"/>
              <w:right w:w="43" w:type="dxa"/>
            </w:tcMar>
            <w:hideMark/>
          </w:tcPr>
          <w:p w:rsidR="00E919D3" w:rsidRPr="00E919D3" w:rsidRDefault="00E919D3" w:rsidP="004900B9">
            <w:pPr>
              <w:ind w:left="0" w:hanging="2"/>
              <w:rPr>
                <w:rFonts w:cs="Times New Roman"/>
              </w:rPr>
            </w:pPr>
            <w:r w:rsidRPr="00E919D3">
              <w:rPr>
                <w:rFonts w:cs="Times New Roman"/>
                <w:color w:val="000000"/>
              </w:rPr>
              <w:t>Prainha Via Lago (PRA)</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7º12’47’’S</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48º13’10’’W</w:t>
            </w:r>
          </w:p>
        </w:tc>
      </w:tr>
      <w:tr w:rsidR="00E919D3" w:rsidRPr="00683927" w:rsidTr="00C55C4E">
        <w:trPr>
          <w:trHeight w:val="220"/>
          <w:jc w:val="center"/>
        </w:trPr>
        <w:tc>
          <w:tcPr>
            <w:tcW w:w="0" w:type="auto"/>
            <w:tcMar>
              <w:top w:w="43" w:type="dxa"/>
              <w:left w:w="43" w:type="dxa"/>
              <w:bottom w:w="43" w:type="dxa"/>
              <w:right w:w="43" w:type="dxa"/>
            </w:tcMar>
            <w:hideMark/>
          </w:tcPr>
          <w:p w:rsidR="00E919D3" w:rsidRPr="00E919D3" w:rsidRDefault="00E919D3" w:rsidP="004900B9">
            <w:pPr>
              <w:ind w:left="0" w:hanging="2"/>
              <w:rPr>
                <w:rFonts w:cs="Times New Roman"/>
              </w:rPr>
            </w:pPr>
            <w:r w:rsidRPr="00E919D3">
              <w:rPr>
                <w:rFonts w:cs="Times New Roman"/>
                <w:color w:val="000000"/>
              </w:rPr>
              <w:t>Neblina (DND)</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7º12’32’’S</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48º13’36’’W</w:t>
            </w:r>
          </w:p>
        </w:tc>
      </w:tr>
      <w:tr w:rsidR="00E919D3" w:rsidRPr="00683927" w:rsidTr="00C55C4E">
        <w:trPr>
          <w:trHeight w:val="226"/>
          <w:jc w:val="center"/>
        </w:trPr>
        <w:tc>
          <w:tcPr>
            <w:tcW w:w="0" w:type="auto"/>
            <w:tcMar>
              <w:top w:w="43" w:type="dxa"/>
              <w:left w:w="43" w:type="dxa"/>
              <w:bottom w:w="43" w:type="dxa"/>
              <w:right w:w="43" w:type="dxa"/>
            </w:tcMar>
            <w:hideMark/>
          </w:tcPr>
          <w:p w:rsidR="00E919D3" w:rsidRPr="00E919D3" w:rsidRDefault="00E919D3" w:rsidP="004900B9">
            <w:pPr>
              <w:ind w:left="0" w:hanging="2"/>
              <w:rPr>
                <w:rFonts w:cs="Times New Roman"/>
              </w:rPr>
            </w:pPr>
            <w:r w:rsidRPr="00E919D3">
              <w:rPr>
                <w:rFonts w:cs="Times New Roman"/>
                <w:color w:val="000000"/>
              </w:rPr>
              <w:t>BRK</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7º12’46’’S</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48º14’13’’W</w:t>
            </w:r>
          </w:p>
        </w:tc>
      </w:tr>
      <w:tr w:rsidR="00E919D3" w:rsidRPr="00683927" w:rsidTr="00C55C4E">
        <w:trPr>
          <w:trHeight w:val="220"/>
          <w:jc w:val="center"/>
        </w:trPr>
        <w:tc>
          <w:tcPr>
            <w:tcW w:w="0" w:type="auto"/>
            <w:tcMar>
              <w:top w:w="43" w:type="dxa"/>
              <w:left w:w="43" w:type="dxa"/>
              <w:bottom w:w="43" w:type="dxa"/>
              <w:right w:w="43" w:type="dxa"/>
            </w:tcMar>
            <w:hideMark/>
          </w:tcPr>
          <w:p w:rsidR="00E919D3" w:rsidRPr="00E919D3" w:rsidRDefault="00E919D3" w:rsidP="004900B9">
            <w:pPr>
              <w:ind w:left="0" w:hanging="2"/>
              <w:rPr>
                <w:rFonts w:cs="Times New Roman"/>
              </w:rPr>
            </w:pPr>
            <w:r w:rsidRPr="00E919D3">
              <w:rPr>
                <w:rFonts w:cs="Times New Roman"/>
                <w:color w:val="000000"/>
              </w:rPr>
              <w:t>Bairro Juscelino Kubitschek (JK)</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7º12’28’’S</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48º14’40’’W</w:t>
            </w:r>
          </w:p>
        </w:tc>
      </w:tr>
      <w:tr w:rsidR="00E919D3" w:rsidRPr="00683927" w:rsidTr="00C55C4E">
        <w:trPr>
          <w:trHeight w:val="225"/>
          <w:jc w:val="center"/>
        </w:trPr>
        <w:tc>
          <w:tcPr>
            <w:tcW w:w="0" w:type="auto"/>
            <w:tcBorders>
              <w:bottom w:val="single" w:sz="4" w:space="0" w:color="000000"/>
            </w:tcBorders>
            <w:shd w:val="clear" w:color="auto" w:fill="FFFFFF"/>
            <w:tcMar>
              <w:top w:w="43" w:type="dxa"/>
              <w:left w:w="43" w:type="dxa"/>
              <w:bottom w:w="43" w:type="dxa"/>
              <w:right w:w="43" w:type="dxa"/>
            </w:tcMar>
            <w:hideMark/>
          </w:tcPr>
          <w:p w:rsidR="00E919D3" w:rsidRPr="00E919D3" w:rsidRDefault="00E919D3" w:rsidP="004900B9">
            <w:pPr>
              <w:ind w:left="0" w:hanging="2"/>
              <w:rPr>
                <w:rFonts w:cs="Times New Roman"/>
              </w:rPr>
            </w:pPr>
            <w:r w:rsidRPr="00E919D3">
              <w:rPr>
                <w:rFonts w:cs="Times New Roman"/>
                <w:color w:val="000000"/>
              </w:rPr>
              <w:t>Barra da Grota (BGR)</w:t>
            </w:r>
          </w:p>
        </w:tc>
        <w:tc>
          <w:tcPr>
            <w:tcW w:w="0" w:type="auto"/>
            <w:tcBorders>
              <w:bottom w:val="single" w:sz="4" w:space="0" w:color="000000"/>
            </w:tcBorders>
            <w:shd w:val="clear" w:color="auto" w:fill="FFFFFF"/>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7º12’26’’S</w:t>
            </w:r>
          </w:p>
        </w:tc>
        <w:tc>
          <w:tcPr>
            <w:tcW w:w="0" w:type="auto"/>
            <w:tcBorders>
              <w:bottom w:val="single" w:sz="4" w:space="0" w:color="000000"/>
            </w:tcBorders>
            <w:shd w:val="clear" w:color="auto" w:fill="FFFFFF"/>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48º17’46’’W</w:t>
            </w:r>
          </w:p>
        </w:tc>
      </w:tr>
    </w:tbl>
    <w:p w:rsidR="00E919D3" w:rsidRDefault="00E919D3" w:rsidP="00E919D3">
      <w:pPr>
        <w:spacing w:before="240" w:after="240"/>
        <w:ind w:left="0" w:hanging="2"/>
        <w:jc w:val="center"/>
        <w:rPr>
          <w:rFonts w:cs="Times New Roman"/>
          <w:color w:val="000000"/>
          <w:sz w:val="18"/>
          <w:szCs w:val="18"/>
        </w:rPr>
      </w:pPr>
      <w:r w:rsidRPr="00E919D3">
        <w:rPr>
          <w:rFonts w:cs="Times New Roman"/>
          <w:color w:val="000000"/>
          <w:sz w:val="18"/>
          <w:szCs w:val="18"/>
        </w:rPr>
        <w:t>Fonte: Autoria própria com base no Google Earth (2023). </w:t>
      </w:r>
    </w:p>
    <w:p w:rsidR="00E919D3" w:rsidRDefault="00E919D3" w:rsidP="00E919D3">
      <w:pPr>
        <w:spacing w:before="240" w:after="240"/>
        <w:ind w:left="0" w:hanging="2"/>
        <w:jc w:val="center"/>
        <w:rPr>
          <w:rFonts w:cs="Times New Roman"/>
          <w:color w:val="000000"/>
          <w:sz w:val="18"/>
          <w:szCs w:val="18"/>
        </w:rPr>
      </w:pPr>
    </w:p>
    <w:p w:rsidR="00E919D3" w:rsidRPr="00E919D3" w:rsidRDefault="00E919D3" w:rsidP="00E919D3">
      <w:pPr>
        <w:spacing w:before="240" w:after="240" w:line="360" w:lineRule="auto"/>
        <w:ind w:left="0" w:hanging="2"/>
        <w:rPr>
          <w:rFonts w:eastAsia="Times New Roman" w:cs="Times New Roman"/>
        </w:rPr>
      </w:pPr>
      <w:r>
        <w:rPr>
          <w:rFonts w:eastAsia="Times New Roman" w:cs="Times New Roman"/>
          <w:b/>
        </w:rPr>
        <w:t xml:space="preserve">Figura 1 </w:t>
      </w:r>
      <w:r w:rsidRPr="00E919D3">
        <w:rPr>
          <w:rFonts w:eastAsia="Times New Roman" w:cs="Times New Roman"/>
        </w:rPr>
        <w:t>- Localização dos nove pontos de coletas das Odonata realizadas entre os meses de abril de 2022 à julho de 2023, no município de Araguaína-TO.</w:t>
      </w:r>
    </w:p>
    <w:p w:rsidR="00E919D3" w:rsidRDefault="00E919D3" w:rsidP="00E919D3">
      <w:pPr>
        <w:spacing w:before="240" w:after="240"/>
        <w:ind w:left="0" w:hanging="2"/>
        <w:jc w:val="center"/>
        <w:rPr>
          <w:rFonts w:cs="Times New Roman"/>
          <w:color w:val="000000"/>
          <w:sz w:val="18"/>
          <w:szCs w:val="18"/>
        </w:rPr>
      </w:pPr>
      <w:r>
        <w:rPr>
          <w:rFonts w:ascii="Times New Roman" w:eastAsia="Times New Roman" w:hAnsi="Times New Roman" w:cs="Times New Roman"/>
          <w:noProof/>
          <w:lang w:val="pt-BR" w:eastAsia="pt-BR"/>
        </w:rPr>
        <w:drawing>
          <wp:inline distT="114300" distB="114300" distL="114300" distR="114300" wp14:anchorId="6C969697" wp14:editId="681C1444">
            <wp:extent cx="3922889" cy="1520190"/>
            <wp:effectExtent l="0" t="0" r="1905" b="381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3820"/>
                    <a:stretch>
                      <a:fillRect/>
                    </a:stretch>
                  </pic:blipFill>
                  <pic:spPr>
                    <a:xfrm>
                      <a:off x="0" y="0"/>
                      <a:ext cx="3938164" cy="1526109"/>
                    </a:xfrm>
                    <a:prstGeom prst="rect">
                      <a:avLst/>
                    </a:prstGeom>
                    <a:ln/>
                  </pic:spPr>
                </pic:pic>
              </a:graphicData>
            </a:graphic>
          </wp:inline>
        </w:drawing>
      </w:r>
    </w:p>
    <w:p w:rsidR="00E919D3" w:rsidRPr="00E919D3" w:rsidRDefault="00E919D3" w:rsidP="00E919D3">
      <w:pPr>
        <w:spacing w:before="240" w:after="240" w:line="360" w:lineRule="auto"/>
        <w:ind w:left="0" w:hanging="2"/>
        <w:jc w:val="center"/>
        <w:rPr>
          <w:rFonts w:eastAsia="Times New Roman" w:cs="Times New Roman"/>
          <w:sz w:val="18"/>
          <w:szCs w:val="18"/>
        </w:rPr>
      </w:pPr>
      <w:r w:rsidRPr="00E919D3">
        <w:rPr>
          <w:rFonts w:eastAsia="Times New Roman" w:cs="Times New Roman"/>
          <w:sz w:val="18"/>
          <w:szCs w:val="18"/>
        </w:rPr>
        <w:t xml:space="preserve">Fonte: Google Earth (2023). </w:t>
      </w:r>
    </w:p>
    <w:p w:rsidR="002B3ECB" w:rsidRPr="002B3ECB" w:rsidRDefault="002B3ECB" w:rsidP="002B3ECB">
      <w:pPr>
        <w:pStyle w:val="NormalWeb"/>
        <w:spacing w:line="360" w:lineRule="auto"/>
        <w:ind w:leftChars="0" w:left="0" w:firstLineChars="0" w:firstLine="720"/>
        <w:rPr>
          <w:rFonts w:ascii="Century Gothic" w:hAnsi="Century Gothic" w:cs="Arial"/>
          <w:color w:val="000000"/>
          <w:sz w:val="20"/>
          <w:szCs w:val="20"/>
        </w:rPr>
      </w:pPr>
      <w:r w:rsidRPr="002B3ECB">
        <w:rPr>
          <w:rFonts w:ascii="Century Gothic" w:hAnsi="Century Gothic" w:cs="Arial"/>
          <w:color w:val="000000"/>
          <w:sz w:val="20"/>
          <w:szCs w:val="20"/>
        </w:rPr>
        <w:lastRenderedPageBreak/>
        <w:t xml:space="preserve">Durante o trajeto do segmento nos pontos, os indivíduos avistados eram contados e anotados na ficha de </w:t>
      </w:r>
      <w:r w:rsidRPr="002B3ECB">
        <w:rPr>
          <w:rFonts w:ascii="Century Gothic" w:hAnsi="Century Gothic" w:cs="Arial"/>
          <w:i/>
          <w:color w:val="000000"/>
          <w:sz w:val="20"/>
          <w:szCs w:val="20"/>
        </w:rPr>
        <w:t>scan</w:t>
      </w:r>
      <w:r w:rsidRPr="002B3ECB">
        <w:rPr>
          <w:rFonts w:ascii="Century Gothic" w:hAnsi="Century Gothic" w:cs="Arial"/>
          <w:color w:val="000000"/>
          <w:sz w:val="20"/>
          <w:szCs w:val="20"/>
        </w:rPr>
        <w:t xml:space="preserve"> de acordo com a segmentação em que o animal estava localizado. Após o percurso de todos os pontos, os indivíduos coletados foram levados ao Laboratório de Coleções Biológicas e Paleontológicas da Universidade Federal do Norte do Tocantins, Centro de Ciências Integradas (UFNT/CCI), onde eram imersos em acetona P.A e em seguida colocados na estufa em 50º C.</w:t>
      </w:r>
    </w:p>
    <w:p w:rsidR="002B3ECB" w:rsidRPr="002B3ECB" w:rsidRDefault="002B3ECB" w:rsidP="002B3ECB">
      <w:pPr>
        <w:pStyle w:val="NormalWeb"/>
        <w:spacing w:line="360" w:lineRule="auto"/>
        <w:ind w:leftChars="0" w:left="0" w:firstLineChars="0" w:firstLine="720"/>
        <w:rPr>
          <w:rFonts w:ascii="Century Gothic" w:hAnsi="Century Gothic" w:cs="Arial"/>
          <w:sz w:val="20"/>
          <w:szCs w:val="20"/>
        </w:rPr>
      </w:pPr>
      <w:r w:rsidRPr="002B3ECB">
        <w:rPr>
          <w:rFonts w:ascii="Century Gothic" w:hAnsi="Century Gothic" w:cs="Arial"/>
          <w:color w:val="000000"/>
          <w:sz w:val="20"/>
          <w:szCs w:val="20"/>
        </w:rPr>
        <w:t xml:space="preserve">As Odonata da subordem Zygoptera eram mantidas na estufa por 48 horas seguidas e, quanto às de subordem Anisoptera, 72 horas. Após o período de secagem na estufa, os indivíduos eram etiquetados e acondicionados em envelopes plásticos (142 x 80 mm) sobre papel cartão (120 x 75 mm). </w:t>
      </w:r>
    </w:p>
    <w:p w:rsidR="00C55C4E" w:rsidRDefault="002B3ECB" w:rsidP="00C55C4E">
      <w:pPr>
        <w:pStyle w:val="NormalWeb"/>
        <w:spacing w:line="360" w:lineRule="auto"/>
        <w:ind w:leftChars="0" w:left="0" w:firstLineChars="0" w:firstLine="720"/>
        <w:rPr>
          <w:rFonts w:ascii="Century Gothic" w:eastAsia="Arial" w:hAnsi="Century Gothic" w:cs="Arial"/>
          <w:sz w:val="20"/>
          <w:szCs w:val="20"/>
        </w:rPr>
      </w:pPr>
      <w:r w:rsidRPr="002B3ECB">
        <w:rPr>
          <w:rFonts w:ascii="Century Gothic" w:hAnsi="Century Gothic" w:cs="Arial"/>
          <w:color w:val="000000"/>
          <w:sz w:val="20"/>
          <w:szCs w:val="20"/>
        </w:rPr>
        <w:t>Quanto à identificação do material biológico coletado foram utilizadas pesquisas e consultas de chaves taxonômicas especializadas presentes na literatura (LENCIONI, F. A. A, 2005; 2006; HECKMAN, C. W, 2006; GARRISON, ELLENRIEDER &amp; LOUTON, 2006) além disso, como ferramenta de identificação, os indivíduos foram observados com apoio de Estereomicroscópio binocular.</w:t>
      </w:r>
      <w:r w:rsidRPr="002B3ECB">
        <w:rPr>
          <w:rFonts w:ascii="Century Gothic" w:eastAsia="Arial" w:hAnsi="Century Gothic" w:cs="Arial"/>
          <w:sz w:val="20"/>
          <w:szCs w:val="20"/>
        </w:rPr>
        <w:t xml:space="preserve">                     </w:t>
      </w:r>
      <w:bookmarkStart w:id="5" w:name="_heading=h.1t3h5sf" w:colFirst="0" w:colLast="0"/>
      <w:bookmarkEnd w:id="5"/>
    </w:p>
    <w:p w:rsidR="00C55C4E" w:rsidRPr="00C55C4E" w:rsidRDefault="00C55C4E" w:rsidP="00C55C4E">
      <w:pPr>
        <w:pStyle w:val="NormalWeb"/>
        <w:spacing w:line="360" w:lineRule="auto"/>
        <w:ind w:leftChars="0" w:left="0" w:firstLineChars="0" w:firstLine="720"/>
        <w:rPr>
          <w:rFonts w:ascii="Century Gothic" w:eastAsia="Arial" w:hAnsi="Century Gothic" w:cs="Arial"/>
          <w:sz w:val="20"/>
          <w:szCs w:val="20"/>
        </w:rPr>
      </w:pPr>
    </w:p>
    <w:p w:rsidR="00307D96" w:rsidRDefault="00FA79B1">
      <w:pPr>
        <w:numPr>
          <w:ilvl w:val="0"/>
          <w:numId w:val="1"/>
        </w:numPr>
        <w:pBdr>
          <w:top w:val="nil"/>
          <w:left w:val="nil"/>
          <w:bottom w:val="nil"/>
          <w:right w:val="nil"/>
          <w:between w:val="nil"/>
        </w:pBdr>
        <w:spacing w:before="0" w:after="80" w:line="360" w:lineRule="auto"/>
        <w:ind w:left="2" w:hanging="4"/>
        <w:jc w:val="left"/>
        <w:rPr>
          <w:color w:val="000000"/>
          <w:sz w:val="44"/>
          <w:szCs w:val="44"/>
        </w:rPr>
      </w:pPr>
      <w:r>
        <w:rPr>
          <w:color w:val="000000"/>
          <w:sz w:val="44"/>
          <w:szCs w:val="44"/>
        </w:rPr>
        <w:t>Resultados</w:t>
      </w:r>
    </w:p>
    <w:p w:rsidR="00EE798E" w:rsidRDefault="00EE798E" w:rsidP="00EE798E">
      <w:pPr>
        <w:ind w:left="0" w:hanging="2"/>
        <w:rPr>
          <w:rFonts w:cs="Arial"/>
        </w:rPr>
      </w:pPr>
      <w:r w:rsidRPr="00EE798E">
        <w:rPr>
          <w:rFonts w:cs="Arial"/>
          <w:b/>
        </w:rPr>
        <w:t>Ta</w:t>
      </w:r>
      <w:r>
        <w:rPr>
          <w:rFonts w:cs="Arial"/>
          <w:b/>
        </w:rPr>
        <w:t>bela 2</w:t>
      </w:r>
      <w:r w:rsidRPr="00EE798E">
        <w:rPr>
          <w:rFonts w:cs="Arial"/>
        </w:rPr>
        <w:t xml:space="preserve"> – Espécies de Odonata e número de indivíduos coletados por ponto no Rio Lontra entre abril de 2022 e julho de 2023.</w:t>
      </w:r>
      <w:r>
        <w:rPr>
          <w:rFonts w:cs="Arial"/>
        </w:rPr>
        <w:t xml:space="preserve"> </w:t>
      </w:r>
    </w:p>
    <w:p w:rsidR="00EE798E" w:rsidRDefault="00EE798E" w:rsidP="00EE798E">
      <w:pPr>
        <w:ind w:left="0" w:hanging="2"/>
        <w:rPr>
          <w:rFonts w:cs="Arial"/>
        </w:rPr>
      </w:pPr>
    </w:p>
    <w:tbl>
      <w:tblPr>
        <w:tblStyle w:val="TabelaSimples5"/>
        <w:tblW w:w="9177" w:type="dxa"/>
        <w:tblLook w:val="04A0" w:firstRow="1" w:lastRow="0" w:firstColumn="1" w:lastColumn="0" w:noHBand="0" w:noVBand="1"/>
      </w:tblPr>
      <w:tblGrid>
        <w:gridCol w:w="5098"/>
        <w:gridCol w:w="437"/>
        <w:gridCol w:w="580"/>
        <w:gridCol w:w="439"/>
        <w:gridCol w:w="439"/>
        <w:gridCol w:w="439"/>
        <w:gridCol w:w="439"/>
        <w:gridCol w:w="439"/>
        <w:gridCol w:w="439"/>
        <w:gridCol w:w="439"/>
      </w:tblGrid>
      <w:tr w:rsidR="00EE798E" w:rsidRPr="00D95927" w:rsidTr="004900B9">
        <w:trPr>
          <w:cnfStyle w:val="100000000000" w:firstRow="1" w:lastRow="0" w:firstColumn="0" w:lastColumn="0" w:oddVBand="0" w:evenVBand="0" w:oddHBand="0" w:evenHBand="0" w:firstRowFirstColumn="0" w:firstRowLastColumn="0" w:lastRowFirstColumn="0" w:lastRowLastColumn="0"/>
          <w:trHeight w:val="237"/>
        </w:trPr>
        <w:tc>
          <w:tcPr>
            <w:cnfStyle w:val="001000000100" w:firstRow="0" w:lastRow="0" w:firstColumn="1" w:lastColumn="0" w:oddVBand="0" w:evenVBand="0" w:oddHBand="0" w:evenHBand="0" w:firstRowFirstColumn="1" w:firstRowLastColumn="0" w:lastRowFirstColumn="0" w:lastRowLastColumn="0"/>
            <w:tcW w:w="5098" w:type="dxa"/>
            <w:noWrap/>
          </w:tcPr>
          <w:p w:rsidR="00EE798E" w:rsidRPr="002771CF" w:rsidRDefault="00EE798E" w:rsidP="004900B9">
            <w:pPr>
              <w:ind w:left="0" w:hanging="2"/>
              <w:jc w:val="center"/>
              <w:rPr>
                <w:rFonts w:ascii="Times New Roman" w:hAnsi="Times New Roman" w:cs="Times New Roman"/>
                <w:b/>
                <w:bCs/>
                <w:i w:val="0"/>
                <w:color w:val="000000"/>
                <w:sz w:val="20"/>
                <w:szCs w:val="20"/>
              </w:rPr>
            </w:pPr>
            <w:r w:rsidRPr="002771CF">
              <w:rPr>
                <w:rFonts w:ascii="Times New Roman" w:hAnsi="Times New Roman" w:cs="Times New Roman"/>
                <w:b/>
                <w:bCs/>
                <w:i w:val="0"/>
                <w:color w:val="000000"/>
                <w:sz w:val="20"/>
                <w:szCs w:val="20"/>
              </w:rPr>
              <w:t>Subordem Zygoptera</w:t>
            </w:r>
          </w:p>
        </w:tc>
        <w:tc>
          <w:tcPr>
            <w:tcW w:w="4079" w:type="dxa"/>
            <w:gridSpan w:val="9"/>
            <w:noWrap/>
          </w:tcPr>
          <w:p w:rsidR="00EE798E" w:rsidRPr="002771CF" w:rsidRDefault="00EE798E" w:rsidP="004900B9">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color w:val="000000"/>
                <w:sz w:val="20"/>
                <w:szCs w:val="20"/>
              </w:rPr>
            </w:pPr>
            <w:r w:rsidRPr="002771CF">
              <w:rPr>
                <w:rFonts w:ascii="Times New Roman" w:hAnsi="Times New Roman" w:cs="Times New Roman"/>
                <w:b/>
                <w:bCs/>
                <w:i w:val="0"/>
                <w:color w:val="000000"/>
                <w:sz w:val="20"/>
                <w:szCs w:val="20"/>
              </w:rPr>
              <w:t>Abundância</w:t>
            </w: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bCs/>
                <w:i w:val="0"/>
                <w:color w:val="000000"/>
                <w:sz w:val="20"/>
                <w:szCs w:val="20"/>
              </w:rPr>
            </w:pPr>
            <w:r w:rsidRPr="00F1772F">
              <w:rPr>
                <w:rFonts w:ascii="Times New Roman" w:hAnsi="Times New Roman" w:cs="Times New Roman"/>
                <w:b/>
                <w:bCs/>
                <w:i w:val="0"/>
                <w:color w:val="000000"/>
                <w:sz w:val="20"/>
                <w:szCs w:val="20"/>
              </w:rPr>
              <w:t>Família Coenagrionidae</w:t>
            </w:r>
          </w:p>
        </w:tc>
        <w:tc>
          <w:tcPr>
            <w:tcW w:w="4079" w:type="dxa"/>
            <w:gridSpan w:val="9"/>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r>
      <w:tr w:rsidR="00EE798E" w:rsidRPr="00D95927" w:rsidTr="004900B9">
        <w:trPr>
          <w:trHeight w:val="2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bCs/>
                <w:i w:val="0"/>
                <w:color w:val="000000"/>
                <w:sz w:val="20"/>
                <w:szCs w:val="20"/>
              </w:rPr>
            </w:pPr>
            <w:r w:rsidRPr="00F1772F">
              <w:rPr>
                <w:rFonts w:ascii="Times New Roman" w:hAnsi="Times New Roman" w:cs="Times New Roman"/>
                <w:b/>
                <w:bCs/>
                <w:i w:val="0"/>
                <w:color w:val="000000"/>
                <w:sz w:val="20"/>
                <w:szCs w:val="20"/>
              </w:rPr>
              <w:t>Gênero Acanthagrion</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P1</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E4E81">
              <w:rPr>
                <w:rFonts w:ascii="Times New Roman" w:hAnsi="Times New Roman" w:cs="Times New Roman"/>
                <w:b/>
                <w:bCs/>
                <w:color w:val="000000"/>
                <w:sz w:val="20"/>
                <w:szCs w:val="20"/>
              </w:rPr>
              <w:t>P2</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E4E81">
              <w:rPr>
                <w:rFonts w:ascii="Times New Roman" w:hAnsi="Times New Roman" w:cs="Times New Roman"/>
                <w:b/>
                <w:bCs/>
                <w:color w:val="000000"/>
                <w:sz w:val="20"/>
                <w:szCs w:val="20"/>
              </w:rPr>
              <w:t>P3</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E4E81">
              <w:rPr>
                <w:rFonts w:ascii="Times New Roman" w:hAnsi="Times New Roman" w:cs="Times New Roman"/>
                <w:b/>
                <w:bCs/>
                <w:color w:val="000000"/>
                <w:sz w:val="20"/>
                <w:szCs w:val="20"/>
              </w:rPr>
              <w:t>P4</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E4E81">
              <w:rPr>
                <w:rFonts w:ascii="Times New Roman" w:hAnsi="Times New Roman" w:cs="Times New Roman"/>
                <w:b/>
                <w:bCs/>
                <w:color w:val="000000"/>
                <w:sz w:val="20"/>
                <w:szCs w:val="20"/>
              </w:rPr>
              <w:t>P5</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E4E81">
              <w:rPr>
                <w:rFonts w:ascii="Times New Roman" w:hAnsi="Times New Roman" w:cs="Times New Roman"/>
                <w:b/>
                <w:bCs/>
                <w:color w:val="000000"/>
                <w:sz w:val="20"/>
                <w:szCs w:val="20"/>
              </w:rPr>
              <w:t>P6</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E4E81">
              <w:rPr>
                <w:rFonts w:ascii="Times New Roman" w:hAnsi="Times New Roman" w:cs="Times New Roman"/>
                <w:b/>
                <w:bCs/>
                <w:color w:val="000000"/>
                <w:sz w:val="20"/>
                <w:szCs w:val="20"/>
              </w:rPr>
              <w:t>P7</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E4E81">
              <w:rPr>
                <w:rFonts w:ascii="Times New Roman" w:hAnsi="Times New Roman" w:cs="Times New Roman"/>
                <w:b/>
                <w:bCs/>
                <w:color w:val="000000"/>
                <w:sz w:val="20"/>
                <w:szCs w:val="20"/>
              </w:rPr>
              <w:t>P8</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E4E81">
              <w:rPr>
                <w:rFonts w:ascii="Times New Roman" w:hAnsi="Times New Roman" w:cs="Times New Roman"/>
                <w:b/>
                <w:bCs/>
                <w:color w:val="000000"/>
                <w:sz w:val="20"/>
                <w:szCs w:val="20"/>
              </w:rPr>
              <w:t>P9</w:t>
            </w: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Acanthagrion abunae </w:t>
            </w:r>
            <w:r w:rsidRPr="00F1772F">
              <w:rPr>
                <w:rFonts w:ascii="Times New Roman" w:hAnsi="Times New Roman" w:cs="Times New Roman"/>
                <w:i w:val="0"/>
                <w:color w:val="000000"/>
                <w:sz w:val="20"/>
                <w:szCs w:val="20"/>
              </w:rPr>
              <w:t>Leonard, 1977</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5</w:t>
            </w: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Acanthagrion aepiolum </w:t>
            </w:r>
            <w:r w:rsidRPr="00F1772F">
              <w:rPr>
                <w:rFonts w:ascii="Times New Roman" w:hAnsi="Times New Roman" w:cs="Times New Roman"/>
                <w:i w:val="0"/>
                <w:color w:val="000000"/>
                <w:sz w:val="20"/>
                <w:szCs w:val="20"/>
              </w:rPr>
              <w:t>Tennessen, 2004</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Acanthagrion apicale </w:t>
            </w:r>
            <w:r w:rsidRPr="00F1772F">
              <w:rPr>
                <w:rFonts w:ascii="Times New Roman" w:hAnsi="Times New Roman" w:cs="Times New Roman"/>
                <w:i w:val="0"/>
                <w:color w:val="000000"/>
                <w:sz w:val="20"/>
                <w:szCs w:val="20"/>
              </w:rPr>
              <w:t>Selys, 1876</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Acanthagrion gracile </w:t>
            </w:r>
            <w:r w:rsidRPr="00F1772F">
              <w:rPr>
                <w:rFonts w:ascii="Times New Roman" w:hAnsi="Times New Roman" w:cs="Times New Roman"/>
                <w:i w:val="0"/>
                <w:color w:val="000000"/>
                <w:sz w:val="20"/>
                <w:szCs w:val="20"/>
              </w:rPr>
              <w:t>Rambur, 1842</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2</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Acanthagrion jessei </w:t>
            </w:r>
            <w:r w:rsidRPr="00F1772F">
              <w:rPr>
                <w:rFonts w:ascii="Times New Roman" w:hAnsi="Times New Roman" w:cs="Times New Roman"/>
                <w:i w:val="0"/>
                <w:color w:val="000000"/>
                <w:sz w:val="20"/>
                <w:szCs w:val="20"/>
              </w:rPr>
              <w:t>Leonard,1977</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Acanthagrion rubrifrons </w:t>
            </w:r>
            <w:r w:rsidRPr="00F1772F">
              <w:rPr>
                <w:rFonts w:ascii="Times New Roman" w:hAnsi="Times New Roman" w:cs="Times New Roman"/>
                <w:i w:val="0"/>
                <w:color w:val="000000"/>
                <w:sz w:val="20"/>
                <w:szCs w:val="20"/>
              </w:rPr>
              <w:t>Leonard, 1877</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bCs/>
                <w:i w:val="0"/>
                <w:color w:val="000000"/>
                <w:sz w:val="20"/>
                <w:szCs w:val="20"/>
              </w:rPr>
            </w:pPr>
            <w:r w:rsidRPr="00F1772F">
              <w:rPr>
                <w:rFonts w:ascii="Times New Roman" w:hAnsi="Times New Roman" w:cs="Times New Roman"/>
                <w:b/>
                <w:bCs/>
                <w:i w:val="0"/>
                <w:color w:val="000000"/>
                <w:sz w:val="20"/>
                <w:szCs w:val="20"/>
              </w:rPr>
              <w:t>Gênero Argia</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i w:val="0"/>
                <w:color w:val="000000"/>
                <w:sz w:val="20"/>
                <w:szCs w:val="20"/>
              </w:rPr>
            </w:pPr>
            <w:r w:rsidRPr="00F1772F">
              <w:rPr>
                <w:rFonts w:ascii="Times New Roman" w:hAnsi="Times New Roman" w:cs="Times New Roman"/>
                <w:color w:val="000000"/>
                <w:sz w:val="20"/>
                <w:szCs w:val="20"/>
              </w:rPr>
              <w:t>Argia pulla</w:t>
            </w:r>
            <w:r w:rsidRPr="00F1772F">
              <w:rPr>
                <w:rFonts w:ascii="Times New Roman" w:hAnsi="Times New Roman" w:cs="Times New Roman"/>
                <w:i w:val="0"/>
                <w:color w:val="000000"/>
                <w:sz w:val="20"/>
                <w:szCs w:val="20"/>
              </w:rPr>
              <w:t xml:space="preserve"> Hagen in Selys, 1865</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6</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bCs/>
                <w:i w:val="0"/>
                <w:color w:val="000000"/>
                <w:sz w:val="20"/>
                <w:szCs w:val="20"/>
              </w:rPr>
            </w:pPr>
            <w:r w:rsidRPr="00F1772F">
              <w:rPr>
                <w:rFonts w:ascii="Times New Roman" w:hAnsi="Times New Roman" w:cs="Times New Roman"/>
                <w:b/>
                <w:bCs/>
                <w:i w:val="0"/>
                <w:color w:val="000000"/>
                <w:sz w:val="20"/>
                <w:szCs w:val="20"/>
              </w:rPr>
              <w:t>Gênero Helveciagrion</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Helveciagrion obsoletum </w:t>
            </w:r>
            <w:r w:rsidRPr="00F1772F">
              <w:rPr>
                <w:rFonts w:ascii="Times New Roman" w:hAnsi="Times New Roman" w:cs="Times New Roman"/>
                <w:i w:val="0"/>
                <w:color w:val="000000"/>
                <w:sz w:val="20"/>
                <w:szCs w:val="20"/>
              </w:rPr>
              <w:t>Selys, 1876</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bCs/>
                <w:i w:val="0"/>
                <w:color w:val="000000"/>
                <w:sz w:val="20"/>
                <w:szCs w:val="20"/>
              </w:rPr>
            </w:pPr>
            <w:r w:rsidRPr="00F1772F">
              <w:rPr>
                <w:rFonts w:ascii="Times New Roman" w:hAnsi="Times New Roman" w:cs="Times New Roman"/>
                <w:b/>
                <w:bCs/>
                <w:i w:val="0"/>
                <w:color w:val="000000"/>
                <w:sz w:val="20"/>
                <w:szCs w:val="20"/>
              </w:rPr>
              <w:t>Gênero Homeoura</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Homeoura ambígua </w:t>
            </w:r>
            <w:r w:rsidRPr="00F1772F">
              <w:rPr>
                <w:rFonts w:ascii="Times New Roman" w:hAnsi="Times New Roman" w:cs="Times New Roman"/>
                <w:i w:val="0"/>
                <w:color w:val="000000"/>
                <w:sz w:val="20"/>
                <w:szCs w:val="20"/>
              </w:rPr>
              <w:t>Ris, 1904</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2</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Homeoura lindneri </w:t>
            </w:r>
            <w:r w:rsidRPr="00F1772F">
              <w:rPr>
                <w:rFonts w:ascii="Times New Roman" w:hAnsi="Times New Roman" w:cs="Times New Roman"/>
                <w:i w:val="0"/>
                <w:color w:val="000000"/>
                <w:sz w:val="20"/>
                <w:szCs w:val="20"/>
              </w:rPr>
              <w:t>Ris, 1928</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Homeoura nepos </w:t>
            </w:r>
            <w:r w:rsidRPr="00F1772F">
              <w:rPr>
                <w:rFonts w:ascii="Times New Roman" w:hAnsi="Times New Roman" w:cs="Times New Roman"/>
                <w:i w:val="0"/>
                <w:color w:val="000000"/>
                <w:sz w:val="20"/>
                <w:szCs w:val="20"/>
              </w:rPr>
              <w:t>Selys, 1876</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3</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6</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9</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Homeoura silvae </w:t>
            </w:r>
            <w:r w:rsidRPr="00F1772F">
              <w:rPr>
                <w:rFonts w:ascii="Times New Roman" w:hAnsi="Times New Roman" w:cs="Times New Roman"/>
                <w:i w:val="0"/>
                <w:color w:val="000000"/>
                <w:sz w:val="20"/>
                <w:szCs w:val="20"/>
              </w:rPr>
              <w:t>Bulla, 1971</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bCs/>
                <w:i w:val="0"/>
                <w:color w:val="000000"/>
                <w:sz w:val="20"/>
                <w:szCs w:val="20"/>
              </w:rPr>
            </w:pPr>
            <w:r w:rsidRPr="00F1772F">
              <w:rPr>
                <w:rFonts w:ascii="Times New Roman" w:hAnsi="Times New Roman" w:cs="Times New Roman"/>
                <w:b/>
                <w:bCs/>
                <w:i w:val="0"/>
                <w:color w:val="000000"/>
                <w:sz w:val="20"/>
                <w:szCs w:val="20"/>
              </w:rPr>
              <w:t>Gênero Ischnura</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Ischnura capreolus </w:t>
            </w:r>
            <w:r w:rsidRPr="00F1772F">
              <w:rPr>
                <w:rFonts w:ascii="Times New Roman" w:hAnsi="Times New Roman" w:cs="Times New Roman"/>
                <w:i w:val="0"/>
                <w:color w:val="000000"/>
                <w:sz w:val="20"/>
                <w:szCs w:val="20"/>
              </w:rPr>
              <w:t>Hagen, 1861</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3</w:t>
            </w: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2</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Ischnura ramburii </w:t>
            </w:r>
            <w:r w:rsidRPr="00F1772F">
              <w:rPr>
                <w:rFonts w:ascii="Times New Roman" w:hAnsi="Times New Roman" w:cs="Times New Roman"/>
                <w:i w:val="0"/>
                <w:color w:val="000000"/>
                <w:sz w:val="20"/>
                <w:szCs w:val="20"/>
              </w:rPr>
              <w:t>Selys,1850</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2</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bCs/>
                <w:i w:val="0"/>
                <w:color w:val="000000"/>
                <w:sz w:val="20"/>
                <w:szCs w:val="20"/>
              </w:rPr>
            </w:pPr>
            <w:r w:rsidRPr="00F1772F">
              <w:rPr>
                <w:rFonts w:ascii="Times New Roman" w:hAnsi="Times New Roman" w:cs="Times New Roman"/>
                <w:b/>
                <w:bCs/>
                <w:i w:val="0"/>
                <w:color w:val="000000"/>
                <w:sz w:val="20"/>
                <w:szCs w:val="20"/>
              </w:rPr>
              <w:t>Gênero Telebasis</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Telebasis abunae </w:t>
            </w:r>
            <w:r w:rsidRPr="00F1772F">
              <w:rPr>
                <w:rFonts w:ascii="Times New Roman" w:hAnsi="Times New Roman" w:cs="Times New Roman"/>
                <w:i w:val="0"/>
                <w:color w:val="000000"/>
                <w:sz w:val="20"/>
                <w:szCs w:val="20"/>
              </w:rPr>
              <w:t>Bick &amp; Bick, 1995</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5</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Telebasis griffini </w:t>
            </w:r>
            <w:r w:rsidRPr="00F1772F">
              <w:rPr>
                <w:rFonts w:ascii="Times New Roman" w:hAnsi="Times New Roman" w:cs="Times New Roman"/>
                <w:i w:val="0"/>
                <w:color w:val="000000"/>
                <w:sz w:val="20"/>
                <w:szCs w:val="20"/>
              </w:rPr>
              <w:t>Martin, 1896</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lastRenderedPageBreak/>
              <w:t xml:space="preserve">Telebasis paraensei </w:t>
            </w:r>
            <w:r w:rsidRPr="00F1772F">
              <w:rPr>
                <w:rFonts w:ascii="Times New Roman" w:hAnsi="Times New Roman" w:cs="Times New Roman"/>
                <w:i w:val="0"/>
                <w:color w:val="000000"/>
                <w:sz w:val="20"/>
                <w:szCs w:val="20"/>
              </w:rPr>
              <w:t>Machado, 1956</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bCs/>
                <w:i w:val="0"/>
                <w:color w:val="000000"/>
                <w:sz w:val="20"/>
                <w:szCs w:val="20"/>
              </w:rPr>
            </w:pPr>
            <w:r w:rsidRPr="00F1772F">
              <w:rPr>
                <w:rFonts w:ascii="Times New Roman" w:hAnsi="Times New Roman" w:cs="Times New Roman"/>
                <w:b/>
                <w:bCs/>
                <w:i w:val="0"/>
                <w:color w:val="000000"/>
                <w:sz w:val="20"/>
                <w:szCs w:val="20"/>
              </w:rPr>
              <w:t>Gênero Tigriagrion</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Tigriagrion aurantinigrum </w:t>
            </w:r>
            <w:r w:rsidRPr="00F1772F">
              <w:rPr>
                <w:rFonts w:ascii="Times New Roman" w:hAnsi="Times New Roman" w:cs="Times New Roman"/>
                <w:i w:val="0"/>
                <w:color w:val="000000"/>
                <w:sz w:val="20"/>
                <w:szCs w:val="20"/>
              </w:rPr>
              <w:t>Calvert, 1909</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Família Calopterygidae</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Hetaerina</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Hetaerina Hagen </w:t>
            </w:r>
            <w:r w:rsidRPr="00F1772F">
              <w:rPr>
                <w:rFonts w:ascii="Times New Roman" w:hAnsi="Times New Roman" w:cs="Times New Roman"/>
                <w:i w:val="0"/>
                <w:color w:val="000000"/>
                <w:sz w:val="20"/>
                <w:szCs w:val="20"/>
              </w:rPr>
              <w:t>Selys, 1853</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3</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Hetaerina indenprensa </w:t>
            </w:r>
            <w:r w:rsidRPr="00F1772F">
              <w:rPr>
                <w:rFonts w:ascii="Times New Roman" w:hAnsi="Times New Roman" w:cs="Times New Roman"/>
                <w:i w:val="0"/>
                <w:color w:val="000000"/>
                <w:sz w:val="20"/>
                <w:szCs w:val="20"/>
              </w:rPr>
              <w:t>Garrison, 1990</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4</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Mnesarete</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Mnesarete cowlley </w:t>
            </w:r>
            <w:r w:rsidRPr="00F1772F">
              <w:rPr>
                <w:rFonts w:ascii="Times New Roman" w:hAnsi="Times New Roman" w:cs="Times New Roman"/>
                <w:i w:val="0"/>
                <w:color w:val="000000"/>
                <w:sz w:val="20"/>
                <w:szCs w:val="20"/>
              </w:rPr>
              <w:t>Selys, 1853</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Família Megapodagrionidae</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Allopodagrion</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Allopodagrion concortum </w:t>
            </w:r>
            <w:r w:rsidRPr="00F1772F">
              <w:rPr>
                <w:rFonts w:ascii="Times New Roman" w:hAnsi="Times New Roman" w:cs="Times New Roman"/>
                <w:i w:val="0"/>
                <w:color w:val="000000"/>
                <w:sz w:val="20"/>
                <w:szCs w:val="20"/>
              </w:rPr>
              <w:t>Hagen in Selys, 1862</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Família Protoneuridae</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Epipleoneura</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Epipleoneura kaxuriana </w:t>
            </w:r>
            <w:r w:rsidRPr="00F1772F">
              <w:rPr>
                <w:rFonts w:ascii="Times New Roman" w:hAnsi="Times New Roman" w:cs="Times New Roman"/>
                <w:i w:val="0"/>
                <w:color w:val="000000"/>
                <w:sz w:val="20"/>
                <w:szCs w:val="20"/>
              </w:rPr>
              <w:t>Machado, 1985</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Epipleoneura machadoi </w:t>
            </w:r>
            <w:r w:rsidRPr="00F1772F">
              <w:rPr>
                <w:rFonts w:ascii="Times New Roman" w:hAnsi="Times New Roman" w:cs="Times New Roman"/>
                <w:i w:val="0"/>
                <w:color w:val="000000"/>
                <w:sz w:val="20"/>
                <w:szCs w:val="20"/>
              </w:rPr>
              <w:t>Rácenis, 1960</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r>
      <w:tr w:rsidR="00EE798E" w:rsidRPr="00D95927" w:rsidTr="004900B9">
        <w:trPr>
          <w:trHeight w:val="123"/>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Neoneura</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Neoneura gaida </w:t>
            </w:r>
            <w:r w:rsidRPr="00F1772F">
              <w:rPr>
                <w:rFonts w:ascii="Times New Roman" w:hAnsi="Times New Roman" w:cs="Times New Roman"/>
                <w:i w:val="0"/>
                <w:color w:val="000000"/>
                <w:sz w:val="20"/>
                <w:szCs w:val="20"/>
              </w:rPr>
              <w:t>Rácenis, 1953</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2</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Subordem Anisoptera</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Família Libellulidae</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Diastatops</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Diastatops intensa </w:t>
            </w:r>
            <w:r w:rsidRPr="00F1772F">
              <w:rPr>
                <w:rFonts w:ascii="Times New Roman" w:hAnsi="Times New Roman" w:cs="Times New Roman"/>
                <w:i w:val="0"/>
                <w:color w:val="000000"/>
                <w:sz w:val="20"/>
                <w:szCs w:val="20"/>
              </w:rPr>
              <w:t>Montgomery, 1940</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5</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Diastatops obscura </w:t>
            </w:r>
            <w:r w:rsidRPr="00F1772F">
              <w:rPr>
                <w:rFonts w:ascii="Times New Roman" w:hAnsi="Times New Roman" w:cs="Times New Roman"/>
                <w:i w:val="0"/>
                <w:color w:val="000000"/>
                <w:sz w:val="20"/>
                <w:szCs w:val="20"/>
              </w:rPr>
              <w:t>Fabricius, 1775</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0E4E81">
              <w:rPr>
                <w:rFonts w:ascii="Times New Roman" w:hAnsi="Times New Roman" w:cs="Times New Roman"/>
                <w:i/>
                <w:iCs/>
                <w:color w:val="000000"/>
                <w:sz w:val="20"/>
                <w:szCs w:val="20"/>
              </w:rPr>
              <w:t>4</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3</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Erythrodiplax</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Erythrodiplax attenuata </w:t>
            </w:r>
            <w:r w:rsidRPr="00F1772F">
              <w:rPr>
                <w:rFonts w:ascii="Times New Roman" w:hAnsi="Times New Roman" w:cs="Times New Roman"/>
                <w:i w:val="0"/>
                <w:color w:val="000000"/>
                <w:sz w:val="20"/>
                <w:szCs w:val="20"/>
              </w:rPr>
              <w:t>Kirby, 1889</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Erythrodiplax basalis </w:t>
            </w:r>
            <w:r w:rsidRPr="00F1772F">
              <w:rPr>
                <w:rFonts w:ascii="Times New Roman" w:hAnsi="Times New Roman" w:cs="Times New Roman"/>
                <w:i w:val="0"/>
                <w:color w:val="000000"/>
                <w:sz w:val="20"/>
                <w:szCs w:val="20"/>
              </w:rPr>
              <w:t>kirby, 1897</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0E4E81">
              <w:rPr>
                <w:rFonts w:ascii="Times New Roman" w:hAnsi="Times New Roman" w:cs="Times New Roman"/>
                <w:i/>
                <w:iCs/>
                <w:color w:val="000000"/>
                <w:sz w:val="20"/>
                <w:szCs w:val="20"/>
              </w:rPr>
              <w:t>4</w:t>
            </w: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9</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Erythrodiplax fusca </w:t>
            </w:r>
            <w:r w:rsidRPr="00F1772F">
              <w:rPr>
                <w:rFonts w:ascii="Times New Roman" w:hAnsi="Times New Roman" w:cs="Times New Roman"/>
                <w:i w:val="0"/>
                <w:color w:val="000000"/>
                <w:sz w:val="20"/>
                <w:szCs w:val="20"/>
              </w:rPr>
              <w:t>Rambur, 1842</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0E4E81">
              <w:rPr>
                <w:rFonts w:ascii="Times New Roman" w:hAnsi="Times New Roman" w:cs="Times New Roman"/>
                <w:i/>
                <w:iCs/>
                <w:color w:val="000000"/>
                <w:sz w:val="20"/>
                <w:szCs w:val="20"/>
              </w:rPr>
              <w:t>1</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Erythrodiplax maculosa </w:t>
            </w:r>
            <w:r w:rsidRPr="00F1772F">
              <w:rPr>
                <w:rFonts w:ascii="Times New Roman" w:hAnsi="Times New Roman" w:cs="Times New Roman"/>
                <w:i w:val="0"/>
                <w:color w:val="000000"/>
                <w:sz w:val="20"/>
                <w:szCs w:val="20"/>
              </w:rPr>
              <w:t>Hagen, 1861</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0E4E81">
              <w:rPr>
                <w:rFonts w:ascii="Times New Roman" w:hAnsi="Times New Roman" w:cs="Times New Roman"/>
                <w:i/>
                <w:iCs/>
                <w:color w:val="000000"/>
                <w:sz w:val="20"/>
                <w:szCs w:val="20"/>
              </w:rPr>
              <w:t>3</w:t>
            </w: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Erythrodiplax transversa </w:t>
            </w:r>
            <w:r w:rsidRPr="00F1772F">
              <w:rPr>
                <w:rFonts w:ascii="Times New Roman" w:hAnsi="Times New Roman" w:cs="Times New Roman"/>
                <w:i w:val="0"/>
                <w:color w:val="000000"/>
                <w:sz w:val="20"/>
                <w:szCs w:val="20"/>
              </w:rPr>
              <w:t>Borror, 1957</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Erythrodiplax umbrata </w:t>
            </w:r>
            <w:r w:rsidRPr="00F1772F">
              <w:rPr>
                <w:rFonts w:ascii="Times New Roman" w:hAnsi="Times New Roman" w:cs="Times New Roman"/>
                <w:i w:val="0"/>
                <w:color w:val="000000"/>
                <w:sz w:val="20"/>
                <w:szCs w:val="20"/>
              </w:rPr>
              <w:t>Linnaeus, 1758</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2</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Nephepeltia</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Nephepeltia aequisetis </w:t>
            </w:r>
            <w:r w:rsidRPr="00F1772F">
              <w:rPr>
                <w:rFonts w:ascii="Times New Roman" w:hAnsi="Times New Roman" w:cs="Times New Roman"/>
                <w:i w:val="0"/>
                <w:color w:val="000000"/>
                <w:sz w:val="20"/>
                <w:szCs w:val="20"/>
              </w:rPr>
              <w:t>Calvert, 1909</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4</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7</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3</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Orthemis</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Orthemis discolor </w:t>
            </w:r>
            <w:r w:rsidRPr="00F1772F">
              <w:rPr>
                <w:rFonts w:ascii="Times New Roman" w:hAnsi="Times New Roman" w:cs="Times New Roman"/>
                <w:i w:val="0"/>
                <w:color w:val="000000"/>
                <w:sz w:val="20"/>
                <w:szCs w:val="20"/>
              </w:rPr>
              <w:t>Burmeister, 1839</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0E4E81">
              <w:rPr>
                <w:rFonts w:ascii="Times New Roman" w:hAnsi="Times New Roman" w:cs="Times New Roman"/>
                <w:i/>
                <w:iCs/>
                <w:color w:val="000000"/>
                <w:sz w:val="20"/>
                <w:szCs w:val="20"/>
              </w:rPr>
              <w:t>1</w:t>
            </w: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Perithemis</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Perithemis lais </w:t>
            </w:r>
            <w:r w:rsidRPr="00F1772F">
              <w:rPr>
                <w:rFonts w:ascii="Times New Roman" w:hAnsi="Times New Roman" w:cs="Times New Roman"/>
                <w:i w:val="0"/>
                <w:color w:val="000000"/>
                <w:sz w:val="20"/>
                <w:szCs w:val="20"/>
              </w:rPr>
              <w:t>Perty, 1834</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Zenithoptera</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Zenithoptera lanei </w:t>
            </w:r>
            <w:r w:rsidRPr="00F1772F">
              <w:rPr>
                <w:rFonts w:ascii="Times New Roman" w:hAnsi="Times New Roman" w:cs="Times New Roman"/>
                <w:i w:val="0"/>
                <w:color w:val="000000"/>
                <w:sz w:val="20"/>
                <w:szCs w:val="20"/>
              </w:rPr>
              <w:t>Santos, 1941</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0E4E81">
              <w:rPr>
                <w:rFonts w:ascii="Times New Roman" w:hAnsi="Times New Roman" w:cs="Times New Roman"/>
                <w:i/>
                <w:iCs/>
                <w:color w:val="000000"/>
                <w:sz w:val="20"/>
                <w:szCs w:val="20"/>
              </w:rPr>
              <w:t>2</w:t>
            </w: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Zenithoptera viola </w:t>
            </w:r>
            <w:r w:rsidRPr="00F1772F">
              <w:rPr>
                <w:rFonts w:ascii="Times New Roman" w:hAnsi="Times New Roman" w:cs="Times New Roman"/>
                <w:i w:val="0"/>
                <w:color w:val="000000"/>
                <w:sz w:val="20"/>
                <w:szCs w:val="20"/>
              </w:rPr>
              <w:t>Ris, 1910</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0E4E81">
              <w:rPr>
                <w:rFonts w:ascii="Times New Roman" w:hAnsi="Times New Roman" w:cs="Times New Roman"/>
                <w:i/>
                <w:iCs/>
                <w:color w:val="000000"/>
                <w:sz w:val="20"/>
                <w:szCs w:val="20"/>
              </w:rPr>
              <w:t>1</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B464F5" w:rsidRDefault="00B464F5" w:rsidP="00AF289C">
      <w:pPr>
        <w:ind w:left="0" w:hanging="2"/>
        <w:jc w:val="center"/>
        <w:rPr>
          <w:rFonts w:cs="Arial"/>
        </w:rPr>
      </w:pPr>
    </w:p>
    <w:p w:rsidR="00EE798E" w:rsidRPr="00EE798E" w:rsidRDefault="00AF289C" w:rsidP="00AF289C">
      <w:pPr>
        <w:ind w:left="0" w:hanging="2"/>
        <w:jc w:val="center"/>
        <w:rPr>
          <w:rFonts w:cs="Arial"/>
        </w:rPr>
      </w:pPr>
      <w:r>
        <w:rPr>
          <w:rFonts w:cs="Arial"/>
        </w:rPr>
        <w:t>Fonte: Autoria prórpia, 2023.</w:t>
      </w:r>
    </w:p>
    <w:p w:rsidR="00EE798E" w:rsidRDefault="00EE798E" w:rsidP="00EE798E">
      <w:pPr>
        <w:spacing w:after="160" w:line="259" w:lineRule="auto"/>
        <w:ind w:left="0" w:hanging="2"/>
        <w:jc w:val="left"/>
        <w:rPr>
          <w:rFonts w:ascii="Arial" w:hAnsi="Arial" w:cs="Arial"/>
          <w:b/>
        </w:rPr>
      </w:pPr>
    </w:p>
    <w:p w:rsidR="00EE798E" w:rsidRDefault="00EE798E" w:rsidP="00EE798E">
      <w:pPr>
        <w:spacing w:after="160" w:line="259" w:lineRule="auto"/>
        <w:ind w:left="0" w:hanging="2"/>
        <w:jc w:val="left"/>
        <w:rPr>
          <w:rFonts w:ascii="Arial" w:hAnsi="Arial" w:cs="Arial"/>
          <w:color w:val="000000"/>
        </w:rPr>
      </w:pPr>
      <w:r>
        <w:rPr>
          <w:rFonts w:ascii="Arial" w:hAnsi="Arial" w:cs="Arial"/>
          <w:b/>
        </w:rPr>
        <w:t>Figura 3</w:t>
      </w:r>
      <w:r>
        <w:rPr>
          <w:rFonts w:ascii="Arial" w:hAnsi="Arial" w:cs="Arial"/>
        </w:rPr>
        <w:t xml:space="preserve"> - </w:t>
      </w:r>
      <w:r w:rsidRPr="00BE2E85">
        <w:rPr>
          <w:rFonts w:ascii="Arial" w:hAnsi="Arial" w:cs="Arial"/>
        </w:rPr>
        <w:t xml:space="preserve"> Gráfico de precipitação mensal entre abril de 2022 e julho de 2023 </w:t>
      </w:r>
      <w:r w:rsidRPr="00BE2E85">
        <w:rPr>
          <w:rFonts w:ascii="Arial" w:hAnsi="Arial" w:cs="Arial"/>
          <w:color w:val="000000"/>
        </w:rPr>
        <w:t>no município de Araguaína-TO.</w:t>
      </w:r>
    </w:p>
    <w:p w:rsidR="00AF289C" w:rsidRDefault="00AF289C" w:rsidP="00C55C4E">
      <w:pPr>
        <w:spacing w:after="160" w:line="259" w:lineRule="auto"/>
        <w:ind w:left="0" w:hanging="2"/>
        <w:jc w:val="left"/>
        <w:rPr>
          <w:rFonts w:ascii="Arial" w:eastAsia="Calibri" w:hAnsi="Arial" w:cs="Arial"/>
        </w:rPr>
      </w:pPr>
      <w:r w:rsidRPr="00457EC9">
        <w:rPr>
          <w:noProof/>
          <w:lang w:val="pt-BR" w:eastAsia="pt-BR"/>
        </w:rPr>
        <w:drawing>
          <wp:anchor distT="0" distB="0" distL="114300" distR="114300" simplePos="0" relativeHeight="251658240" behindDoc="0" locked="0" layoutInCell="1" allowOverlap="1">
            <wp:simplePos x="0" y="0"/>
            <wp:positionH relativeFrom="column">
              <wp:posOffset>1104900</wp:posOffset>
            </wp:positionH>
            <wp:positionV relativeFrom="paragraph">
              <wp:posOffset>76200</wp:posOffset>
            </wp:positionV>
            <wp:extent cx="3143250" cy="1606550"/>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l="29642" t="38509" r="39920" b="14670"/>
                    <a:stretch>
                      <a:fillRect/>
                    </a:stretch>
                  </pic:blipFill>
                  <pic:spPr bwMode="auto">
                    <a:xfrm>
                      <a:off x="0" y="0"/>
                      <a:ext cx="3143250" cy="1606550"/>
                    </a:xfrm>
                    <a:prstGeom prst="rect">
                      <a:avLst/>
                    </a:prstGeom>
                    <a:noFill/>
                    <a:ln>
                      <a:noFill/>
                    </a:ln>
                  </pic:spPr>
                </pic:pic>
              </a:graphicData>
            </a:graphic>
          </wp:anchor>
        </w:drawing>
      </w:r>
    </w:p>
    <w:p w:rsidR="00AF289C" w:rsidRPr="00AF289C" w:rsidRDefault="00AF289C" w:rsidP="00AF289C">
      <w:pPr>
        <w:ind w:left="0" w:hanging="2"/>
        <w:rPr>
          <w:rFonts w:ascii="Arial" w:eastAsia="Calibri" w:hAnsi="Arial" w:cs="Arial"/>
        </w:rPr>
      </w:pPr>
    </w:p>
    <w:p w:rsidR="00AF289C" w:rsidRPr="00AF289C" w:rsidRDefault="00AF289C" w:rsidP="00AF289C">
      <w:pPr>
        <w:ind w:left="0" w:hanging="2"/>
        <w:rPr>
          <w:rFonts w:ascii="Arial" w:eastAsia="Calibri" w:hAnsi="Arial" w:cs="Arial"/>
        </w:rPr>
      </w:pPr>
    </w:p>
    <w:p w:rsidR="00AF289C" w:rsidRPr="00AF289C" w:rsidRDefault="00AF289C" w:rsidP="00AF289C">
      <w:pPr>
        <w:ind w:left="0" w:hanging="2"/>
        <w:rPr>
          <w:rFonts w:ascii="Arial" w:eastAsia="Calibri" w:hAnsi="Arial" w:cs="Arial"/>
        </w:rPr>
      </w:pPr>
    </w:p>
    <w:p w:rsidR="00AF289C" w:rsidRPr="00AF289C" w:rsidRDefault="00AF289C" w:rsidP="00AF289C">
      <w:pPr>
        <w:ind w:left="0" w:hanging="2"/>
        <w:rPr>
          <w:rFonts w:ascii="Arial" w:eastAsia="Calibri" w:hAnsi="Arial" w:cs="Arial"/>
        </w:rPr>
      </w:pPr>
    </w:p>
    <w:p w:rsidR="00AF289C" w:rsidRPr="00AF289C" w:rsidRDefault="00AF289C" w:rsidP="00AF289C">
      <w:pPr>
        <w:ind w:left="0" w:hanging="2"/>
        <w:rPr>
          <w:rFonts w:ascii="Arial" w:eastAsia="Calibri" w:hAnsi="Arial" w:cs="Arial"/>
        </w:rPr>
      </w:pPr>
    </w:p>
    <w:p w:rsidR="00AF289C" w:rsidRDefault="00AF289C" w:rsidP="00C55C4E">
      <w:pPr>
        <w:spacing w:after="160" w:line="259" w:lineRule="auto"/>
        <w:ind w:left="0" w:hanging="2"/>
        <w:jc w:val="left"/>
        <w:rPr>
          <w:rFonts w:ascii="Arial" w:eastAsia="Calibri" w:hAnsi="Arial" w:cs="Arial"/>
        </w:rPr>
      </w:pPr>
    </w:p>
    <w:p w:rsidR="00AF289C" w:rsidRDefault="00AF289C" w:rsidP="00C55C4E">
      <w:pPr>
        <w:spacing w:after="160" w:line="259" w:lineRule="auto"/>
        <w:ind w:left="0" w:hanging="2"/>
        <w:jc w:val="left"/>
        <w:rPr>
          <w:rFonts w:ascii="Arial" w:eastAsia="Calibri" w:hAnsi="Arial" w:cs="Arial"/>
        </w:rPr>
      </w:pPr>
    </w:p>
    <w:p w:rsidR="00AF289C" w:rsidRPr="00EE798E" w:rsidRDefault="00AF289C" w:rsidP="00AF289C">
      <w:pPr>
        <w:ind w:left="0" w:hanging="2"/>
        <w:jc w:val="center"/>
        <w:rPr>
          <w:rFonts w:cs="Arial"/>
        </w:rPr>
      </w:pPr>
      <w:r>
        <w:rPr>
          <w:rFonts w:cs="Arial"/>
        </w:rPr>
        <w:t>Fonte: Autoria prórpia, 2023.</w:t>
      </w:r>
    </w:p>
    <w:p w:rsidR="00C55C4E" w:rsidRPr="00C55C4E" w:rsidRDefault="00C55C4E" w:rsidP="00AF289C">
      <w:pPr>
        <w:spacing w:after="160" w:line="259" w:lineRule="auto"/>
        <w:ind w:leftChars="0" w:left="0" w:firstLineChars="0" w:firstLine="0"/>
        <w:jc w:val="left"/>
        <w:rPr>
          <w:rFonts w:ascii="Arial" w:eastAsia="Calibri" w:hAnsi="Arial" w:cs="Arial"/>
        </w:rPr>
      </w:pPr>
    </w:p>
    <w:p w:rsidR="00307D96" w:rsidRDefault="00FA79B1">
      <w:pPr>
        <w:numPr>
          <w:ilvl w:val="0"/>
          <w:numId w:val="1"/>
        </w:numPr>
        <w:pBdr>
          <w:top w:val="nil"/>
          <w:left w:val="nil"/>
          <w:bottom w:val="nil"/>
          <w:right w:val="nil"/>
          <w:between w:val="nil"/>
        </w:pBdr>
        <w:spacing w:before="0" w:after="80" w:line="360" w:lineRule="auto"/>
        <w:ind w:left="2" w:hanging="4"/>
        <w:jc w:val="left"/>
        <w:rPr>
          <w:color w:val="000000"/>
          <w:sz w:val="44"/>
          <w:szCs w:val="44"/>
        </w:rPr>
      </w:pPr>
      <w:r>
        <w:rPr>
          <w:color w:val="000000"/>
          <w:sz w:val="44"/>
          <w:szCs w:val="44"/>
        </w:rPr>
        <w:t>Considerações Finais</w:t>
      </w:r>
    </w:p>
    <w:p w:rsidR="004900B9" w:rsidRDefault="004900B9" w:rsidP="004900B9">
      <w:pPr>
        <w:tabs>
          <w:tab w:val="left" w:pos="890"/>
        </w:tabs>
        <w:spacing w:after="480" w:line="360" w:lineRule="auto"/>
        <w:ind w:left="0" w:hanging="2"/>
        <w:rPr>
          <w:b/>
        </w:rPr>
      </w:pPr>
      <w:r>
        <w:tab/>
      </w:r>
      <w:r>
        <w:tab/>
        <w:t xml:space="preserve">Ao realizar o inventário das espécies de Odonata presente nos nove pontos amostrais do Rio Lontra, em Araguaína-TO, foi possível observar que o ponto com maior abundância de espécies foi o Céu Azul, estimado na curva do coletor em 30 indivíduos. Deste modo, através da análise dos resultados, percebeu-se que o Céu Azul dentre os pontos do estudo é o local que recebe menos ação antrópica, isto é, é o mais conservado. Em relação aos dados de variáveis ambientais como: pluviometria, temperatura e índice de integridade física (IIF) estes não tiveram qualquer influência com a abundância e riqueza de espécies de Odonatas. </w:t>
      </w:r>
    </w:p>
    <w:p w:rsidR="00307D96" w:rsidRPr="00C55C4E" w:rsidRDefault="004900B9" w:rsidP="00C55C4E">
      <w:pPr>
        <w:tabs>
          <w:tab w:val="left" w:pos="890"/>
        </w:tabs>
        <w:spacing w:after="480" w:line="360" w:lineRule="auto"/>
        <w:ind w:left="0" w:hanging="2"/>
        <w:rPr>
          <w:b/>
        </w:rPr>
      </w:pPr>
      <w:r>
        <w:t xml:space="preserve">Sendo assim, por consequência da falta de determinação da abundância e riqueza de espécies de Odonatas pelas variáveis ambientais não foi possível estabelecer conexão com a avaliação da saúde ambiental por uso de bioindicadores. </w:t>
      </w:r>
    </w:p>
    <w:p w:rsidR="00307D96" w:rsidRDefault="00FA79B1">
      <w:pPr>
        <w:numPr>
          <w:ilvl w:val="0"/>
          <w:numId w:val="1"/>
        </w:numPr>
        <w:pBdr>
          <w:top w:val="nil"/>
          <w:left w:val="nil"/>
          <w:bottom w:val="nil"/>
          <w:right w:val="nil"/>
          <w:between w:val="nil"/>
        </w:pBdr>
        <w:spacing w:before="0" w:after="80" w:line="360" w:lineRule="auto"/>
        <w:ind w:left="2" w:hanging="4"/>
        <w:jc w:val="left"/>
        <w:rPr>
          <w:color w:val="000000"/>
          <w:sz w:val="44"/>
          <w:szCs w:val="44"/>
        </w:rPr>
      </w:pPr>
      <w:r>
        <w:rPr>
          <w:color w:val="000000"/>
          <w:sz w:val="44"/>
          <w:szCs w:val="44"/>
        </w:rPr>
        <w:t>Referências Bibliográficas</w:t>
      </w:r>
    </w:p>
    <w:p w:rsidR="004900B9" w:rsidRPr="000E4E81" w:rsidRDefault="004900B9" w:rsidP="00AF289C">
      <w:pPr>
        <w:spacing w:before="240" w:after="240" w:line="240" w:lineRule="auto"/>
        <w:ind w:left="0" w:hanging="2"/>
      </w:pPr>
      <w:r w:rsidRPr="000E4E81">
        <w:t xml:space="preserve">BRASIL, Leandro Schlemmer, et al. Insetos aquáticos bioindicadores de mudanças de uso na terra no Pará, Brasil: evidências e perspectivas. </w:t>
      </w:r>
      <w:r w:rsidRPr="000E4E81">
        <w:rPr>
          <w:b/>
        </w:rPr>
        <w:t>Oecologia Australis</w:t>
      </w:r>
      <w:r w:rsidRPr="000E4E81">
        <w:t>, 26(3), p. 424-444. 2022. Acesso em: 19 ago. 2023.</w:t>
      </w:r>
    </w:p>
    <w:p w:rsidR="004900B9" w:rsidRPr="000E4E81" w:rsidRDefault="004900B9" w:rsidP="00AF289C">
      <w:pPr>
        <w:spacing w:line="240" w:lineRule="auto"/>
        <w:ind w:left="0" w:hanging="2"/>
      </w:pPr>
      <w:r w:rsidRPr="000E4E81">
        <w:t xml:space="preserve">BRAZ, Sofia Negre; LONGO, Regina Marcia. Bioindicadores de poluição ambiental: um estudo bibliométrico. </w:t>
      </w:r>
      <w:r w:rsidRPr="000E4E81">
        <w:rPr>
          <w:i/>
        </w:rPr>
        <w:t>In:</w:t>
      </w:r>
      <w:r w:rsidRPr="000E4E81">
        <w:t xml:space="preserve"> Fórum ambiental, 15, 2019. </w:t>
      </w:r>
      <w:r w:rsidRPr="000E4E81">
        <w:rPr>
          <w:b/>
        </w:rPr>
        <w:t>Anais eletrônicos</w:t>
      </w:r>
      <w:r w:rsidRPr="000E4E81">
        <w:t>.</w:t>
      </w:r>
      <w:r w:rsidRPr="000E4E81">
        <w:rPr>
          <w:b/>
        </w:rPr>
        <w:t xml:space="preserve"> </w:t>
      </w:r>
      <w:r>
        <w:t>p. 457-469.</w:t>
      </w:r>
      <w:r w:rsidRPr="000E4E81">
        <w:t xml:space="preserve"> Acesso em: 19 ago. 2023.</w:t>
      </w:r>
    </w:p>
    <w:p w:rsidR="004900B9" w:rsidRPr="000E4E81" w:rsidRDefault="004900B9" w:rsidP="00AF289C">
      <w:pPr>
        <w:spacing w:line="240" w:lineRule="auto"/>
        <w:ind w:left="0" w:hanging="2"/>
      </w:pPr>
    </w:p>
    <w:p w:rsidR="004900B9" w:rsidRDefault="004900B9" w:rsidP="00AF289C">
      <w:pPr>
        <w:spacing w:line="240" w:lineRule="auto"/>
        <w:ind w:left="0" w:hanging="2"/>
      </w:pPr>
      <w:r w:rsidRPr="000E4E81">
        <w:t xml:space="preserve">BUTLER, R. G.; MAYNADIER, P. G. The significance of littoral and shoreline habitat integrity to the conservation of lacustrine damselflies (Odonata). </w:t>
      </w:r>
      <w:r w:rsidRPr="000E4E81">
        <w:rPr>
          <w:b/>
        </w:rPr>
        <w:t>Journal Insect Conservation</w:t>
      </w:r>
      <w:r w:rsidRPr="000E4E81">
        <w:t xml:space="preserve">, v. 12, p. 23– 36, 2008. </w:t>
      </w:r>
      <w:r>
        <w:t xml:space="preserve">Acesso </w:t>
      </w:r>
      <w:r w:rsidRPr="000E4E81">
        <w:t>em: 19 ago. 2023.</w:t>
      </w:r>
      <w:r w:rsidR="00183AF9">
        <w:tab/>
      </w:r>
      <w:r w:rsidR="00183AF9">
        <w:tab/>
      </w:r>
      <w:r w:rsidR="00183AF9">
        <w:tab/>
      </w:r>
      <w:r w:rsidR="00183AF9">
        <w:tab/>
      </w:r>
    </w:p>
    <w:p w:rsidR="00183AF9" w:rsidRPr="000E4E81" w:rsidRDefault="00183AF9" w:rsidP="00183AF9">
      <w:pPr>
        <w:spacing w:line="240" w:lineRule="auto"/>
        <w:ind w:left="0" w:hanging="2"/>
      </w:pPr>
      <w:r w:rsidRPr="000E4E81">
        <w:t>Colwell, R. K., &amp; Coddington, J. A. (1994). Estimating Terrestrial Biodiversity through Extrapolation. Philosophical Transactions: Biological Sciences, 345(1311), 19-22.</w:t>
      </w:r>
    </w:p>
    <w:p w:rsidR="004900B9" w:rsidRPr="000E4E81" w:rsidRDefault="004900B9" w:rsidP="00183AF9">
      <w:pPr>
        <w:spacing w:line="240" w:lineRule="auto"/>
        <w:ind w:leftChars="0" w:left="0" w:firstLineChars="0" w:firstLine="0"/>
      </w:pPr>
    </w:p>
    <w:p w:rsidR="004900B9" w:rsidRPr="000E4E81" w:rsidRDefault="004900B9" w:rsidP="00AF289C">
      <w:pPr>
        <w:spacing w:line="240" w:lineRule="auto"/>
        <w:ind w:left="0" w:hanging="2"/>
      </w:pPr>
      <w:r w:rsidRPr="000E4E81">
        <w:t xml:space="preserve">CONRAD, K. F.; WILLSON, K. H.; WHITFIELD, K. HARVEY, I. F.; THOMAS, C. J.; SHERRATT, T. N. Characteristics of dispersing Ischnura elegans and Coenagrion puella (Odonata): age, sex, size, morph and ectoparasitism. </w:t>
      </w:r>
      <w:r w:rsidRPr="000E4E81">
        <w:rPr>
          <w:b/>
        </w:rPr>
        <w:t>Ecography</w:t>
      </w:r>
      <w:r w:rsidRPr="000E4E81">
        <w:t>, v. 25, p. 439-445, 2002</w:t>
      </w:r>
      <w:r>
        <w:t xml:space="preserve">. </w:t>
      </w:r>
      <w:r w:rsidRPr="000E4E81">
        <w:t>Acesso em: 19 ago. 2023.</w:t>
      </w:r>
    </w:p>
    <w:p w:rsidR="004900B9" w:rsidRPr="000E4E81" w:rsidRDefault="004900B9" w:rsidP="00AF289C">
      <w:pPr>
        <w:spacing w:line="240" w:lineRule="auto"/>
        <w:ind w:left="0" w:hanging="2"/>
      </w:pPr>
    </w:p>
    <w:p w:rsidR="004900B9" w:rsidRPr="000E4E81" w:rsidRDefault="004900B9" w:rsidP="00AF289C">
      <w:pPr>
        <w:spacing w:line="240" w:lineRule="auto"/>
        <w:ind w:left="0" w:hanging="2"/>
      </w:pPr>
      <w:r w:rsidRPr="000E4E81">
        <w:t xml:space="preserve">FRANÇA, Carlos Laércio Evangelista, et al. Caracterização físico-química das águas superficiais do Rio São Francisco nos municípios de Juazeiro-BA e Petrolina-PE. </w:t>
      </w:r>
      <w:r w:rsidRPr="000E4E81">
        <w:rPr>
          <w:b/>
        </w:rPr>
        <w:t>Rev. Ibero-Americana de Ciências Ambientais</w:t>
      </w:r>
      <w:r w:rsidRPr="000E4E81">
        <w:t>, v. 10, n. 6, out./nov. p. 218-230, 2019. Acesso em: 19 ago. 2023.</w:t>
      </w:r>
    </w:p>
    <w:p w:rsidR="004900B9" w:rsidRPr="000E4E81" w:rsidRDefault="004900B9" w:rsidP="00AF289C">
      <w:pPr>
        <w:spacing w:line="240" w:lineRule="auto"/>
        <w:ind w:left="0" w:hanging="2"/>
      </w:pPr>
    </w:p>
    <w:p w:rsidR="004900B9" w:rsidRDefault="004900B9" w:rsidP="00AF289C">
      <w:pPr>
        <w:spacing w:line="240" w:lineRule="auto"/>
        <w:ind w:left="0" w:hanging="2"/>
      </w:pPr>
      <w:r w:rsidRPr="000E4E81">
        <w:t>GARRISON, R. W.; ELLENRIEDER, N. V.; LOUTON, J. A.</w:t>
      </w:r>
      <w:r w:rsidRPr="000E4E81">
        <w:rPr>
          <w:b/>
        </w:rPr>
        <w:t xml:space="preserve"> Dragonfly Genera of the New</w:t>
      </w:r>
      <w:r w:rsidRPr="000E4E81">
        <w:t xml:space="preserve"> </w:t>
      </w:r>
      <w:r w:rsidRPr="000E4E81">
        <w:rPr>
          <w:b/>
        </w:rPr>
        <w:t>World: An Illustrated and Annotated Key to the Anisoptera</w:t>
      </w:r>
      <w:r w:rsidRPr="000E4E81">
        <w:t>. Johns Hopkins University Press, 1 ed., 2006.</w:t>
      </w:r>
    </w:p>
    <w:p w:rsidR="00AF289C" w:rsidRPr="000E4E81" w:rsidRDefault="00AF289C" w:rsidP="00AF289C">
      <w:pPr>
        <w:spacing w:line="240" w:lineRule="auto"/>
        <w:ind w:left="0" w:hanging="2"/>
      </w:pPr>
    </w:p>
    <w:p w:rsidR="004900B9" w:rsidRPr="000E4E81" w:rsidRDefault="004900B9" w:rsidP="00AF289C">
      <w:pPr>
        <w:spacing w:line="240" w:lineRule="auto"/>
        <w:ind w:left="0" w:hanging="2"/>
      </w:pPr>
      <w:r w:rsidRPr="000E4E81">
        <w:t xml:space="preserve">HECKMAN, C. W. </w:t>
      </w:r>
      <w:r w:rsidRPr="000E4E81">
        <w:rPr>
          <w:b/>
        </w:rPr>
        <w:t>Encyclopedia of South American Aquatic Insects: Odonata – Anisoptera</w:t>
      </w:r>
      <w:r w:rsidRPr="000E4E81">
        <w:t>.</w:t>
      </w:r>
      <w:r w:rsidRPr="000E4E81">
        <w:rPr>
          <w:b/>
        </w:rPr>
        <w:t xml:space="preserve"> </w:t>
      </w:r>
      <w:r w:rsidRPr="000E4E81">
        <w:t>Springer, 2006.</w:t>
      </w:r>
    </w:p>
    <w:p w:rsidR="004900B9" w:rsidRPr="000E4E81" w:rsidRDefault="004900B9" w:rsidP="00AF289C">
      <w:pPr>
        <w:spacing w:before="240" w:after="240" w:line="240" w:lineRule="auto"/>
        <w:ind w:left="0" w:hanging="2"/>
      </w:pPr>
      <w:r w:rsidRPr="000E4E81">
        <w:t xml:space="preserve">IBGE, Instituto Brasileiro de Geografia e Estatística. 2022. Disponível em: </w:t>
      </w:r>
      <w:hyperlink r:id="rId14">
        <w:r w:rsidRPr="000E4E81">
          <w:rPr>
            <w:color w:val="1155CC"/>
            <w:u w:val="single"/>
          </w:rPr>
          <w:t>Araguaína (TO) | Cidades e Estados | IBGE</w:t>
        </w:r>
      </w:hyperlink>
      <w:r w:rsidRPr="000E4E81">
        <w:t>.</w:t>
      </w:r>
    </w:p>
    <w:p w:rsidR="004900B9" w:rsidRDefault="004900B9" w:rsidP="00AF289C">
      <w:pPr>
        <w:spacing w:before="240" w:after="240" w:line="240" w:lineRule="auto"/>
        <w:ind w:left="0" w:hanging="2"/>
      </w:pPr>
      <w:r w:rsidRPr="000E4E81">
        <w:t xml:space="preserve">IBGE, Instituto Brasileiro de Geografia e Estatística. S.d. </w:t>
      </w:r>
      <w:r w:rsidRPr="000E4E81">
        <w:rPr>
          <w:b/>
        </w:rPr>
        <w:t>Limite Amazônia-Cerrado</w:t>
      </w:r>
      <w:r w:rsidRPr="000E4E81">
        <w:t>. Acesso em: 19 ago. 2023.</w:t>
      </w:r>
    </w:p>
    <w:p w:rsidR="00183AF9" w:rsidRPr="000E4E81" w:rsidRDefault="00183AF9" w:rsidP="00183AF9">
      <w:pPr>
        <w:widowControl w:val="0"/>
        <w:autoSpaceDE w:val="0"/>
        <w:autoSpaceDN w:val="0"/>
        <w:adjustRightInd w:val="0"/>
        <w:spacing w:line="240" w:lineRule="auto"/>
        <w:ind w:left="0" w:hanging="2"/>
        <w:rPr>
          <w:noProof/>
        </w:rPr>
      </w:pPr>
      <w:r w:rsidRPr="000E4E81">
        <w:fldChar w:fldCharType="begin" w:fldLock="1"/>
      </w:r>
      <w:r w:rsidRPr="000E4E81">
        <w:instrText xml:space="preserve">ADDIN Mendeley Bibliography CSL_BIBLIOGRAPHY </w:instrText>
      </w:r>
      <w:r w:rsidRPr="000E4E81">
        <w:fldChar w:fldCharType="separate"/>
      </w:r>
      <w:r w:rsidRPr="000E4E81">
        <w:rPr>
          <w:noProof/>
        </w:rPr>
        <w:t>Legendre, P. and Legendre, L. 2012. Numerical ecology. - Elsevier.</w:t>
      </w:r>
    </w:p>
    <w:p w:rsidR="004900B9" w:rsidRPr="000E4E81" w:rsidRDefault="00183AF9" w:rsidP="00B552EB">
      <w:pPr>
        <w:spacing w:before="240" w:after="240" w:line="240" w:lineRule="auto"/>
        <w:ind w:leftChars="0" w:left="0" w:firstLineChars="0" w:firstLine="0"/>
      </w:pPr>
      <w:r w:rsidRPr="000E4E81">
        <w:fldChar w:fldCharType="end"/>
      </w:r>
      <w:r w:rsidR="004900B9" w:rsidRPr="000E4E81">
        <w:t xml:space="preserve">LENCIONI, F. A. A. </w:t>
      </w:r>
      <w:r w:rsidR="004900B9" w:rsidRPr="000E4E81">
        <w:rPr>
          <w:b/>
        </w:rPr>
        <w:t>Damselflies of Brazil – An illustrated identification guide – I – Non Coenagrionidae families</w:t>
      </w:r>
      <w:r w:rsidR="004900B9" w:rsidRPr="000E4E81">
        <w:t>. All Print Edit: São Paulo, 2005.</w:t>
      </w:r>
    </w:p>
    <w:p w:rsidR="00183AF9" w:rsidRDefault="004900B9" w:rsidP="00AF289C">
      <w:pPr>
        <w:spacing w:line="240" w:lineRule="auto"/>
        <w:ind w:left="0" w:hanging="2"/>
      </w:pPr>
      <w:r w:rsidRPr="000E4E81">
        <w:t>LENCIONI, F. A. A.</w:t>
      </w:r>
      <w:r w:rsidRPr="000E4E81">
        <w:rPr>
          <w:b/>
        </w:rPr>
        <w:t xml:space="preserve"> Damselflies of Brazil – An illustrated identification guide – II – Coenagrionidae</w:t>
      </w:r>
      <w:r w:rsidRPr="000E4E81">
        <w:t>. All Print Edit: São Paulo, 2006.</w:t>
      </w:r>
      <w:r w:rsidR="00183AF9">
        <w:t xml:space="preserve"> </w:t>
      </w:r>
      <w:r w:rsidR="00183AF9">
        <w:tab/>
      </w:r>
      <w:r w:rsidR="00183AF9">
        <w:tab/>
      </w:r>
      <w:r w:rsidR="00183AF9">
        <w:tab/>
      </w:r>
      <w:r w:rsidR="00183AF9">
        <w:tab/>
      </w:r>
      <w:r w:rsidR="00183AF9">
        <w:tab/>
      </w:r>
      <w:r w:rsidR="00183AF9">
        <w:tab/>
      </w:r>
    </w:p>
    <w:p w:rsidR="00183AF9" w:rsidRPr="000E4E81" w:rsidRDefault="00183AF9" w:rsidP="00183AF9">
      <w:pPr>
        <w:spacing w:line="240" w:lineRule="auto"/>
        <w:ind w:left="0" w:hanging="2"/>
        <w:rPr>
          <w:rStyle w:val="Hyperlink"/>
        </w:rPr>
      </w:pPr>
      <w:r w:rsidRPr="000E4E81">
        <w:t>Oksanen, A. J., Blanchet, F. G., Friendly, M., Kindt, R., Leg</w:t>
      </w:r>
      <w:r>
        <w:t xml:space="preserve">endre, P., McGlinn, D., </w:t>
      </w:r>
      <w:r w:rsidRPr="000E4E81">
        <w:t xml:space="preserve">Wagner, H. (2018). Package â€TM vegan’. </w:t>
      </w:r>
      <w:hyperlink r:id="rId15" w:history="1">
        <w:r w:rsidRPr="000E4E81">
          <w:rPr>
            <w:rStyle w:val="Hyperlink"/>
          </w:rPr>
          <w:t>https://doi.org/ISBN 0-387-95457-0</w:t>
        </w:r>
      </w:hyperlink>
    </w:p>
    <w:p w:rsidR="004900B9" w:rsidRDefault="00183AF9" w:rsidP="00AF289C">
      <w:pPr>
        <w:spacing w:line="240" w:lineRule="auto"/>
        <w:ind w:left="0" w:hanging="2"/>
      </w:pPr>
      <w:r>
        <w:tab/>
      </w:r>
      <w:r>
        <w:tab/>
      </w:r>
      <w:r>
        <w:tab/>
      </w:r>
      <w:r>
        <w:tab/>
      </w:r>
      <w:r>
        <w:tab/>
      </w:r>
      <w:r>
        <w:tab/>
      </w:r>
    </w:p>
    <w:p w:rsidR="00183AF9" w:rsidRPr="000E4E81" w:rsidRDefault="00183AF9" w:rsidP="00183AF9">
      <w:pPr>
        <w:spacing w:line="240" w:lineRule="auto"/>
        <w:ind w:left="0" w:hanging="2"/>
        <w:rPr>
          <w:rStyle w:val="Hyperlink"/>
        </w:rPr>
      </w:pPr>
      <w:r w:rsidRPr="000E4E81">
        <w:t xml:space="preserve">R Core Team, (2022). R: A Language and Environment for Statistical Computing. Vienna, Austria. R Foundation for Statistical Computing. </w:t>
      </w:r>
      <w:hyperlink r:id="rId16" w:history="1">
        <w:r w:rsidRPr="000E4E81">
          <w:rPr>
            <w:rStyle w:val="Hyperlink"/>
          </w:rPr>
          <w:t>http://www.R-project.org</w:t>
        </w:r>
      </w:hyperlink>
    </w:p>
    <w:p w:rsidR="004900B9" w:rsidRPr="000E4E81" w:rsidRDefault="004900B9" w:rsidP="00183AF9">
      <w:pPr>
        <w:spacing w:before="240" w:after="240" w:line="240" w:lineRule="auto"/>
        <w:ind w:leftChars="0" w:left="0" w:firstLineChars="0" w:firstLine="0"/>
      </w:pPr>
      <w:r w:rsidRPr="000E4E81">
        <w:t xml:space="preserve">SILVA, Júlia Santana da; SIMÃO, Alexia Marta Turchetto; DUTRA, Silvia Leitão. Levantamento de odonata (insecta) como bioindicador de saúde ambiental ao longo do Rio Lontra em Araguaína - TO. </w:t>
      </w:r>
      <w:r w:rsidRPr="000E4E81">
        <w:rPr>
          <w:i/>
        </w:rPr>
        <w:t>In</w:t>
      </w:r>
      <w:r w:rsidRPr="000E4E81">
        <w:t xml:space="preserve">: Encontro de estudantes de biologia do Tocantins: o papel do profissional de biologia no estado do Tocantins, 1, 2018, Porto Nacional. </w:t>
      </w:r>
      <w:r w:rsidRPr="000E4E81">
        <w:rPr>
          <w:b/>
        </w:rPr>
        <w:t xml:space="preserve">Anais eletrônicos. </w:t>
      </w:r>
      <w:r w:rsidRPr="000E4E81">
        <w:t>p. 18-23. Acesso em: 19 ago. 2023.</w:t>
      </w:r>
    </w:p>
    <w:p w:rsidR="004900B9" w:rsidRPr="000E4E81" w:rsidRDefault="004900B9" w:rsidP="00AF289C">
      <w:pPr>
        <w:spacing w:before="240" w:after="240" w:line="240" w:lineRule="auto"/>
        <w:ind w:left="0" w:hanging="2"/>
      </w:pPr>
      <w:r w:rsidRPr="000E4E81">
        <w:t xml:space="preserve">SILVA, Raiany Cristine Cruz da. </w:t>
      </w:r>
      <w:r w:rsidRPr="000E4E81">
        <w:rPr>
          <w:b/>
        </w:rPr>
        <w:t>O ambiente e a diversidade das serpentes no Estado do Tocantins-Brasil</w:t>
      </w:r>
      <w:r w:rsidRPr="000E4E81">
        <w:t>. 2017. Dissertação ( Mestrado em Ciências do Ambiente) – Universidade Federal do Tocantins, Programa de Pós-Graduação em Ciências do Ambiente, Palmas, 2019. Acesso em: 19 ago. 2023.</w:t>
      </w:r>
    </w:p>
    <w:p w:rsidR="004900B9" w:rsidRPr="000E4E81" w:rsidRDefault="004900B9" w:rsidP="00AF289C">
      <w:pPr>
        <w:spacing w:line="240" w:lineRule="auto"/>
        <w:ind w:left="0" w:hanging="2"/>
      </w:pPr>
      <w:r w:rsidRPr="000E4E81">
        <w:t xml:space="preserve">SILVA, D.P.; DEMARCO, P.; RESENDE, D.C. Adult odonate abundance and community assemblage measures as indicators of stream ecological integrity: A case study. </w:t>
      </w:r>
      <w:r w:rsidRPr="000E4E81">
        <w:rPr>
          <w:b/>
        </w:rPr>
        <w:t>Ecological Indicators</w:t>
      </w:r>
      <w:r w:rsidRPr="000E4E81">
        <w:t>, v. 10, p. 744-752, 2010.</w:t>
      </w:r>
    </w:p>
    <w:p w:rsidR="004900B9" w:rsidRPr="000E4E81" w:rsidRDefault="004900B9" w:rsidP="00183AF9">
      <w:pPr>
        <w:spacing w:line="240" w:lineRule="auto"/>
        <w:ind w:leftChars="0" w:left="0" w:firstLineChars="0" w:firstLine="0"/>
      </w:pPr>
    </w:p>
    <w:p w:rsidR="004900B9" w:rsidRPr="000E4E81" w:rsidRDefault="004900B9" w:rsidP="00AF289C">
      <w:pPr>
        <w:spacing w:line="240" w:lineRule="auto"/>
        <w:ind w:left="0" w:hanging="2"/>
      </w:pPr>
      <w:r w:rsidRPr="000E4E81">
        <w:rPr>
          <w:color w:val="000000"/>
          <w:spacing w:val="3"/>
          <w:shd w:val="clear" w:color="auto" w:fill="FFFFFF"/>
        </w:rPr>
        <w:t>Wickham, H. (2016). </w:t>
      </w:r>
      <w:r w:rsidRPr="000E4E81">
        <w:rPr>
          <w:i/>
          <w:iCs/>
          <w:color w:val="000000"/>
          <w:spacing w:val="3"/>
          <w:bdr w:val="none" w:sz="0" w:space="0" w:color="auto" w:frame="1"/>
        </w:rPr>
        <w:t>Ggplot2: Elegant graphics for data analysis</w:t>
      </w:r>
      <w:r w:rsidRPr="000E4E81">
        <w:rPr>
          <w:color w:val="000000"/>
          <w:spacing w:val="3"/>
          <w:shd w:val="clear" w:color="auto" w:fill="FFFFFF"/>
        </w:rPr>
        <w:t> (2nd ed.) [PDF]. Springer International Publishing.</w:t>
      </w:r>
    </w:p>
    <w:p w:rsidR="00307D96" w:rsidRDefault="00307D96" w:rsidP="00AF289C">
      <w:pPr>
        <w:spacing w:line="240" w:lineRule="auto"/>
        <w:ind w:left="0" w:hanging="2"/>
      </w:pPr>
    </w:p>
    <w:p w:rsidR="00307D96" w:rsidRDefault="00FA79B1">
      <w:pPr>
        <w:numPr>
          <w:ilvl w:val="0"/>
          <w:numId w:val="1"/>
        </w:numPr>
        <w:pBdr>
          <w:top w:val="nil"/>
          <w:left w:val="nil"/>
          <w:bottom w:val="nil"/>
          <w:right w:val="nil"/>
          <w:between w:val="nil"/>
        </w:pBdr>
        <w:spacing w:before="0" w:after="80" w:line="360" w:lineRule="auto"/>
        <w:ind w:left="2" w:hanging="4"/>
        <w:jc w:val="left"/>
        <w:rPr>
          <w:color w:val="000000"/>
          <w:sz w:val="44"/>
          <w:szCs w:val="44"/>
        </w:rPr>
      </w:pPr>
      <w:r>
        <w:rPr>
          <w:color w:val="000000"/>
          <w:sz w:val="44"/>
          <w:szCs w:val="44"/>
        </w:rPr>
        <w:t>Agradecimentos</w:t>
      </w:r>
    </w:p>
    <w:p w:rsidR="00307D96" w:rsidRPr="00B464F5" w:rsidRDefault="004900B9" w:rsidP="00B464F5">
      <w:pPr>
        <w:spacing w:after="0" w:line="240" w:lineRule="auto"/>
        <w:ind w:leftChars="0" w:left="0" w:firstLineChars="0" w:firstLine="720"/>
        <w:rPr>
          <w:rFonts w:eastAsia="Arial" w:cs="Arial"/>
          <w:szCs w:val="24"/>
        </w:rPr>
      </w:pPr>
      <w:r w:rsidRPr="004900B9">
        <w:rPr>
          <w:rFonts w:eastAsia="Arial" w:cs="Arial"/>
          <w:szCs w:val="24"/>
        </w:rPr>
        <w:t xml:space="preserve">Agradeço ao Conselho Nacional de Desenvolvimento Científico e Tecnológico – CNPQ – Brasil. Assim como a Universidade Federal do Norte do Tocantins (UFNT). Ademais, agradeço também a Professora Doutora Silvia Leitão Dutra pela orientação neste trabalho. </w:t>
      </w:r>
    </w:p>
    <w:sectPr w:rsidR="00307D96" w:rsidRPr="00B464F5">
      <w:footerReference w:type="default" r:id="rId17"/>
      <w:pgSz w:w="11907" w:h="16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37A" w:rsidRDefault="0092037A">
      <w:pPr>
        <w:spacing w:before="0" w:after="0" w:line="240" w:lineRule="auto"/>
        <w:ind w:left="0" w:hanging="2"/>
      </w:pPr>
      <w:r>
        <w:separator/>
      </w:r>
    </w:p>
  </w:endnote>
  <w:endnote w:type="continuationSeparator" w:id="0">
    <w:p w:rsidR="0092037A" w:rsidRDefault="0092037A">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0B9" w:rsidRDefault="004900B9">
    <w:pPr>
      <w:pBdr>
        <w:top w:val="nil"/>
        <w:left w:val="nil"/>
        <w:bottom w:val="nil"/>
        <w:right w:val="nil"/>
        <w:between w:val="nil"/>
      </w:pBdr>
      <w:spacing w:line="240" w:lineRule="auto"/>
      <w:ind w:left="0" w:hanging="2"/>
      <w:jc w:val="center"/>
      <w:rPr>
        <w:color w:val="000000"/>
      </w:rPr>
    </w:pPr>
  </w:p>
  <w:p w:rsidR="004900B9" w:rsidRDefault="004900B9">
    <w:pPr>
      <w:pBdr>
        <w:top w:val="nil"/>
        <w:left w:val="nil"/>
        <w:bottom w:val="nil"/>
        <w:right w:val="nil"/>
        <w:between w:val="nil"/>
      </w:pBdr>
      <w:spacing w:line="240" w:lineRule="auto"/>
      <w:ind w:left="0" w:hanging="2"/>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0B9" w:rsidRDefault="004900B9">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EB6197">
      <w:rPr>
        <w:noProof/>
        <w:color w:val="000000"/>
      </w:rPr>
      <w:t>7</w:t>
    </w:r>
    <w:r>
      <w:rPr>
        <w:color w:val="000000"/>
      </w:rPr>
      <w:fldChar w:fldCharType="end"/>
    </w:r>
  </w:p>
  <w:p w:rsidR="004900B9" w:rsidRDefault="004900B9">
    <w:pPr>
      <w:pBdr>
        <w:top w:val="nil"/>
        <w:left w:val="nil"/>
        <w:bottom w:val="nil"/>
        <w:right w:val="nil"/>
        <w:between w:val="nil"/>
      </w:pBdr>
      <w:spacing w:line="240" w:lineRule="auto"/>
      <w:ind w:left="0" w:hanging="2"/>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37A" w:rsidRDefault="0092037A">
      <w:pPr>
        <w:spacing w:before="0" w:after="0" w:line="240" w:lineRule="auto"/>
        <w:ind w:left="0" w:hanging="2"/>
      </w:pPr>
      <w:r>
        <w:separator/>
      </w:r>
    </w:p>
  </w:footnote>
  <w:footnote w:type="continuationSeparator" w:id="0">
    <w:p w:rsidR="0092037A" w:rsidRDefault="0092037A">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0B9" w:rsidRDefault="004900B9">
    <w:pPr>
      <w:pBdr>
        <w:top w:val="nil"/>
        <w:left w:val="nil"/>
        <w:bottom w:val="nil"/>
        <w:right w:val="nil"/>
        <w:between w:val="nil"/>
      </w:pBdr>
      <w:tabs>
        <w:tab w:val="left" w:pos="567"/>
        <w:tab w:val="left" w:pos="1110"/>
      </w:tabs>
      <w:spacing w:line="240" w:lineRule="auto"/>
      <w:ind w:left="0" w:hanging="2"/>
      <w:jc w:val="center"/>
      <w:rPr>
        <w:color w:val="000000"/>
        <w:sz w:val="28"/>
        <w:szCs w:val="28"/>
      </w:rPr>
    </w:pPr>
    <w:r>
      <w:rPr>
        <w:noProof/>
        <w:lang w:val="pt-BR" w:eastAsia="pt-BR"/>
      </w:rPr>
      <w:drawing>
        <wp:anchor distT="114300" distB="114300" distL="114300" distR="114300" simplePos="0" relativeHeight="251658240" behindDoc="0" locked="0" layoutInCell="1" hidden="0" allowOverlap="1">
          <wp:simplePos x="0" y="0"/>
          <wp:positionH relativeFrom="column">
            <wp:posOffset>-209549</wp:posOffset>
          </wp:positionH>
          <wp:positionV relativeFrom="paragraph">
            <wp:posOffset>-247649</wp:posOffset>
          </wp:positionV>
          <wp:extent cx="5595692" cy="18716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595692" cy="1871663"/>
                  </a:xfrm>
                  <a:prstGeom prst="rect">
                    <a:avLst/>
                  </a:prstGeom>
                  <a:ln/>
                </pic:spPr>
              </pic:pic>
            </a:graphicData>
          </a:graphic>
        </wp:anchor>
      </w:drawing>
    </w:r>
  </w:p>
  <w:p w:rsidR="004900B9" w:rsidRDefault="004900B9">
    <w:pPr>
      <w:pBdr>
        <w:top w:val="nil"/>
        <w:left w:val="nil"/>
        <w:bottom w:val="nil"/>
        <w:right w:val="nil"/>
        <w:between w:val="nil"/>
      </w:pBdr>
      <w:tabs>
        <w:tab w:val="left" w:pos="1110"/>
        <w:tab w:val="center" w:pos="4513"/>
        <w:tab w:val="right" w:pos="8307"/>
      </w:tabs>
      <w:spacing w:line="240" w:lineRule="auto"/>
      <w:ind w:left="1" w:hanging="3"/>
      <w:jc w:val="left"/>
      <w:rPr>
        <w:color w:val="000000"/>
        <w:sz w:val="36"/>
        <w:szCs w:val="36"/>
      </w:rPr>
    </w:pPr>
    <w:r>
      <w:rPr>
        <w:b/>
        <w:color w:val="000000"/>
        <w:sz w:val="28"/>
        <w:szCs w:val="28"/>
      </w:rPr>
      <w:tab/>
    </w:r>
  </w:p>
  <w:p w:rsidR="004900B9" w:rsidRDefault="004900B9">
    <w:pPr>
      <w:pBdr>
        <w:top w:val="nil"/>
        <w:left w:val="nil"/>
        <w:bottom w:val="nil"/>
        <w:right w:val="nil"/>
        <w:between w:val="nil"/>
      </w:pBdr>
      <w:tabs>
        <w:tab w:val="left" w:pos="1110"/>
      </w:tabs>
      <w:spacing w:line="240" w:lineRule="auto"/>
      <w:ind w:left="0" w:hanging="2"/>
      <w:jc w:val="center"/>
      <w:rPr>
        <w:color w:val="000000"/>
      </w:rPr>
    </w:pPr>
  </w:p>
  <w:p w:rsidR="004900B9" w:rsidRDefault="004900B9">
    <w:pPr>
      <w:pBdr>
        <w:top w:val="nil"/>
        <w:left w:val="nil"/>
        <w:bottom w:val="nil"/>
        <w:right w:val="nil"/>
        <w:between w:val="nil"/>
      </w:pBdr>
      <w:spacing w:line="240" w:lineRule="auto"/>
      <w:ind w:left="0" w:hanging="2"/>
      <w:rPr>
        <w:color w:val="000000"/>
      </w:rPr>
    </w:pPr>
    <w:r>
      <w:rPr>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0B9" w:rsidRDefault="004900B9">
    <w:pP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976A9"/>
    <w:multiLevelType w:val="multilevel"/>
    <w:tmpl w:val="FFFFFFFF"/>
    <w:lvl w:ilvl="0">
      <w:start w:val="1"/>
      <w:numFmt w:val="decimal"/>
      <w:pStyle w:val="Commarcadore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E5361B7"/>
    <w:multiLevelType w:val="multilevel"/>
    <w:tmpl w:val="FFFFFFFF"/>
    <w:lvl w:ilvl="0">
      <w:start w:val="1"/>
      <w:numFmt w:val="upperRoman"/>
      <w:pStyle w:val="Ttulo1"/>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D96"/>
    <w:rsid w:val="000A42DD"/>
    <w:rsid w:val="00183AF9"/>
    <w:rsid w:val="002B3ECB"/>
    <w:rsid w:val="00307D96"/>
    <w:rsid w:val="003547A0"/>
    <w:rsid w:val="004900B9"/>
    <w:rsid w:val="00714B67"/>
    <w:rsid w:val="0092037A"/>
    <w:rsid w:val="00AF289C"/>
    <w:rsid w:val="00B07D8E"/>
    <w:rsid w:val="00B464F5"/>
    <w:rsid w:val="00B552EB"/>
    <w:rsid w:val="00C55C4E"/>
    <w:rsid w:val="00D918DE"/>
    <w:rsid w:val="00E919D3"/>
    <w:rsid w:val="00EB6197"/>
    <w:rsid w:val="00EE798E"/>
    <w:rsid w:val="00FA79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D1D8FA-D512-C044-9B3F-A91DB4121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lang w:val="pt-BR" w:eastAsia="pt-BR" w:bidi="ar-SA"/>
      </w:rPr>
    </w:rPrDefault>
    <w:pPrDefault>
      <w:pPr>
        <w:spacing w:before="60" w:after="60"/>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1" w:lineRule="atLeast"/>
      <w:ind w:leftChars="-1" w:left="-1" w:hangingChars="1" w:hanging="1"/>
      <w:textDirection w:val="btLr"/>
      <w:textAlignment w:val="top"/>
      <w:outlineLvl w:val="0"/>
    </w:pPr>
    <w:rPr>
      <w:position w:val="-1"/>
      <w:lang w:val="en-US" w:eastAsia="ar-SA"/>
    </w:rPr>
  </w:style>
  <w:style w:type="paragraph" w:styleId="Ttulo1">
    <w:name w:val="heading 1"/>
    <w:next w:val="Normal"/>
    <w:uiPriority w:val="9"/>
    <w:qFormat/>
    <w:pPr>
      <w:numPr>
        <w:numId w:val="1"/>
      </w:numPr>
      <w:autoSpaceDE w:val="0"/>
      <w:spacing w:after="80" w:line="1" w:lineRule="atLeast"/>
      <w:ind w:leftChars="-1" w:left="-1" w:hangingChars="1" w:hanging="1"/>
      <w:textDirection w:val="btLr"/>
      <w:textAlignment w:val="top"/>
      <w:outlineLvl w:val="0"/>
    </w:pPr>
    <w:rPr>
      <w:rFonts w:eastAsia="Arial" w:cs="Arial"/>
      <w:position w:val="-1"/>
      <w:sz w:val="44"/>
      <w:szCs w:val="44"/>
      <w:lang w:val="en-US" w:eastAsia="ar-SA"/>
    </w:rPr>
  </w:style>
  <w:style w:type="paragraph" w:styleId="Ttulo2">
    <w:name w:val="heading 2"/>
    <w:basedOn w:val="Normal"/>
    <w:next w:val="Normal"/>
    <w:uiPriority w:val="9"/>
    <w:semiHidden/>
    <w:unhideWhenUsed/>
    <w:qFormat/>
    <w:pPr>
      <w:autoSpaceDE w:val="0"/>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hAnsi="Cambria"/>
      <w:b/>
      <w:bCs/>
      <w:kern w:val="1"/>
      <w:sz w:val="32"/>
      <w:szCs w:val="32"/>
    </w:rPr>
  </w:style>
  <w:style w:type="character" w:customStyle="1" w:styleId="WW8Num2z0">
    <w:name w:val="WW8Num2z0"/>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6z0">
    <w:name w:val="WW8Num6z0"/>
    <w:rPr>
      <w:rFonts w:ascii="Symbol" w:hAnsi="Symbol"/>
      <w:w w:val="100"/>
      <w:position w:val="-1"/>
      <w:sz w:val="16"/>
      <w:szCs w:val="16"/>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8z1">
    <w:name w:val="WW8Num8z1"/>
    <w:rPr>
      <w:rFonts w:ascii="Courier New" w:hAnsi="Courier New" w:cs="Courier New"/>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9z1">
    <w:name w:val="WW8Num9z1"/>
    <w:rPr>
      <w:rFonts w:ascii="Courier New" w:hAnsi="Courier New" w:cs="Courier New"/>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1">
    <w:name w:val="WW8Num4z1"/>
    <w:rPr>
      <w:rFonts w:ascii="Courier New" w:hAnsi="Courier New" w:cs="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2">
    <w:name w:val="WW8Num13z2"/>
    <w:rPr>
      <w:rFonts w:ascii="Wingdings" w:hAnsi="Wingdings"/>
      <w:w w:val="100"/>
      <w:position w:val="-1"/>
      <w:effect w:val="none"/>
      <w:vertAlign w:val="baseline"/>
      <w:cs w:val="0"/>
      <w:em w:val="none"/>
    </w:rPr>
  </w:style>
  <w:style w:type="character" w:customStyle="1" w:styleId="WW8Num14z2">
    <w:name w:val="WW8Num14z2"/>
    <w:rPr>
      <w:rFonts w:ascii="Wingdings" w:hAnsi="Wingdings"/>
      <w:w w:val="100"/>
      <w:position w:val="-1"/>
      <w:effect w:val="none"/>
      <w:vertAlign w:val="baseline"/>
      <w:cs w:val="0"/>
      <w:em w:val="none"/>
    </w:rPr>
  </w:style>
  <w:style w:type="character" w:customStyle="1" w:styleId="WW8Num15z2">
    <w:name w:val="WW8Num15z2"/>
    <w:rPr>
      <w:rFonts w:ascii="Wingdings" w:hAnsi="Wingdings"/>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20z0">
    <w:name w:val="WW8Num20z0"/>
    <w:rPr>
      <w:rFonts w:ascii="Symbol" w:hAnsi="Symbol"/>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1z1">
    <w:name w:val="WW8Num21z1"/>
    <w:rPr>
      <w:rFonts w:ascii="Courier New" w:hAnsi="Courier New" w:cs="Courier New"/>
      <w:w w:val="100"/>
      <w:position w:val="-1"/>
      <w:effect w:val="none"/>
      <w:vertAlign w:val="baseline"/>
      <w:cs w:val="0"/>
      <w:em w:val="none"/>
    </w:rPr>
  </w:style>
  <w:style w:type="character" w:customStyle="1" w:styleId="WW8Num21z2">
    <w:name w:val="WW8Num21z2"/>
    <w:rPr>
      <w:rFonts w:ascii="Wingdings" w:hAnsi="Wingdings"/>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6z0">
    <w:name w:val="WW8Num26z0"/>
    <w:rPr>
      <w:rFonts w:ascii="Symbol" w:hAnsi="Symbol"/>
      <w:color w:val="auto"/>
      <w:w w:val="100"/>
      <w:position w:val="-1"/>
      <w:effect w:val="none"/>
      <w:vertAlign w:val="baseline"/>
      <w:cs w:val="0"/>
      <w:em w:val="none"/>
    </w:rPr>
  </w:style>
  <w:style w:type="character" w:customStyle="1" w:styleId="WW8Num26z1">
    <w:name w:val="WW8Num26z1"/>
    <w:rPr>
      <w:rFonts w:ascii="Courier New" w:hAnsi="Courier New" w:cs="Courier New"/>
      <w:w w:val="100"/>
      <w:position w:val="-1"/>
      <w:effect w:val="none"/>
      <w:vertAlign w:val="baseline"/>
      <w:cs w:val="0"/>
      <w:em w:val="none"/>
    </w:rPr>
  </w:style>
  <w:style w:type="character" w:customStyle="1" w:styleId="WW8Num26z2">
    <w:name w:val="WW8Num26z2"/>
    <w:rPr>
      <w:rFonts w:ascii="Wingdings" w:hAnsi="Wingdings"/>
      <w:w w:val="100"/>
      <w:position w:val="-1"/>
      <w:effect w:val="none"/>
      <w:vertAlign w:val="baseline"/>
      <w:cs w:val="0"/>
      <w:em w:val="none"/>
    </w:rPr>
  </w:style>
  <w:style w:type="character" w:customStyle="1" w:styleId="WW8Num26z3">
    <w:name w:val="WW8Num26z3"/>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8z1">
    <w:name w:val="WW8Num28z1"/>
    <w:rPr>
      <w:rFonts w:ascii="Courier New" w:hAnsi="Courier New" w:cs="Courier New"/>
      <w:w w:val="100"/>
      <w:position w:val="-1"/>
      <w:effect w:val="none"/>
      <w:vertAlign w:val="baseline"/>
      <w:cs w:val="0"/>
      <w:em w:val="none"/>
    </w:rPr>
  </w:style>
  <w:style w:type="character" w:customStyle="1" w:styleId="WW8Num28z2">
    <w:name w:val="WW8Num28z2"/>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29z1">
    <w:name w:val="WW8Num29z1"/>
    <w:rPr>
      <w:rFonts w:ascii="Courier New" w:hAnsi="Courier New" w:cs="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4z1">
    <w:name w:val="WW8Num34z1"/>
    <w:rPr>
      <w:rFonts w:ascii="Courier New" w:hAnsi="Courier New" w:cs="Courier New"/>
      <w:w w:val="100"/>
      <w:position w:val="-1"/>
      <w:effect w:val="none"/>
      <w:vertAlign w:val="baseline"/>
      <w:cs w:val="0"/>
      <w:em w:val="none"/>
    </w:rPr>
  </w:style>
  <w:style w:type="character" w:customStyle="1" w:styleId="WW8Num34z2">
    <w:name w:val="WW8Num34z2"/>
    <w:rPr>
      <w:rFonts w:ascii="Wingdings" w:hAnsi="Wingdings"/>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5z1">
    <w:name w:val="WW8Num35z1"/>
    <w:rPr>
      <w:rFonts w:ascii="Courier New" w:hAnsi="Courier New" w:cs="Courier New"/>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36z1">
    <w:name w:val="WW8Num36z1"/>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8Num40z0">
    <w:name w:val="WW8Num40z0"/>
    <w:rPr>
      <w:rFonts w:ascii="Symbol" w:hAnsi="Symbol"/>
      <w:w w:val="100"/>
      <w:position w:val="-1"/>
      <w:sz w:val="16"/>
      <w:szCs w:val="16"/>
      <w:effect w:val="none"/>
      <w:vertAlign w:val="baseline"/>
      <w:cs w:val="0"/>
      <w:em w:val="none"/>
    </w:rPr>
  </w:style>
  <w:style w:type="character" w:customStyle="1" w:styleId="WW8Num40z1">
    <w:name w:val="WW8Num40z1"/>
    <w:rPr>
      <w:rFonts w:ascii="Courier New" w:hAnsi="Courier New" w:cs="Courier New"/>
      <w:w w:val="100"/>
      <w:position w:val="-1"/>
      <w:effect w:val="none"/>
      <w:vertAlign w:val="baseline"/>
      <w:cs w:val="0"/>
      <w:em w:val="none"/>
    </w:rPr>
  </w:style>
  <w:style w:type="character" w:customStyle="1" w:styleId="WW8Num40z2">
    <w:name w:val="WW8Num40z2"/>
    <w:rPr>
      <w:rFonts w:ascii="Wingdings" w:hAnsi="Wingdings"/>
      <w:w w:val="100"/>
      <w:position w:val="-1"/>
      <w:effect w:val="none"/>
      <w:vertAlign w:val="baseline"/>
      <w:cs w:val="0"/>
      <w:em w:val="none"/>
    </w:rPr>
  </w:style>
  <w:style w:type="character" w:customStyle="1" w:styleId="WW8Num40z3">
    <w:name w:val="WW8Num40z3"/>
    <w:rPr>
      <w:rFonts w:ascii="Symbol" w:hAnsi="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Ttulo1Char">
    <w:name w:val="Título 1 Char"/>
    <w:rPr>
      <w:rFonts w:ascii="Century Gothic" w:hAnsi="Century Gothic" w:cs="Arial"/>
      <w:w w:val="100"/>
      <w:position w:val="-1"/>
      <w:sz w:val="44"/>
      <w:szCs w:val="44"/>
      <w:effect w:val="none"/>
      <w:vertAlign w:val="baseline"/>
      <w:cs w:val="0"/>
      <w:em w:val="none"/>
      <w:lang w:val="en-US" w:eastAsia="ar-SA" w:bidi="ar-SA"/>
    </w:rPr>
  </w:style>
  <w:style w:type="character" w:customStyle="1" w:styleId="ProposalChar">
    <w:name w:val="Proposal Char"/>
    <w:rPr>
      <w:rFonts w:ascii="Century Gothic" w:hAnsi="Century Gothic" w:cs="Arial"/>
      <w:color w:val="C0C0C0"/>
      <w:w w:val="100"/>
      <w:position w:val="-1"/>
      <w:sz w:val="88"/>
      <w:szCs w:val="44"/>
      <w:effect w:val="none"/>
      <w:vertAlign w:val="baseline"/>
      <w:cs w:val="0"/>
      <w:em w:val="none"/>
      <w:lang w:val="en-US" w:eastAsia="ar-SA" w:bidi="ar-SA"/>
    </w:rPr>
  </w:style>
  <w:style w:type="character" w:styleId="Hyperlink">
    <w:name w:val="Hyperlink"/>
    <w:rPr>
      <w:color w:val="0000FF"/>
      <w:w w:val="100"/>
      <w:position w:val="-1"/>
      <w:u w:val="single"/>
      <w:effect w:val="none"/>
      <w:vertAlign w:val="baseline"/>
      <w:cs w:val="0"/>
      <w:em w:val="none"/>
    </w:rPr>
  </w:style>
  <w:style w:type="character" w:styleId="Nmerodepgina">
    <w:name w:val="page number"/>
    <w:rPr>
      <w:rFonts w:ascii="Century Gothic" w:hAnsi="Century Gothic"/>
      <w:w w:val="100"/>
      <w:position w:val="-1"/>
      <w:sz w:val="18"/>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styleId="Forte">
    <w:name w:val="Strong"/>
    <w:rPr>
      <w:b/>
      <w:bCs/>
      <w:w w:val="100"/>
      <w:position w:val="-1"/>
      <w:effect w:val="none"/>
      <w:vertAlign w:val="baseline"/>
      <w:cs w:val="0"/>
      <w:em w:val="none"/>
    </w:rPr>
  </w:style>
  <w:style w:type="character" w:customStyle="1" w:styleId="Pr-formataoHTMLChar">
    <w:name w:val="Pré-formatação HTML Char"/>
    <w:rPr>
      <w:rFonts w:ascii="Courier New" w:hAnsi="Courier New" w:cs="Courier New"/>
      <w:w w:val="100"/>
      <w:position w:val="-1"/>
      <w:effect w:val="none"/>
      <w:vertAlign w:val="baseline"/>
      <w:cs w:val="0"/>
      <w:em w:val="none"/>
      <w:lang w:val="pt-BR" w:eastAsia="ar-SA" w:bidi="ar-SA"/>
    </w:rPr>
  </w:style>
  <w:style w:type="character" w:customStyle="1" w:styleId="RodapChar">
    <w:name w:val="Rodapé Char"/>
    <w:rPr>
      <w:rFonts w:ascii="Century Gothic" w:hAnsi="Century Gothic"/>
      <w:w w:val="100"/>
      <w:position w:val="-1"/>
      <w:effect w:val="none"/>
      <w:vertAlign w:val="baseline"/>
      <w:cs w:val="0"/>
      <w:em w:val="none"/>
      <w:lang w:val="en-US" w:eastAsia="ar-SA" w:bidi="ar-SA"/>
    </w:rPr>
  </w:style>
  <w:style w:type="character" w:customStyle="1" w:styleId="Ttulo2Char">
    <w:name w:val="Título 2 Char"/>
    <w:rPr>
      <w:rFonts w:ascii="Century Gothic" w:hAnsi="Century Gothic" w:cs="Arial"/>
      <w:w w:val="100"/>
      <w:position w:val="-1"/>
      <w:sz w:val="32"/>
      <w:szCs w:val="32"/>
      <w:effect w:val="none"/>
      <w:vertAlign w:val="baseline"/>
      <w:cs w:val="0"/>
      <w:em w:val="none"/>
      <w:lang w:val="en-US"/>
    </w:rPr>
  </w:style>
  <w:style w:type="character" w:customStyle="1" w:styleId="Pr-formataoHTMLChar1">
    <w:name w:val="Pré-formatação HTML Char1"/>
    <w:rPr>
      <w:rFonts w:ascii="Courier New" w:hAnsi="Courier New" w:cs="Courier New"/>
      <w:w w:val="100"/>
      <w:position w:val="-1"/>
      <w:effect w:val="none"/>
      <w:vertAlign w:val="baseline"/>
      <w:cs w:val="0"/>
      <w:em w:val="none"/>
    </w:rPr>
  </w:style>
  <w:style w:type="character" w:customStyle="1" w:styleId="Ttulo3Char">
    <w:name w:val="Título 3 Char"/>
    <w:rPr>
      <w:rFonts w:ascii="Century Gothic" w:hAnsi="Century Gothic" w:cs="Arial"/>
      <w:b/>
      <w:bCs/>
      <w:w w:val="100"/>
      <w:position w:val="-1"/>
      <w:sz w:val="26"/>
      <w:szCs w:val="26"/>
      <w:effect w:val="none"/>
      <w:vertAlign w:val="baseline"/>
      <w:cs w:val="0"/>
      <w:em w:val="none"/>
    </w:rPr>
  </w:style>
  <w:style w:type="character" w:customStyle="1" w:styleId="TextodenotaderodapChar">
    <w:name w:val="Texto de nota de rodapé Char"/>
    <w:rPr>
      <w:rFonts w:ascii="Arial" w:hAnsi="Arial"/>
      <w:color w:val="000000"/>
      <w:w w:val="100"/>
      <w:position w:val="-1"/>
      <w:sz w:val="18"/>
      <w:effect w:val="none"/>
      <w:vertAlign w:val="baseline"/>
      <w:cs w:val="0"/>
      <w:em w:val="none"/>
    </w:rPr>
  </w:style>
  <w:style w:type="character" w:customStyle="1" w:styleId="WW-FootnoteCharacters">
    <w:name w:val="WW-Footnote Characters"/>
    <w:rPr>
      <w:w w:val="100"/>
      <w:position w:val="-1"/>
      <w:effect w:val="none"/>
      <w:vertAlign w:val="superscript"/>
      <w:cs w:val="0"/>
      <w:em w:val="none"/>
    </w:rPr>
  </w:style>
  <w:style w:type="character" w:customStyle="1" w:styleId="MTDisplayEquationChar">
    <w:name w:val="MTDisplayEquation Char"/>
    <w:rPr>
      <w:rFonts w:ascii="Century Gothic" w:hAnsi="Century Gothic"/>
      <w:w w:val="100"/>
      <w:position w:val="-1"/>
      <w:effect w:val="none"/>
      <w:vertAlign w:val="baseline"/>
      <w:cs w:val="0"/>
      <w:em w:val="none"/>
    </w:rPr>
  </w:style>
  <w:style w:type="character" w:customStyle="1" w:styleId="nfakpe">
    <w:name w:val="nfakpe"/>
    <w:basedOn w:val="Fontepargpadro1"/>
    <w:rPr>
      <w:w w:val="100"/>
      <w:position w:val="-1"/>
      <w:effect w:val="none"/>
      <w:vertAlign w:val="baseline"/>
      <w:cs w:val="0"/>
      <w:em w:val="none"/>
    </w:rPr>
  </w:style>
  <w:style w:type="character" w:customStyle="1" w:styleId="TtuloChar">
    <w:name w:val="Título Char"/>
    <w:rPr>
      <w:rFonts w:ascii="Cambria" w:eastAsia="Times New Roman" w:hAnsi="Cambria" w:cs="Times New Roman"/>
      <w:b/>
      <w:bCs/>
      <w:w w:val="100"/>
      <w:kern w:val="1"/>
      <w:position w:val="-1"/>
      <w:sz w:val="32"/>
      <w:szCs w:val="32"/>
      <w:effect w:val="none"/>
      <w:vertAlign w:val="baseline"/>
      <w:cs w:val="0"/>
      <w:em w:val="none"/>
      <w:lang w:val="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lang w:val="en-US"/>
    </w:rPr>
  </w:style>
  <w:style w:type="character" w:styleId="nfase">
    <w:name w:val="Emphasis"/>
    <w:rPr>
      <w:iCs/>
      <w:w w:val="100"/>
      <w:position w:val="-1"/>
      <w:sz w:val="16"/>
      <w:szCs w:val="16"/>
      <w:effect w:val="none"/>
      <w:vertAlign w:val="baseline"/>
      <w:cs w:val="0"/>
      <w:em w:val="none"/>
    </w:rPr>
  </w:style>
  <w:style w:type="character" w:customStyle="1" w:styleId="FootnoteChar">
    <w:name w:val="Footnote Char"/>
    <w:rPr>
      <w:rFonts w:ascii="Arial" w:hAnsi="Arial"/>
      <w:color w:val="000000"/>
      <w:w w:val="100"/>
      <w:position w:val="-1"/>
      <w:sz w:val="18"/>
      <w:effect w:val="none"/>
      <w:vertAlign w:val="baseline"/>
      <w:cs w:val="0"/>
      <w:em w:val="none"/>
      <w:lang w:val="en-US"/>
    </w:rPr>
  </w:style>
  <w:style w:type="character" w:customStyle="1" w:styleId="texto">
    <w:name w:val="texto"/>
    <w:basedOn w:val="Fontepargpadro1"/>
    <w:rPr>
      <w:w w:val="100"/>
      <w:position w:val="-1"/>
      <w:effect w:val="none"/>
      <w:vertAlign w:val="baseline"/>
      <w:cs w:val="0"/>
      <w:em w:val="none"/>
    </w:rPr>
  </w:style>
  <w:style w:type="character" w:customStyle="1" w:styleId="text1">
    <w:name w:val="text1"/>
    <w:basedOn w:val="Fontepargpadro1"/>
    <w:rPr>
      <w:w w:val="100"/>
      <w:position w:val="-1"/>
      <w:effect w:val="none"/>
      <w:vertAlign w:val="baseline"/>
      <w:cs w:val="0"/>
      <w:em w:val="none"/>
    </w:rPr>
  </w:style>
  <w:style w:type="character" w:customStyle="1" w:styleId="style41">
    <w:name w:val="style41"/>
    <w:basedOn w:val="Fontepargpadro1"/>
    <w:rPr>
      <w:w w:val="100"/>
      <w:position w:val="-1"/>
      <w:effect w:val="none"/>
      <w:vertAlign w:val="baseline"/>
      <w:cs w:val="0"/>
      <w:em w:val="none"/>
    </w:rPr>
  </w:style>
  <w:style w:type="character" w:customStyle="1" w:styleId="TabeladeGrade1Clara1">
    <w:name w:val="Tabela de Grade 1 Clara1"/>
    <w:rPr>
      <w:b/>
      <w:bCs/>
      <w:smallCaps/>
      <w:spacing w:val="5"/>
      <w:w w:val="100"/>
      <w:position w:val="-1"/>
      <w:effect w:val="none"/>
      <w:vertAlign w:val="baseline"/>
      <w:cs w:val="0"/>
      <w:em w:val="none"/>
    </w:rPr>
  </w:style>
  <w:style w:type="character" w:customStyle="1" w:styleId="longtext">
    <w:name w:val="long_text"/>
    <w:basedOn w:val="Fontepargpadro1"/>
    <w:rPr>
      <w:w w:val="100"/>
      <w:position w:val="-1"/>
      <w:effect w:val="none"/>
      <w:vertAlign w:val="baseline"/>
      <w:cs w:val="0"/>
      <w:em w:val="none"/>
    </w:rPr>
  </w:style>
  <w:style w:type="character" w:customStyle="1" w:styleId="mediumtext">
    <w:name w:val="medium_text"/>
    <w:basedOn w:val="Fontepargpadro1"/>
    <w:rPr>
      <w:w w:val="100"/>
      <w:position w:val="-1"/>
      <w:effect w:val="none"/>
      <w:vertAlign w:val="baseline"/>
      <w:cs w:val="0"/>
      <w:em w:val="none"/>
    </w:rPr>
  </w:style>
  <w:style w:type="character" w:customStyle="1" w:styleId="Bullets">
    <w:name w:val="Bullets"/>
    <w:rPr>
      <w:rFonts w:ascii="OpenSymbol" w:eastAsia="OpenSymbol" w:hAnsi="OpenSymbol" w:cs="OpenSymbol"/>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Corpodetexto"/>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spacing w:before="120" w:after="0" w:line="360" w:lineRule="auto"/>
      <w:ind w:firstLine="709"/>
    </w:pPr>
    <w:rPr>
      <w:rFonts w:ascii="Arial" w:hAnsi="Arial" w:cs="Tahoma"/>
      <w:sz w:val="24"/>
      <w:szCs w:val="24"/>
      <w:lang w:val="pt-BR"/>
    </w:rPr>
  </w:style>
  <w:style w:type="paragraph" w:customStyle="1" w:styleId="Proposal">
    <w:name w:val="Proposal"/>
    <w:pPr>
      <w:pBdr>
        <w:top w:val="single" w:sz="8" w:space="0" w:color="C0C0C0"/>
      </w:pBdr>
      <w:spacing w:before="1100" w:line="1" w:lineRule="atLeast"/>
      <w:ind w:leftChars="-1" w:left="-1" w:hangingChars="1" w:hanging="1"/>
      <w:textDirection w:val="btLr"/>
      <w:textAlignment w:val="top"/>
      <w:outlineLvl w:val="0"/>
    </w:pPr>
    <w:rPr>
      <w:rFonts w:eastAsia="Arial" w:cs="Arial"/>
      <w:color w:val="C0C0C0"/>
      <w:position w:val="-1"/>
      <w:sz w:val="88"/>
      <w:szCs w:val="44"/>
      <w:lang w:val="en-US" w:eastAsia="ar-SA"/>
    </w:rPr>
  </w:style>
  <w:style w:type="paragraph" w:customStyle="1" w:styleId="OrgNameandDate">
    <w:name w:val="Org Name and Date"/>
    <w:pPr>
      <w:spacing w:line="1" w:lineRule="atLeast"/>
      <w:ind w:leftChars="-1" w:left="-1" w:hangingChars="1" w:hanging="1"/>
      <w:textDirection w:val="btLr"/>
      <w:textAlignment w:val="top"/>
      <w:outlineLvl w:val="0"/>
    </w:pPr>
    <w:rPr>
      <w:rFonts w:eastAsia="Arial"/>
      <w:position w:val="-1"/>
      <w:sz w:val="28"/>
      <w:szCs w:val="28"/>
      <w:lang w:val="en-US" w:eastAsia="ar-SA"/>
    </w:rPr>
  </w:style>
  <w:style w:type="paragraph" w:customStyle="1" w:styleId="ProjectName">
    <w:name w:val="Project Name"/>
    <w:pPr>
      <w:spacing w:before="100" w:line="1" w:lineRule="atLeast"/>
      <w:ind w:leftChars="-1" w:left="-1" w:hangingChars="1" w:hanging="1"/>
      <w:textDirection w:val="btLr"/>
      <w:textAlignment w:val="top"/>
      <w:outlineLvl w:val="0"/>
    </w:pPr>
    <w:rPr>
      <w:rFonts w:eastAsia="Arial"/>
      <w:position w:val="-1"/>
      <w:sz w:val="44"/>
      <w:lang w:val="en-US" w:eastAsia="ar-SA"/>
    </w:rPr>
  </w:style>
  <w:style w:type="paragraph" w:styleId="Cabealho">
    <w:name w:val="header"/>
    <w:basedOn w:val="Normal"/>
  </w:style>
  <w:style w:type="paragraph" w:styleId="Sumrio1">
    <w:name w:val="toc 1"/>
    <w:next w:val="Normal"/>
    <w:pPr>
      <w:tabs>
        <w:tab w:val="left" w:pos="720"/>
        <w:tab w:val="right" w:leader="dot" w:pos="8630"/>
      </w:tabs>
      <w:spacing w:before="360" w:line="1" w:lineRule="atLeast"/>
      <w:ind w:leftChars="-1" w:left="-1" w:hangingChars="1" w:hanging="1"/>
      <w:textDirection w:val="btLr"/>
      <w:textAlignment w:val="top"/>
      <w:outlineLvl w:val="0"/>
    </w:pPr>
    <w:rPr>
      <w:rFonts w:eastAsia="Arial" w:cs="Arial"/>
      <w:bCs/>
      <w:caps/>
      <w:position w:val="-1"/>
      <w:lang w:val="en-US" w:eastAsia="ar-SA"/>
    </w:rPr>
  </w:style>
  <w:style w:type="paragraph" w:customStyle="1" w:styleId="TableText">
    <w:name w:val="Table Text"/>
    <w:pPr>
      <w:spacing w:line="1" w:lineRule="atLeast"/>
      <w:ind w:leftChars="-1" w:left="-1" w:hangingChars="1" w:hanging="1"/>
      <w:textDirection w:val="btLr"/>
      <w:textAlignment w:val="top"/>
      <w:outlineLvl w:val="0"/>
    </w:pPr>
    <w:rPr>
      <w:rFonts w:eastAsia="Arial"/>
      <w:position w:val="-1"/>
      <w:sz w:val="16"/>
      <w:lang w:val="en-US" w:eastAsia="ar-SA"/>
    </w:rPr>
  </w:style>
  <w:style w:type="paragraph" w:customStyle="1" w:styleId="Total">
    <w:name w:val="Total"/>
    <w:basedOn w:val="TableTex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rPr>
      <w:rFonts w:ascii="Tahoma" w:hAnsi="Tahoma" w:cs="Tahoma"/>
      <w:sz w:val="16"/>
      <w:szCs w:val="16"/>
    </w:rPr>
  </w:style>
  <w:style w:type="paragraph" w:customStyle="1" w:styleId="Commarcadores1">
    <w:name w:val="Com marcadores1"/>
    <w:basedOn w:val="Normal"/>
    <w:pPr>
      <w:numPr>
        <w:numId w:val="2"/>
      </w:numPr>
      <w:ind w:left="1152" w:firstLine="720"/>
    </w:pPr>
  </w:style>
  <w:style w:type="paragraph" w:customStyle="1" w:styleId="TableTextBold">
    <w:name w:val="Table Text Bold"/>
    <w:basedOn w:val="TableTex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pPr>
      <w:ind w:firstLine="0"/>
      <w:jc w:val="center"/>
    </w:pPr>
    <w:rPr>
      <w:b/>
      <w:bCs/>
      <w:lang w:val="pt-BR"/>
    </w:rPr>
  </w:style>
  <w:style w:type="paragraph" w:customStyle="1" w:styleId="StyleCaptionCentered">
    <w:name w:val="Style Caption + Centered"/>
    <w:basedOn w:val="Legenda1"/>
  </w:style>
  <w:style w:type="paragraph" w:styleId="Pr-formataoHTML">
    <w:name w:val="HTML Preformatted"/>
    <w:basedOn w:val="Normal"/>
    <w:pPr>
      <w:spacing w:before="0" w:after="0"/>
      <w:ind w:firstLine="0"/>
      <w:jc w:val="left"/>
    </w:pPr>
    <w:rPr>
      <w:rFonts w:ascii="Courier New" w:hAnsi="Courier New" w:cs="Courier New"/>
      <w:lang w:val="pt-BR"/>
    </w:rPr>
  </w:style>
  <w:style w:type="paragraph" w:styleId="Rodap">
    <w:name w:val="footer"/>
    <w:basedOn w:val="Normal"/>
  </w:style>
  <w:style w:type="paragraph" w:customStyle="1" w:styleId="WW-Default">
    <w:name w:val="WW-Default"/>
    <w:pPr>
      <w:autoSpaceDE w:val="0"/>
      <w:spacing w:line="1" w:lineRule="atLeast"/>
      <w:ind w:leftChars="-1" w:left="-1" w:hangingChars="1" w:hanging="1"/>
      <w:textDirection w:val="btLr"/>
      <w:textAlignment w:val="top"/>
      <w:outlineLvl w:val="0"/>
    </w:pPr>
    <w:rPr>
      <w:color w:val="000000"/>
      <w:position w:val="-1"/>
      <w:sz w:val="24"/>
      <w:szCs w:val="24"/>
      <w:lang w:eastAsia="ar-SA"/>
    </w:rPr>
  </w:style>
  <w:style w:type="paragraph" w:customStyle="1" w:styleId="ListParagraph1">
    <w:name w:val="List Paragraph1"/>
    <w:basedOn w:val="Normal"/>
    <w:pPr>
      <w:spacing w:before="0" w:after="0"/>
      <w:ind w:left="720" w:firstLine="0"/>
      <w:jc w:val="left"/>
    </w:pPr>
    <w:rPr>
      <w:rFonts w:ascii="Times New Roman" w:hAnsi="Times New Roman"/>
      <w:sz w:val="24"/>
      <w:szCs w:val="24"/>
      <w:lang w:val="pt-BR"/>
    </w:rPr>
  </w:style>
  <w:style w:type="paragraph" w:customStyle="1" w:styleId="MTDisplayEquation">
    <w:name w:val="MTDisplayEquation"/>
    <w:basedOn w:val="Normal"/>
    <w:next w:val="Normal"/>
    <w:rPr>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style>
  <w:style w:type="paragraph" w:styleId="NormalWeb">
    <w:name w:val="Normal (Web)"/>
    <w:basedOn w:val="Normal"/>
    <w:uiPriority w:val="99"/>
    <w:rPr>
      <w:rFonts w:ascii="Times New Roman" w:hAnsi="Times New Roman"/>
      <w:sz w:val="24"/>
      <w:szCs w:val="24"/>
    </w:rPr>
  </w:style>
  <w:style w:type="paragraph" w:customStyle="1" w:styleId="StyleNormalWebArialNotBold">
    <w:name w:val="Style Normal (Web) + Arial Not Bold"/>
    <w:basedOn w:val="NormalWeb"/>
    <w:pPr>
      <w:spacing w:before="280" w:after="120" w:line="360" w:lineRule="auto"/>
      <w:ind w:firstLine="706"/>
    </w:pPr>
    <w:rPr>
      <w:rFonts w:ascii="Arial" w:hAnsi="Arial" w:cs="Arial"/>
      <w:color w:val="000000"/>
      <w:lang w:val="pt-BR"/>
    </w:rPr>
  </w:style>
  <w:style w:type="paragraph" w:customStyle="1" w:styleId="StyletituloArial14pt">
    <w:name w:val="Style titulo + Arial 14 pt"/>
    <w:basedOn w:val="Normal"/>
    <w:pPr>
      <w:spacing w:before="240" w:after="120" w:line="336" w:lineRule="atLeast"/>
      <w:ind w:firstLine="0"/>
    </w:pPr>
    <w:rPr>
      <w:rFonts w:ascii="Arial" w:hAnsi="Arial" w:cs="Arial"/>
      <w:b/>
      <w:bCs/>
      <w:color w:val="000000"/>
      <w:sz w:val="28"/>
      <w:szCs w:val="24"/>
      <w:lang w:val="pt-BR"/>
    </w:rPr>
  </w:style>
  <w:style w:type="paragraph" w:customStyle="1" w:styleId="StyleStyleNormalWebArialNotBoldLinespacingsingle">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pPr>
      <w:spacing w:before="0" w:after="200" w:line="276" w:lineRule="auto"/>
      <w:ind w:left="720" w:firstLine="0"/>
      <w:jc w:val="left"/>
    </w:pPr>
    <w:rPr>
      <w:rFonts w:ascii="Calibri" w:hAnsi="Calibri"/>
      <w:sz w:val="22"/>
      <w:szCs w:val="22"/>
      <w:lang w:val="pt-BR"/>
    </w:rPr>
  </w:style>
  <w:style w:type="paragraph" w:customStyle="1" w:styleId="Contents10">
    <w:name w:val="Contents 10"/>
    <w:basedOn w:val="Index"/>
    <w:pPr>
      <w:ind w:left="2547" w:firstLine="0"/>
    </w:p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able">
    <w:name w:val="Table"/>
    <w:basedOn w:val="Caption1"/>
  </w:style>
  <w:style w:type="paragraph" w:customStyle="1" w:styleId="Illustration">
    <w:name w:val="Illustration"/>
    <w:basedOn w:val="Caption1"/>
  </w:style>
  <w:style w:type="paragraph" w:customStyle="1" w:styleId="Figure">
    <w:name w:val="Figure"/>
    <w:basedOn w:val="Caption1"/>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qFormat/>
  </w:style>
  <w:style w:type="character" w:customStyle="1" w:styleId="TextodenotadefimChar">
    <w:name w:val="Texto de nota de fim Char"/>
    <w:rPr>
      <w:rFonts w:ascii="Century Gothic" w:hAnsi="Century Gothic"/>
      <w:w w:val="100"/>
      <w:position w:val="-1"/>
      <w:effect w:val="none"/>
      <w:vertAlign w:val="baseline"/>
      <w:cs w:val="0"/>
      <w:em w:val="none"/>
      <w:lang w:val="en-US" w:eastAsia="ar-SA"/>
    </w:rPr>
  </w:style>
  <w:style w:type="character" w:styleId="Refdenotadefim">
    <w:name w:val="endnote reference"/>
    <w:qFormat/>
    <w:rPr>
      <w:w w:val="100"/>
      <w:position w:val="-1"/>
      <w:effect w:val="none"/>
      <w:vertAlign w:val="superscript"/>
      <w:cs w:val="0"/>
      <w:em w:val="none"/>
    </w:rPr>
  </w:style>
  <w:style w:type="character" w:styleId="Refdenotaderodap">
    <w:name w:val="footnote reference"/>
    <w:qFormat/>
    <w:rPr>
      <w:w w:val="100"/>
      <w:position w:val="-1"/>
      <w:effect w:val="none"/>
      <w:vertAlign w:val="superscript"/>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style>
  <w:style w:type="character" w:customStyle="1" w:styleId="TextodecomentrioChar">
    <w:name w:val="Texto de comentário Char"/>
    <w:rPr>
      <w:rFonts w:ascii="Century Gothic" w:hAnsi="Century Gothic"/>
      <w:w w:val="100"/>
      <w:position w:val="-1"/>
      <w:effect w:val="none"/>
      <w:vertAlign w:val="baseline"/>
      <w:cs w:val="0"/>
      <w:em w:val="none"/>
      <w:lang w:val="en-US" w:eastAsia="ar-SA"/>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entury Gothic" w:hAnsi="Century Gothic"/>
      <w:b/>
      <w:bCs/>
      <w:w w:val="100"/>
      <w:position w:val="-1"/>
      <w:effect w:val="none"/>
      <w:vertAlign w:val="baseline"/>
      <w:cs w:val="0"/>
      <w:em w:val="none"/>
      <w:lang w:val="en-US" w:eastAsia="ar-SA"/>
    </w:rPr>
  </w:style>
  <w:style w:type="character" w:customStyle="1" w:styleId="CabealhoChar">
    <w:name w:val="Cabeçalho Char"/>
    <w:rPr>
      <w:rFonts w:ascii="Century Gothic" w:hAnsi="Century Gothic"/>
      <w:w w:val="100"/>
      <w:position w:val="-1"/>
      <w:effect w:val="none"/>
      <w:vertAlign w:val="baseline"/>
      <w:cs w:val="0"/>
      <w:em w:val="none"/>
      <w:lang w:val="en-US" w:eastAsia="ar-SA"/>
    </w:rPr>
  </w:style>
  <w:style w:type="table" w:styleId="TabelaSimples5">
    <w:name w:val="Plain Table 5"/>
    <w:basedOn w:val="Tabelanormal"/>
    <w:uiPriority w:val="45"/>
    <w:rsid w:val="00EE798E"/>
    <w:pPr>
      <w:spacing w:before="0" w:after="0"/>
      <w:ind w:firstLine="0"/>
      <w:jc w:val="left"/>
    </w:pPr>
    <w:rPr>
      <w:rFonts w:ascii="Calibri" w:eastAsia="Calibri" w:hAnsi="Calibri" w:cs="Calibr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project.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doi.org/ISBN%200-387-95457-0"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ibge.gov.br/cidades-e-estados/to/araguain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MrUoiiD0/0L1WSsMmGia53zAlg==">CgMxLjAyCGguZ2pkZ3hzMgloLjMwajB6bGwyCmlkLjFmb2I5dGUyCmlkLjN6bnlzaDcyCmlkLjJldDkycDAyCWlkLnR5amN3dDIJaC4zZHk2dmttMgloLjF0M2g1c2Y4AHIhMXRhdENPMlRCRnRjazZqYWthZlBETUZ1dVJ1UHlnbVU1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DDC9AD-8B03-4DAA-B453-2C73CC166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2305</Words>
  <Characters>12449</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F. Novaes</dc:creator>
  <cp:lastModifiedBy>Gisele da Silva dos Santos</cp:lastModifiedBy>
  <cp:revision>2</cp:revision>
  <dcterms:created xsi:type="dcterms:W3CDTF">2023-10-31T15:09:00Z</dcterms:created>
  <dcterms:modified xsi:type="dcterms:W3CDTF">2023-10-31T15:09:00Z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TemplateID">
    <vt:lpwstr>TC060891651033</vt:lpwstr>
  </property>
</Properties>
</file>