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BFFC8" w14:textId="77777777" w:rsidR="000619A8" w:rsidRDefault="0063107C" w:rsidP="000619A8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5A76EB1C">
            <wp:simplePos x="0" y="0"/>
            <wp:positionH relativeFrom="page">
              <wp:align>right</wp:align>
            </wp:positionH>
            <wp:positionV relativeFrom="paragraph">
              <wp:posOffset>-1139132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4D5C03" w14:textId="45CFB0D6" w:rsidR="00BB16BE" w:rsidRPr="00BB16BE" w:rsidRDefault="00D87799" w:rsidP="00BB16B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2663">
        <w:rPr>
          <w:rFonts w:ascii="Times New Roman" w:hAnsi="Times New Roman" w:cs="Times New Roman"/>
          <w:b/>
          <w:bCs/>
          <w:sz w:val="28"/>
          <w:szCs w:val="28"/>
        </w:rPr>
        <w:t xml:space="preserve">DESENVOLVIMENTO DA </w:t>
      </w:r>
      <w:r>
        <w:rPr>
          <w:rFonts w:ascii="Times New Roman" w:hAnsi="Times New Roman" w:cs="Times New Roman"/>
          <w:b/>
          <w:bCs/>
          <w:sz w:val="28"/>
          <w:szCs w:val="28"/>
        </w:rPr>
        <w:t>SÍNDROME DE GUILLAIN-BARRÉ E</w:t>
      </w:r>
      <w:r w:rsidR="00712663">
        <w:rPr>
          <w:rFonts w:ascii="Times New Roman" w:hAnsi="Times New Roman" w:cs="Times New Roman"/>
          <w:b/>
          <w:bCs/>
          <w:sz w:val="28"/>
          <w:szCs w:val="28"/>
        </w:rPr>
        <w:t xml:space="preserve">M </w:t>
      </w:r>
      <w:r>
        <w:rPr>
          <w:rFonts w:ascii="Times New Roman" w:hAnsi="Times New Roman" w:cs="Times New Roman"/>
          <w:b/>
          <w:bCs/>
          <w:sz w:val="28"/>
          <w:szCs w:val="28"/>
        </w:rPr>
        <w:t>PACIENTES</w:t>
      </w:r>
      <w:r w:rsidR="00E040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PÓS</w:t>
      </w:r>
      <w:r w:rsidR="00712663">
        <w:rPr>
          <w:rFonts w:ascii="Times New Roman" w:hAnsi="Times New Roman" w:cs="Times New Roman"/>
          <w:b/>
          <w:bCs/>
          <w:sz w:val="28"/>
          <w:szCs w:val="28"/>
        </w:rPr>
        <w:t xml:space="preserve"> INFEC</w:t>
      </w:r>
      <w:r w:rsidR="00E040E2">
        <w:rPr>
          <w:rFonts w:ascii="Times New Roman" w:hAnsi="Times New Roman" w:cs="Times New Roman"/>
          <w:b/>
          <w:bCs/>
          <w:sz w:val="28"/>
          <w:szCs w:val="28"/>
        </w:rPr>
        <w:t>TADOS</w:t>
      </w:r>
      <w:r w:rsidR="00712663">
        <w:rPr>
          <w:rFonts w:ascii="Times New Roman" w:hAnsi="Times New Roman" w:cs="Times New Roman"/>
          <w:b/>
          <w:bCs/>
          <w:sz w:val="28"/>
          <w:szCs w:val="28"/>
        </w:rPr>
        <w:t xml:space="preserve"> POR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SARS-CoV-2</w:t>
      </w:r>
    </w:p>
    <w:p w14:paraId="5EC8B84B" w14:textId="61D2F286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E726BD">
        <w:rPr>
          <w:rFonts w:ascii="Times New Roman" w:hAnsi="Times New Roman" w:cs="Times New Roman"/>
          <w:sz w:val="24"/>
          <w:szCs w:val="24"/>
        </w:rPr>
        <w:t>A síndrome de Guillain-Barré</w:t>
      </w:r>
      <w:r w:rsidR="004B599E">
        <w:rPr>
          <w:rFonts w:ascii="Times New Roman" w:hAnsi="Times New Roman" w:cs="Times New Roman"/>
          <w:sz w:val="24"/>
          <w:szCs w:val="24"/>
        </w:rPr>
        <w:t xml:space="preserve"> (SGB)</w:t>
      </w:r>
      <w:r w:rsidR="00E726BD">
        <w:rPr>
          <w:rFonts w:ascii="Times New Roman" w:hAnsi="Times New Roman" w:cs="Times New Roman"/>
          <w:sz w:val="24"/>
          <w:szCs w:val="24"/>
        </w:rPr>
        <w:t xml:space="preserve"> pode ser caracterizada por uma polirradiculopatia aguda desmielinizante inflamatória, que se manifesta com paresia em membros inferiores</w:t>
      </w:r>
      <w:r w:rsidR="00E040E2">
        <w:rPr>
          <w:rFonts w:ascii="Times New Roman" w:hAnsi="Times New Roman" w:cs="Times New Roman"/>
          <w:sz w:val="24"/>
          <w:szCs w:val="24"/>
        </w:rPr>
        <w:t xml:space="preserve">, evoluindo para uma paralisia com um destino proximal, causada por um ataque desordenado do sistema imune ao tecido nervoso. Sob outra perspectiva, a infecção por SARS-CoV-2, é uma doença respiratória com etiologia inflamatória, de disseminação sistêmica e relacionada à diversas complicações, dentre elas, a </w:t>
      </w:r>
      <w:r w:rsidR="004B599E">
        <w:rPr>
          <w:rFonts w:ascii="Times New Roman" w:hAnsi="Times New Roman" w:cs="Times New Roman"/>
          <w:sz w:val="24"/>
          <w:szCs w:val="24"/>
        </w:rPr>
        <w:t>SGB</w:t>
      </w:r>
      <w:r w:rsidR="00E040E2">
        <w:rPr>
          <w:rFonts w:ascii="Times New Roman" w:hAnsi="Times New Roman" w:cs="Times New Roman"/>
          <w:sz w:val="24"/>
          <w:szCs w:val="24"/>
        </w:rPr>
        <w:t xml:space="preserve"> têm sido</w:t>
      </w:r>
      <w:r w:rsidR="004B599E">
        <w:rPr>
          <w:rFonts w:ascii="Times New Roman" w:hAnsi="Times New Roman" w:cs="Times New Roman"/>
          <w:sz w:val="24"/>
          <w:szCs w:val="24"/>
        </w:rPr>
        <w:t xml:space="preserve"> uma realidade</w:t>
      </w:r>
      <w:r w:rsidR="00E040E2">
        <w:rPr>
          <w:rFonts w:ascii="Times New Roman" w:hAnsi="Times New Roman" w:cs="Times New Roman"/>
          <w:sz w:val="24"/>
          <w:szCs w:val="24"/>
        </w:rPr>
        <w:t xml:space="preserve">. Dessa forma, será avaliada a relação do aparecimento da </w:t>
      </w:r>
      <w:r w:rsidR="004B599E">
        <w:rPr>
          <w:rFonts w:ascii="Times New Roman" w:hAnsi="Times New Roman" w:cs="Times New Roman"/>
          <w:sz w:val="24"/>
          <w:szCs w:val="24"/>
        </w:rPr>
        <w:t>SGB</w:t>
      </w:r>
      <w:r w:rsidR="00E040E2">
        <w:rPr>
          <w:rFonts w:ascii="Times New Roman" w:hAnsi="Times New Roman" w:cs="Times New Roman"/>
          <w:sz w:val="24"/>
          <w:szCs w:val="24"/>
        </w:rPr>
        <w:t xml:space="preserve"> em pacientes que foram infectados previamente com o SARS-CoV-2. </w:t>
      </w:r>
      <w:r w:rsidR="00E040E2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 w:rsidR="00E040E2">
        <w:rPr>
          <w:rFonts w:ascii="Times New Roman" w:hAnsi="Times New Roman" w:cs="Times New Roman"/>
          <w:sz w:val="24"/>
          <w:szCs w:val="24"/>
        </w:rPr>
        <w:t xml:space="preserve"> Analisar o desenvolvimento </w:t>
      </w:r>
      <w:r w:rsidR="000619A8">
        <w:rPr>
          <w:rFonts w:ascii="Times New Roman" w:hAnsi="Times New Roman" w:cs="Times New Roman"/>
          <w:sz w:val="24"/>
          <w:szCs w:val="24"/>
        </w:rPr>
        <w:t xml:space="preserve">da síndrome de Guillain-Barré nos pacientes infectados anteriormente com o SARS-CoV-2. </w:t>
      </w:r>
      <w:r w:rsidR="000619A8">
        <w:rPr>
          <w:rFonts w:ascii="Times New Roman" w:hAnsi="Times New Roman" w:cs="Times New Roman"/>
          <w:b/>
          <w:bCs/>
          <w:sz w:val="24"/>
          <w:szCs w:val="24"/>
        </w:rPr>
        <w:t xml:space="preserve">METODOLOGIA: </w:t>
      </w:r>
      <w:r w:rsidR="000619A8">
        <w:rPr>
          <w:rFonts w:ascii="Times New Roman" w:hAnsi="Times New Roman" w:cs="Times New Roman"/>
          <w:sz w:val="24"/>
          <w:szCs w:val="24"/>
        </w:rPr>
        <w:t xml:space="preserve">Trata-se de uma revisão integrativa de literatura, no qual os artigos foram selecionados através das bases de dados </w:t>
      </w:r>
      <w:r w:rsidR="000619A8">
        <w:rPr>
          <w:rFonts w:ascii="Times New Roman" w:hAnsi="Times New Roman" w:cs="Times New Roman"/>
          <w:i/>
          <w:iCs/>
          <w:sz w:val="24"/>
          <w:szCs w:val="24"/>
        </w:rPr>
        <w:t xml:space="preserve">U.S. National Library of Medicine </w:t>
      </w:r>
      <w:r w:rsidR="000619A8">
        <w:rPr>
          <w:rFonts w:ascii="Times New Roman" w:hAnsi="Times New Roman" w:cs="Times New Roman"/>
          <w:sz w:val="24"/>
          <w:szCs w:val="24"/>
        </w:rPr>
        <w:t xml:space="preserve">(Pubmed), Biblioteca Virtual em Saúde (BVS) e </w:t>
      </w:r>
      <w:r w:rsidR="000619A8">
        <w:rPr>
          <w:rFonts w:ascii="Times New Roman" w:hAnsi="Times New Roman" w:cs="Times New Roman"/>
          <w:i/>
          <w:iCs/>
          <w:sz w:val="24"/>
          <w:szCs w:val="24"/>
        </w:rPr>
        <w:t>Scientific Eletronic Library Online</w:t>
      </w:r>
      <w:r w:rsidR="000619A8">
        <w:rPr>
          <w:rFonts w:ascii="Times New Roman" w:hAnsi="Times New Roman" w:cs="Times New Roman"/>
          <w:sz w:val="24"/>
          <w:szCs w:val="24"/>
        </w:rPr>
        <w:t xml:space="preserve"> (SciELO), com o uso dos seguintes descritores “</w:t>
      </w:r>
      <w:r w:rsidR="000619A8" w:rsidRPr="000619A8">
        <w:rPr>
          <w:rFonts w:ascii="Times New Roman" w:hAnsi="Times New Roman" w:cs="Times New Roman"/>
          <w:i/>
          <w:iCs/>
          <w:sz w:val="24"/>
          <w:szCs w:val="24"/>
        </w:rPr>
        <w:t>Guillain-Barré syndrome</w:t>
      </w:r>
      <w:r w:rsidR="000619A8">
        <w:rPr>
          <w:rFonts w:ascii="Times New Roman" w:hAnsi="Times New Roman" w:cs="Times New Roman"/>
          <w:sz w:val="24"/>
          <w:szCs w:val="24"/>
        </w:rPr>
        <w:t xml:space="preserve">” e </w:t>
      </w:r>
      <w:r w:rsidR="000619A8" w:rsidRPr="00BA7865">
        <w:rPr>
          <w:rFonts w:ascii="Times New Roman" w:hAnsi="Times New Roman" w:cs="Times New Roman"/>
          <w:sz w:val="24"/>
          <w:szCs w:val="24"/>
        </w:rPr>
        <w:t>“SARS-CoV-2”.</w:t>
      </w:r>
      <w:r w:rsidR="000619A8">
        <w:rPr>
          <w:rFonts w:ascii="Times New Roman" w:hAnsi="Times New Roman" w:cs="Times New Roman"/>
          <w:sz w:val="24"/>
          <w:szCs w:val="24"/>
        </w:rPr>
        <w:t xml:space="preserve"> Os critérios de inclusão foram a disponibilidade dos artigos, não foi determinado um filtro de tempo, uma vez que o SARS-CoV-2 é emergente e artigos em inglês. Dentre os critérios de exclusão foram os que não mencionavam a síndrome de Guillain-Barré. </w:t>
      </w:r>
      <w:r w:rsidR="000619A8">
        <w:rPr>
          <w:rFonts w:ascii="Times New Roman" w:hAnsi="Times New Roman" w:cs="Times New Roman"/>
          <w:b/>
          <w:bCs/>
          <w:sz w:val="24"/>
          <w:szCs w:val="24"/>
        </w:rPr>
        <w:t xml:space="preserve">RESULTADOS: </w:t>
      </w:r>
      <w:r w:rsidR="000619A8">
        <w:rPr>
          <w:rFonts w:ascii="Times New Roman" w:hAnsi="Times New Roman" w:cs="Times New Roman"/>
          <w:sz w:val="24"/>
          <w:szCs w:val="24"/>
        </w:rPr>
        <w:t>Apesar d</w:t>
      </w:r>
      <w:r w:rsidR="004B599E">
        <w:rPr>
          <w:rFonts w:ascii="Times New Roman" w:hAnsi="Times New Roman" w:cs="Times New Roman"/>
          <w:sz w:val="24"/>
          <w:szCs w:val="24"/>
        </w:rPr>
        <w:t>o acometimento pulmonar clássico do SARS-CoV-2, a infecção também p</w:t>
      </w:r>
      <w:r w:rsidR="00BA7865">
        <w:rPr>
          <w:rFonts w:ascii="Times New Roman" w:hAnsi="Times New Roman" w:cs="Times New Roman"/>
          <w:sz w:val="24"/>
          <w:szCs w:val="24"/>
        </w:rPr>
        <w:t>o</w:t>
      </w:r>
      <w:r w:rsidR="004B599E">
        <w:rPr>
          <w:rFonts w:ascii="Times New Roman" w:hAnsi="Times New Roman" w:cs="Times New Roman"/>
          <w:sz w:val="24"/>
          <w:szCs w:val="24"/>
        </w:rPr>
        <w:t>de provocar o aparecimento de outras afecções, dentre elas, de acometimento</w:t>
      </w:r>
      <w:r w:rsidR="000619A8">
        <w:rPr>
          <w:rFonts w:ascii="Times New Roman" w:hAnsi="Times New Roman" w:cs="Times New Roman"/>
          <w:sz w:val="24"/>
          <w:szCs w:val="24"/>
        </w:rPr>
        <w:t xml:space="preserve"> </w:t>
      </w:r>
      <w:r w:rsidR="004B599E">
        <w:rPr>
          <w:rFonts w:ascii="Times New Roman" w:hAnsi="Times New Roman" w:cs="Times New Roman"/>
          <w:sz w:val="24"/>
          <w:szCs w:val="24"/>
        </w:rPr>
        <w:t>neurológico, sendo que a SGB tem sido relacionada pela etiologia imunológica</w:t>
      </w:r>
      <w:r w:rsidR="008860AF">
        <w:rPr>
          <w:rFonts w:ascii="Times New Roman" w:hAnsi="Times New Roman" w:cs="Times New Roman"/>
          <w:sz w:val="24"/>
          <w:szCs w:val="24"/>
        </w:rPr>
        <w:t xml:space="preserve"> e por se confirmar clinicamente</w:t>
      </w:r>
      <w:r w:rsidR="004B599E">
        <w:rPr>
          <w:rFonts w:ascii="Times New Roman" w:hAnsi="Times New Roman" w:cs="Times New Roman"/>
          <w:sz w:val="24"/>
          <w:szCs w:val="24"/>
        </w:rPr>
        <w:t xml:space="preserve">. O desenvolvimento da SGB em um cenário pós-SARS-CoV-2 </w:t>
      </w:r>
      <w:r w:rsidR="008860AF">
        <w:rPr>
          <w:rFonts w:ascii="Times New Roman" w:hAnsi="Times New Roman" w:cs="Times New Roman"/>
          <w:sz w:val="24"/>
          <w:szCs w:val="24"/>
        </w:rPr>
        <w:t>tem sido discutido, e a partir disso, são criadas algumas teorias para o desenvolvimento da SGB nessa situação. A principal hipótese é pela capacidade do SARS-CoV-2 tornar estruturas chamadas de ganglio</w:t>
      </w:r>
      <w:r w:rsidR="0068503B">
        <w:rPr>
          <w:rFonts w:ascii="Times New Roman" w:hAnsi="Times New Roman" w:cs="Times New Roman"/>
          <w:sz w:val="24"/>
          <w:szCs w:val="24"/>
        </w:rPr>
        <w:t xml:space="preserve">sídeos (componentes da membrana celular), imunogênicos, gerando os anticorpos antigangliosídeos, que por sua vez, suscitariam o quadro de desmielinização por um mimetismo molecular, que leva à ligação dos anticorpos aos nervos. Esse mecanismo também está intimamente ligado com a “tempestade de citocinas”, - comum na infecção por SARS-CoV-2 - pois as citocinas liberadas no início da SGB são praticamente as mesmas da fase aguda da infecção por SARS-CoV-2, modulando o meio imunológico do desenvolvimento da SGB. </w:t>
      </w:r>
      <w:r w:rsidR="00BB16BE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="00BB16BE">
        <w:rPr>
          <w:rFonts w:ascii="Times New Roman" w:hAnsi="Times New Roman" w:cs="Times New Roman"/>
          <w:sz w:val="24"/>
          <w:szCs w:val="24"/>
        </w:rPr>
        <w:t>O desenvolvimento da SGB em pacientes com infecção por SARS-CoV-2 é um evento raro, mas com chances possíveis, em especial</w:t>
      </w:r>
      <w:r w:rsidR="006554B3">
        <w:rPr>
          <w:rFonts w:ascii="Times New Roman" w:hAnsi="Times New Roman" w:cs="Times New Roman"/>
          <w:sz w:val="24"/>
          <w:szCs w:val="24"/>
        </w:rPr>
        <w:t>,</w:t>
      </w:r>
      <w:r w:rsidR="00BB16BE">
        <w:rPr>
          <w:rFonts w:ascii="Times New Roman" w:hAnsi="Times New Roman" w:cs="Times New Roman"/>
          <w:sz w:val="24"/>
          <w:szCs w:val="24"/>
        </w:rPr>
        <w:t xml:space="preserve"> pelas hipóteses imunológicas </w:t>
      </w:r>
      <w:r w:rsidR="006554B3">
        <w:rPr>
          <w:rFonts w:ascii="Times New Roman" w:hAnsi="Times New Roman" w:cs="Times New Roman"/>
          <w:sz w:val="24"/>
          <w:szCs w:val="24"/>
        </w:rPr>
        <w:t xml:space="preserve">(anticorpos antigangliosídeos) </w:t>
      </w:r>
      <w:r w:rsidR="00BB16BE">
        <w:rPr>
          <w:rFonts w:ascii="Times New Roman" w:hAnsi="Times New Roman" w:cs="Times New Roman"/>
          <w:sz w:val="24"/>
          <w:szCs w:val="24"/>
        </w:rPr>
        <w:t xml:space="preserve">que desvendam a etiologia da SGB mediada pelo SARS-CoV-2. </w:t>
      </w:r>
    </w:p>
    <w:p w14:paraId="2D285F77" w14:textId="53E60739" w:rsidR="004B2BD6" w:rsidRPr="004B2BD6" w:rsidRDefault="00C45D74" w:rsidP="006554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554B3">
        <w:rPr>
          <w:rFonts w:ascii="Times New Roman" w:hAnsi="Times New Roman" w:cs="Times New Roman"/>
          <w:sz w:val="24"/>
          <w:szCs w:val="24"/>
        </w:rPr>
        <w:t>Síndrome de Guillain-Barré; SARS-CoV-2; Anticorpos.</w:t>
      </w: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E3A5A" w14:textId="77777777" w:rsidR="009211F0" w:rsidRDefault="009211F0" w:rsidP="007218E2">
      <w:pPr>
        <w:spacing w:after="0" w:line="240" w:lineRule="auto"/>
      </w:pPr>
      <w:r>
        <w:separator/>
      </w:r>
    </w:p>
  </w:endnote>
  <w:endnote w:type="continuationSeparator" w:id="0">
    <w:p w14:paraId="48680479" w14:textId="77777777" w:rsidR="009211F0" w:rsidRDefault="009211F0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68ADC" w14:textId="77777777" w:rsidR="009211F0" w:rsidRDefault="009211F0" w:rsidP="007218E2">
      <w:pPr>
        <w:spacing w:after="0" w:line="240" w:lineRule="auto"/>
      </w:pPr>
      <w:r>
        <w:separator/>
      </w:r>
    </w:p>
  </w:footnote>
  <w:footnote w:type="continuationSeparator" w:id="0">
    <w:p w14:paraId="1D65E4B6" w14:textId="77777777" w:rsidR="009211F0" w:rsidRDefault="009211F0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619A8"/>
    <w:rsid w:val="00077963"/>
    <w:rsid w:val="000B2334"/>
    <w:rsid w:val="003A4751"/>
    <w:rsid w:val="004B2BD6"/>
    <w:rsid w:val="004B599E"/>
    <w:rsid w:val="005966D2"/>
    <w:rsid w:val="0063107C"/>
    <w:rsid w:val="006554B3"/>
    <w:rsid w:val="0068503B"/>
    <w:rsid w:val="00712663"/>
    <w:rsid w:val="007218E2"/>
    <w:rsid w:val="008860AF"/>
    <w:rsid w:val="009211F0"/>
    <w:rsid w:val="009D62B9"/>
    <w:rsid w:val="00B27934"/>
    <w:rsid w:val="00B4557E"/>
    <w:rsid w:val="00BA7865"/>
    <w:rsid w:val="00BB16BE"/>
    <w:rsid w:val="00BD6D9B"/>
    <w:rsid w:val="00C45D74"/>
    <w:rsid w:val="00D87799"/>
    <w:rsid w:val="00E040E2"/>
    <w:rsid w:val="00E726BD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439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Gabriella Maria Almeida</cp:lastModifiedBy>
  <cp:revision>4</cp:revision>
  <dcterms:created xsi:type="dcterms:W3CDTF">2023-04-17T03:05:00Z</dcterms:created>
  <dcterms:modified xsi:type="dcterms:W3CDTF">2023-05-04T01:36:00Z</dcterms:modified>
</cp:coreProperties>
</file>