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91E931" w14:textId="33C02F89" w:rsidR="00D8471E" w:rsidRPr="006F452E" w:rsidRDefault="006F452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right"/>
        <w:rPr>
          <w:rFonts w:ascii="Times New Roman" w:eastAsia="Times New Roman" w:hAnsi="Times New Roman" w:cs="Times New Roman"/>
          <w:b/>
          <w:i/>
          <w:color w:val="808080" w:themeColor="background1" w:themeShade="80"/>
        </w:rPr>
      </w:pPr>
      <w:r w:rsidRPr="006F452E">
        <w:rPr>
          <w:rFonts w:ascii="Times New Roman" w:eastAsia="Times New Roman" w:hAnsi="Times New Roman" w:cs="Times New Roman"/>
          <w:b/>
          <w:color w:val="808080" w:themeColor="background1" w:themeShade="80"/>
        </w:rPr>
        <w:t>Trilha</w:t>
      </w:r>
      <w:r w:rsidR="0003617F">
        <w:rPr>
          <w:rFonts w:ascii="Times New Roman" w:eastAsia="Times New Roman" w:hAnsi="Times New Roman" w:cs="Times New Roman"/>
          <w:b/>
          <w:color w:val="808080" w:themeColor="background1" w:themeShade="80"/>
        </w:rPr>
        <w:t xml:space="preserve"> 4</w:t>
      </w:r>
    </w:p>
    <w:p w14:paraId="6EBCBD64" w14:textId="77777777" w:rsidR="00D8471E" w:rsidRDefault="00D8471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8AB462" w14:textId="77777777" w:rsidR="0003617F" w:rsidRDefault="0003617F" w:rsidP="0003617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F20">
        <w:rPr>
          <w:rFonts w:ascii="Times New Roman" w:eastAsia="Times New Roman" w:hAnsi="Times New Roman" w:cs="Times New Roman"/>
          <w:b/>
          <w:sz w:val="28"/>
          <w:szCs w:val="28"/>
        </w:rPr>
        <w:t xml:space="preserve">Inclusão de </w:t>
      </w:r>
      <w:proofErr w:type="spellStart"/>
      <w:r w:rsidRPr="004D0F20">
        <w:rPr>
          <w:rFonts w:ascii="Times New Roman" w:eastAsia="Times New Roman" w:hAnsi="Times New Roman" w:cs="Times New Roman"/>
          <w:b/>
          <w:sz w:val="28"/>
          <w:szCs w:val="28"/>
        </w:rPr>
        <w:t>Neurodivergentes</w:t>
      </w:r>
      <w:proofErr w:type="spellEnd"/>
      <w:r w:rsidRPr="004D0F20">
        <w:rPr>
          <w:rFonts w:ascii="Times New Roman" w:eastAsia="Times New Roman" w:hAnsi="Times New Roman" w:cs="Times New Roman"/>
          <w:b/>
          <w:sz w:val="28"/>
          <w:szCs w:val="28"/>
        </w:rPr>
        <w:t xml:space="preserve"> no Mercado de Trabalho: </w:t>
      </w:r>
      <w:r w:rsidRPr="00131B1D">
        <w:rPr>
          <w:rFonts w:ascii="Times New Roman" w:eastAsia="Times New Roman" w:hAnsi="Times New Roman" w:cs="Times New Roman"/>
          <w:b/>
          <w:sz w:val="28"/>
          <w:szCs w:val="28"/>
        </w:rPr>
        <w:t>Manual de Diretrizes Práticas.</w:t>
      </w:r>
    </w:p>
    <w:p w14:paraId="20371022" w14:textId="2E1F2120" w:rsidR="0003617F" w:rsidRDefault="0003617F" w:rsidP="0003617F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E25C27">
        <w:rPr>
          <w:rFonts w:ascii="Times New Roman" w:eastAsia="Times New Roman" w:hAnsi="Times New Roman" w:cs="Times New Roman"/>
          <w:i/>
          <w:sz w:val="28"/>
          <w:szCs w:val="28"/>
        </w:rPr>
        <w:t>Inclusion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5C27">
        <w:rPr>
          <w:rFonts w:ascii="Times New Roman" w:eastAsia="Times New Roman" w:hAnsi="Times New Roman" w:cs="Times New Roman"/>
          <w:i/>
          <w:sz w:val="28"/>
          <w:szCs w:val="28"/>
        </w:rPr>
        <w:t>Practices</w:t>
      </w:r>
      <w:proofErr w:type="spellEnd"/>
      <w:r w:rsidRPr="00E25C27">
        <w:rPr>
          <w:rFonts w:ascii="Times New Roman" w:eastAsia="Times New Roman" w:hAnsi="Times New Roman" w:cs="Times New Roman"/>
          <w:i/>
          <w:sz w:val="28"/>
          <w:szCs w:val="28"/>
        </w:rPr>
        <w:t xml:space="preserve"> for </w:t>
      </w:r>
      <w:proofErr w:type="spellStart"/>
      <w:r w:rsidRPr="00E25C27">
        <w:rPr>
          <w:rFonts w:ascii="Times New Roman" w:eastAsia="Times New Roman" w:hAnsi="Times New Roman" w:cs="Times New Roman"/>
          <w:i/>
          <w:sz w:val="28"/>
          <w:szCs w:val="28"/>
        </w:rPr>
        <w:t>Neurodivergent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5C27">
        <w:rPr>
          <w:rFonts w:ascii="Times New Roman" w:eastAsia="Times New Roman" w:hAnsi="Times New Roman" w:cs="Times New Roman"/>
          <w:i/>
          <w:sz w:val="28"/>
          <w:szCs w:val="28"/>
        </w:rPr>
        <w:t>Individuals</w:t>
      </w:r>
      <w:proofErr w:type="spellEnd"/>
      <w:r w:rsidRPr="00E25C27">
        <w:rPr>
          <w:rFonts w:ascii="Times New Roman" w:eastAsia="Times New Roman" w:hAnsi="Times New Roman" w:cs="Times New Roman"/>
          <w:i/>
          <w:sz w:val="28"/>
          <w:szCs w:val="28"/>
        </w:rPr>
        <w:t xml:space="preserve"> in </w:t>
      </w:r>
      <w:proofErr w:type="spellStart"/>
      <w:r w:rsidRPr="00E25C27"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proofErr w:type="spellEnd"/>
      <w:r w:rsidRPr="00E25C27">
        <w:rPr>
          <w:rFonts w:ascii="Times New Roman" w:eastAsia="Times New Roman" w:hAnsi="Times New Roman" w:cs="Times New Roman"/>
          <w:i/>
          <w:sz w:val="28"/>
          <w:szCs w:val="28"/>
        </w:rPr>
        <w:t xml:space="preserve"> Labor Market: A </w:t>
      </w:r>
      <w:proofErr w:type="spellStart"/>
      <w:r w:rsidRPr="00E25C27">
        <w:rPr>
          <w:rFonts w:ascii="Times New Roman" w:eastAsia="Times New Roman" w:hAnsi="Times New Roman" w:cs="Times New Roman"/>
          <w:i/>
          <w:sz w:val="28"/>
          <w:szCs w:val="28"/>
        </w:rPr>
        <w:t>Systematic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E25C27">
        <w:rPr>
          <w:rFonts w:ascii="Times New Roman" w:eastAsia="Times New Roman" w:hAnsi="Times New Roman" w:cs="Times New Roman"/>
          <w:i/>
          <w:sz w:val="28"/>
          <w:szCs w:val="28"/>
        </w:rPr>
        <w:t>Literature</w:t>
      </w:r>
      <w:proofErr w:type="spellEnd"/>
      <w:r w:rsidRPr="00E25C27">
        <w:rPr>
          <w:rFonts w:ascii="Times New Roman" w:eastAsia="Times New Roman" w:hAnsi="Times New Roman" w:cs="Times New Roman"/>
          <w:i/>
          <w:sz w:val="28"/>
          <w:szCs w:val="28"/>
        </w:rPr>
        <w:t xml:space="preserve"> Review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14:paraId="170E1265" w14:textId="77777777" w:rsidR="00D8471E" w:rsidRDefault="00D8471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F33923" w14:textId="43F89BEF" w:rsidR="00D8471E" w:rsidRPr="006F452E" w:rsidRDefault="00175D35" w:rsidP="006F452E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Fabiana Paula Moreira do Carmo Furtado</w:t>
      </w:r>
    </w:p>
    <w:p w14:paraId="21E450E1" w14:textId="6CCAD30E" w:rsidR="006F452E" w:rsidRDefault="00175D35" w:rsidP="006F452E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Doutoranda</w:t>
      </w:r>
      <w:r w:rsidR="006F452E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Universidade FUMEC</w:t>
      </w:r>
      <w:r w:rsidR="006F452E">
        <w:rPr>
          <w:rFonts w:ascii="Times New Roman" w:eastAsia="Times New Roman" w:hAnsi="Times New Roman" w:cs="Times New Roman"/>
        </w:rPr>
        <w:t xml:space="preserve"> – </w:t>
      </w:r>
      <w:r>
        <w:rPr>
          <w:rFonts w:ascii="Times New Roman" w:eastAsia="Times New Roman" w:hAnsi="Times New Roman" w:cs="Times New Roman"/>
        </w:rPr>
        <w:t>Brasil</w:t>
      </w:r>
      <w:r w:rsidR="006F452E">
        <w:rPr>
          <w:rFonts w:ascii="Times New Roman" w:eastAsia="Times New Roman" w:hAnsi="Times New Roman" w:cs="Times New Roman"/>
        </w:rPr>
        <w:t xml:space="preserve">. </w:t>
      </w:r>
    </w:p>
    <w:p w14:paraId="5D195253" w14:textId="5A9147A1" w:rsidR="006F452E" w:rsidRDefault="00175D35" w:rsidP="006F452E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fabianapaulafurtado@gmailcom</w:t>
      </w:r>
      <w:proofErr w:type="spellEnd"/>
    </w:p>
    <w:p w14:paraId="7A918F54" w14:textId="77777777" w:rsidR="00DB2754" w:rsidRPr="006F452E" w:rsidRDefault="00DB2754" w:rsidP="00DB2754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EC63F0">
        <w:rPr>
          <w:rFonts w:ascii="Times New Roman" w:eastAsia="Times New Roman" w:hAnsi="Times New Roman" w:cs="Times New Roman"/>
          <w:b/>
          <w:bCs/>
        </w:rPr>
        <w:t>Jurema Suely de Araújo Nery Ribeiro</w:t>
      </w:r>
    </w:p>
    <w:p w14:paraId="1BF3C338" w14:textId="203DDB78" w:rsidR="00175D35" w:rsidRDefault="00DB2754" w:rsidP="00175D3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Doutorado. Universidade FUMEC (FUMEC) – Brasil. </w:t>
      </w:r>
      <w:r w:rsidR="00175D35">
        <w:rPr>
          <w:rFonts w:ascii="Times New Roman" w:eastAsia="Times New Roman" w:hAnsi="Times New Roman" w:cs="Times New Roman"/>
        </w:rPr>
        <w:t xml:space="preserve"> </w:t>
      </w:r>
    </w:p>
    <w:p w14:paraId="3A29856F" w14:textId="122BFCC8" w:rsidR="00175D35" w:rsidRDefault="00175D35" w:rsidP="00175D35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proofErr w:type="spellStart"/>
      <w:r w:rsidRPr="00175D35">
        <w:rPr>
          <w:rFonts w:ascii="Times New Roman" w:eastAsia="Times New Roman" w:hAnsi="Times New Roman" w:cs="Times New Roman"/>
        </w:rPr>
        <w:t>jurema.nery</w:t>
      </w:r>
      <w:proofErr w:type="spellEnd"/>
      <w:r w:rsidRPr="00175D35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@gmailcom</w:t>
      </w:r>
      <w:r w:rsidRPr="006F452E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43CA818" w14:textId="77777777" w:rsidR="00175D35" w:rsidRDefault="00175D35" w:rsidP="006F452E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175D35">
        <w:rPr>
          <w:rFonts w:ascii="Times New Roman" w:eastAsia="Times New Roman" w:hAnsi="Times New Roman" w:cs="Times New Roman"/>
          <w:b/>
          <w:bCs/>
        </w:rPr>
        <w:t xml:space="preserve">Ana Cristina Marques de Carvalho </w:t>
      </w:r>
    </w:p>
    <w:p w14:paraId="0155E6C5" w14:textId="77777777" w:rsidR="00175D35" w:rsidRDefault="00175D35" w:rsidP="00175D3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Doutoranda. Universidade FUMEC – Brasil. </w:t>
      </w:r>
    </w:p>
    <w:p w14:paraId="126F1B2A" w14:textId="580FB617" w:rsidR="006F452E" w:rsidRDefault="00175D35" w:rsidP="00175D35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5D35">
        <w:rPr>
          <w:rFonts w:ascii="Times New Roman" w:eastAsia="Times New Roman" w:hAnsi="Times New Roman" w:cs="Times New Roman"/>
        </w:rPr>
        <w:t>anapromove@gmail.com</w:t>
      </w:r>
    </w:p>
    <w:p w14:paraId="5F51BC81" w14:textId="77777777" w:rsidR="00175D35" w:rsidRDefault="00175D35" w:rsidP="006F452E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175D35">
        <w:rPr>
          <w:rFonts w:ascii="Times New Roman" w:eastAsia="Times New Roman" w:hAnsi="Times New Roman" w:cs="Times New Roman"/>
          <w:b/>
          <w:bCs/>
        </w:rPr>
        <w:t xml:space="preserve">Christian Luís dos Santos Pinheiro </w:t>
      </w:r>
    </w:p>
    <w:p w14:paraId="2AFDA99D" w14:textId="0EEDA48E" w:rsidR="00175D35" w:rsidRDefault="00175D35" w:rsidP="00175D3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Mestrando. Universidade FUMEC – Brasil. </w:t>
      </w:r>
    </w:p>
    <w:p w14:paraId="0BC10E51" w14:textId="77777777" w:rsidR="00175D35" w:rsidRDefault="00175D35" w:rsidP="00175D35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proofErr w:type="spellStart"/>
      <w:r w:rsidRPr="00175D35">
        <w:rPr>
          <w:rFonts w:ascii="Times New Roman" w:eastAsia="Times New Roman" w:hAnsi="Times New Roman" w:cs="Times New Roman"/>
        </w:rPr>
        <w:t>anapromove@gmail</w:t>
      </w:r>
      <w:proofErr w:type="spellEnd"/>
      <w:r w:rsidRPr="006F452E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76711135" w14:textId="77777777" w:rsidR="00175D35" w:rsidRDefault="00175D35" w:rsidP="006F452E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proofErr w:type="spellStart"/>
      <w:r w:rsidRPr="00175D35">
        <w:rPr>
          <w:rFonts w:ascii="Times New Roman" w:eastAsia="Times New Roman" w:hAnsi="Times New Roman" w:cs="Times New Roman"/>
          <w:b/>
          <w:bCs/>
        </w:rPr>
        <w:t>Aleida</w:t>
      </w:r>
      <w:proofErr w:type="spellEnd"/>
      <w:r w:rsidRPr="00175D35">
        <w:rPr>
          <w:rFonts w:ascii="Times New Roman" w:eastAsia="Times New Roman" w:hAnsi="Times New Roman" w:cs="Times New Roman"/>
          <w:b/>
          <w:bCs/>
        </w:rPr>
        <w:t xml:space="preserve"> Nazareth Soares </w:t>
      </w:r>
    </w:p>
    <w:p w14:paraId="7E577F02" w14:textId="77777777" w:rsidR="00175D35" w:rsidRDefault="00175D35" w:rsidP="00175D3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Doutora. Universidade FUMEC – Brasil. </w:t>
      </w:r>
    </w:p>
    <w:p w14:paraId="538FCD9D" w14:textId="59872EB3" w:rsidR="0003617F" w:rsidRDefault="00AB7504" w:rsidP="00175D35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 w:rsidRPr="00AB7504">
        <w:rPr>
          <w:rFonts w:ascii="Times New Roman" w:eastAsia="Times New Roman" w:hAnsi="Times New Roman" w:cs="Times New Roman"/>
        </w:rPr>
        <w:t xml:space="preserve">aleida.soares@fumec.br </w:t>
      </w:r>
    </w:p>
    <w:p w14:paraId="162FB795" w14:textId="77777777" w:rsidR="0003617F" w:rsidRDefault="0003617F" w:rsidP="0003617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RESUMO</w:t>
      </w:r>
    </w:p>
    <w:p w14:paraId="3FA28B12" w14:textId="77777777" w:rsidR="0003617F" w:rsidRPr="009614AC" w:rsidRDefault="0003617F" w:rsidP="0003617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Este estudo teve como objetivo identificar modelos e estratégias eficazes para a inclusão de profissionais </w:t>
      </w:r>
      <w:proofErr w:type="spellStart"/>
      <w:r w:rsidRPr="009614AC">
        <w:rPr>
          <w:rFonts w:ascii="Times New Roman" w:eastAsia="Times New Roman" w:hAnsi="Times New Roman" w:cs="Times New Roman"/>
          <w:sz w:val="24"/>
          <w:szCs w:val="24"/>
        </w:rPr>
        <w:t>neurodivergentes</w:t>
      </w:r>
      <w:proofErr w:type="spellEnd"/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 em contextos organizacionais. Sua originalidade reside na sistematização inédita de evidências dispersas entre os campos da psicologia, administração e saúde, proporcionando uma compreensão integrada do tema. A metodologia consistiu em uma Revisão Sistemática da Literatura, com análise de publicações indexadas nas bases </w:t>
      </w:r>
      <w:r w:rsidRPr="009614AC">
        <w:rPr>
          <w:rFonts w:ascii="Times New Roman" w:eastAsia="Times New Roman" w:hAnsi="Times New Roman" w:cs="Times New Roman"/>
          <w:i/>
          <w:sz w:val="24"/>
          <w:szCs w:val="24"/>
        </w:rPr>
        <w:t>Scopus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614AC">
        <w:rPr>
          <w:rFonts w:ascii="Times New Roman" w:eastAsia="Times New Roman" w:hAnsi="Times New Roman" w:cs="Times New Roman"/>
          <w:i/>
          <w:sz w:val="24"/>
          <w:szCs w:val="24"/>
        </w:rPr>
        <w:t xml:space="preserve">Web </w:t>
      </w:r>
      <w:proofErr w:type="spellStart"/>
      <w:r w:rsidRPr="009614AC"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proofErr w:type="spellEnd"/>
      <w:r w:rsidRPr="009614AC">
        <w:rPr>
          <w:rFonts w:ascii="Times New Roman" w:eastAsia="Times New Roman" w:hAnsi="Times New Roman" w:cs="Times New Roman"/>
          <w:i/>
          <w:sz w:val="24"/>
          <w:szCs w:val="24"/>
        </w:rPr>
        <w:t xml:space="preserve"> Science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614AC">
        <w:rPr>
          <w:rFonts w:ascii="Times New Roman" w:eastAsia="Times New Roman" w:hAnsi="Times New Roman" w:cs="Times New Roman"/>
          <w:i/>
          <w:sz w:val="24"/>
          <w:szCs w:val="24"/>
        </w:rPr>
        <w:t>PubMed</w:t>
      </w:r>
      <w:proofErr w:type="spellEnd"/>
      <w:r w:rsidRPr="009614AC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no período de 2015 a 2025, por meio da técnica de Análise de Conteúdo. Os principais achados foram organizados em cinco categorias: Políticas, Abordagens Centradas na Força, Acomodações e Adaptações, Treinamento e Educação, e Mentoria e </w:t>
      </w:r>
      <w:r w:rsidRPr="009614AC">
        <w:rPr>
          <w:rFonts w:ascii="Times New Roman" w:eastAsia="Times New Roman" w:hAnsi="Times New Roman" w:cs="Times New Roman"/>
          <w:i/>
          <w:sz w:val="24"/>
          <w:szCs w:val="24"/>
        </w:rPr>
        <w:t>Coaching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. As implicações práticas do estudo incluem diretrizes aplicáveis à gestão, visando ambientes mais inclusivos e adaptados à diversidade </w:t>
      </w:r>
      <w:proofErr w:type="spellStart"/>
      <w:r w:rsidRPr="009614AC">
        <w:rPr>
          <w:rFonts w:ascii="Times New Roman" w:eastAsia="Times New Roman" w:hAnsi="Times New Roman" w:cs="Times New Roman"/>
          <w:sz w:val="24"/>
          <w:szCs w:val="24"/>
        </w:rPr>
        <w:t>neurocognitiva</w:t>
      </w:r>
      <w:proofErr w:type="spellEnd"/>
      <w:r w:rsidRPr="009614A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BE175E" w14:textId="77777777" w:rsidR="0003617F" w:rsidRDefault="0003617F" w:rsidP="0003617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934537" w14:textId="77777777" w:rsidR="0003617F" w:rsidRDefault="0003617F" w:rsidP="0003617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PALAVRAS-CHAVE: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Neurodivergêcia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Mercado de Trabalho, Inclusão, Práticas, Gestão do Conhecimento.</w:t>
      </w:r>
    </w:p>
    <w:p w14:paraId="68D3478A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C5D04" w14:textId="77777777" w:rsidR="0003617F" w:rsidRDefault="0003617F" w:rsidP="0003617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ABSTRACT </w:t>
      </w:r>
    </w:p>
    <w:p w14:paraId="34391ACD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Style w:val="Forte"/>
          <w:rFonts w:ascii="Segoe UI" w:hAnsi="Segoe UI" w:cs="Segoe UI"/>
          <w:b w:val="0"/>
          <w:bCs w:val="0"/>
          <w:shd w:val="clear" w:color="auto" w:fill="FFFFFF"/>
        </w:rPr>
      </w:pP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This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study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aimed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to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identify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effective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models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and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strategies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for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the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inclusion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of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neurodivergent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professionals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in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organizational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settings. Its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originality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lies in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the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unprecedented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systematization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of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evidence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scattered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across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psychology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, management,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and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health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fields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providing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an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integrated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understanding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of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the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topic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. The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methodology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consisted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of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a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Systematic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Literature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Review,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analyzing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publications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indexed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in Scopus, Web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of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Science,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and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PubMed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databases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from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2015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to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2025,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using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Content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Analysis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techniques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. Key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findings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were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organized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into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five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categories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: Policies,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Strengths-Based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Approaches,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Accommodations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and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Adaptations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, Training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and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Education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and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Mentoring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and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Coaching. The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practical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implications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of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the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study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lastRenderedPageBreak/>
        <w:t xml:space="preserve">include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actionable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management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guidelines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to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foster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more inclusive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environments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adapted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to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neurocognitive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diversity</w:t>
      </w:r>
      <w:proofErr w:type="spellEnd"/>
      <w:r w:rsidRPr="0003617F">
        <w:rPr>
          <w:rStyle w:val="Forte"/>
          <w:rFonts w:ascii="Segoe UI" w:hAnsi="Segoe UI" w:cs="Segoe UI"/>
          <w:b w:val="0"/>
          <w:bCs w:val="0"/>
          <w:shd w:val="clear" w:color="auto" w:fill="FFFFFF"/>
        </w:rPr>
        <w:t>.</w:t>
      </w:r>
    </w:p>
    <w:p w14:paraId="0DC5F4BB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4A5DA1" w14:textId="77777777" w:rsidR="0003617F" w:rsidRDefault="0003617F" w:rsidP="0003617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KEYWORDS: </w:t>
      </w:r>
      <w:proofErr w:type="spellStart"/>
      <w:r>
        <w:rPr>
          <w:rFonts w:ascii="Times New Roman" w:eastAsia="Times New Roman" w:hAnsi="Times New Roman" w:cs="Times New Roman"/>
          <w:i/>
        </w:rPr>
        <w:t>N</w:t>
      </w:r>
      <w:r w:rsidRPr="00AB469A">
        <w:rPr>
          <w:rFonts w:ascii="Times New Roman" w:eastAsia="Times New Roman" w:hAnsi="Times New Roman" w:cs="Times New Roman"/>
          <w:i/>
        </w:rPr>
        <w:t>eurodivergence</w:t>
      </w:r>
      <w:proofErr w:type="spellEnd"/>
      <w:r w:rsidRPr="00AB469A">
        <w:rPr>
          <w:rFonts w:ascii="Times New Roman" w:eastAsia="Times New Roman" w:hAnsi="Times New Roman" w:cs="Times New Roman"/>
          <w:i/>
        </w:rPr>
        <w:t xml:space="preserve">, </w:t>
      </w:r>
      <w:r>
        <w:rPr>
          <w:rFonts w:ascii="Times New Roman" w:eastAsia="Times New Roman" w:hAnsi="Times New Roman" w:cs="Times New Roman"/>
          <w:i/>
        </w:rPr>
        <w:t>L</w:t>
      </w:r>
      <w:r w:rsidRPr="00AB469A">
        <w:rPr>
          <w:rFonts w:ascii="Times New Roman" w:eastAsia="Times New Roman" w:hAnsi="Times New Roman" w:cs="Times New Roman"/>
          <w:i/>
        </w:rPr>
        <w:t xml:space="preserve">abor </w:t>
      </w:r>
      <w:proofErr w:type="spellStart"/>
      <w:r w:rsidRPr="00AB469A">
        <w:rPr>
          <w:rFonts w:ascii="Times New Roman" w:eastAsia="Times New Roman" w:hAnsi="Times New Roman" w:cs="Times New Roman"/>
          <w:i/>
        </w:rPr>
        <w:t>market</w:t>
      </w:r>
      <w:proofErr w:type="spellEnd"/>
      <w:r w:rsidRPr="00AB469A"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I</w:t>
      </w:r>
      <w:r w:rsidRPr="00AB469A">
        <w:rPr>
          <w:rFonts w:ascii="Times New Roman" w:eastAsia="Times New Roman" w:hAnsi="Times New Roman" w:cs="Times New Roman"/>
          <w:i/>
        </w:rPr>
        <w:t>nclusion</w:t>
      </w:r>
      <w:proofErr w:type="spellEnd"/>
      <w:r w:rsidRPr="00AB469A"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</w:rPr>
        <w:t>P</w:t>
      </w:r>
      <w:r w:rsidRPr="00AB469A">
        <w:rPr>
          <w:rFonts w:ascii="Times New Roman" w:eastAsia="Times New Roman" w:hAnsi="Times New Roman" w:cs="Times New Roman"/>
          <w:i/>
        </w:rPr>
        <w:t>ractices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, </w:t>
      </w:r>
      <w:proofErr w:type="spellStart"/>
      <w:r w:rsidRPr="009614AC">
        <w:rPr>
          <w:rFonts w:ascii="Times New Roman" w:eastAsia="Times New Roman" w:hAnsi="Times New Roman" w:cs="Times New Roman"/>
          <w:i/>
        </w:rPr>
        <w:t>Knowledge</w:t>
      </w:r>
      <w:proofErr w:type="spellEnd"/>
    </w:p>
    <w:p w14:paraId="05F6F66F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8A70F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854810">
        <w:rPr>
          <w:rFonts w:ascii="Times New Roman" w:eastAsia="Times New Roman" w:hAnsi="Times New Roman" w:cs="Times New Roman"/>
          <w:b/>
          <w:sz w:val="28"/>
          <w:szCs w:val="28"/>
        </w:rPr>
        <w:t>INTRODUÇÃO</w:t>
      </w:r>
    </w:p>
    <w:p w14:paraId="0AA107DC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inclusão de profissionais </w:t>
      </w:r>
      <w:proofErr w:type="spellStart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neurodivergentes</w:t>
      </w:r>
      <w:proofErr w:type="spellEnd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no mercado de trabalho alinha-se diretamente aos princípios da Gestão do Conhecimento (GC)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 Essa relação decorre de como a diversidade </w:t>
      </w:r>
      <w:proofErr w:type="spellStart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neurocognitiva</w:t>
      </w:r>
      <w:proofErr w:type="spellEnd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reconfigura a percepção, o processamento, o compartilhamento e a aplicação do conhecimento.</w:t>
      </w:r>
    </w:p>
    <w:p w14:paraId="5EB745E8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6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Neurodivergências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como Transtorno do Déficit de Atenção e Hiperatividade (TDAH), Transtorno do Espectro Autista (TEA) e dislexia representam uma parcela significativa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 da população economicamente ativa.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Estima-se que perfis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neurodivergentes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alcancem até 20% da população geral</w:t>
      </w:r>
      <w:r w:rsidRPr="0003617F">
        <w:rPr>
          <w:rFonts w:ascii="Segoe UI" w:hAnsi="Segoe UI" w:cs="Segoe UI"/>
          <w:shd w:val="clear" w:color="auto" w:fill="FFFFFF"/>
        </w:rPr>
        <w:t> 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(Taylor; Miller; Davies, 2024).</w:t>
      </w:r>
    </w:p>
    <w:p w14:paraId="3801BDF5" w14:textId="77777777" w:rsidR="0003617F" w:rsidRPr="0003617F" w:rsidRDefault="0003617F" w:rsidP="0003617F">
      <w:pPr>
        <w:pStyle w:val="ds-markdown-paragraph"/>
        <w:shd w:val="clear" w:color="auto" w:fill="FFFFFF"/>
        <w:spacing w:before="0" w:beforeAutospacing="0" w:after="0" w:afterAutospacing="0" w:line="360" w:lineRule="auto"/>
        <w:ind w:firstLine="465"/>
        <w:jc w:val="both"/>
      </w:pPr>
      <w:r w:rsidRPr="0003617F">
        <w:t>Profissionais com </w:t>
      </w:r>
      <w:r w:rsidRPr="0003617F">
        <w:rPr>
          <w:rStyle w:val="Forte"/>
          <w:b w:val="0"/>
          <w:bCs w:val="0"/>
        </w:rPr>
        <w:t>TDAH, TEA e dislexia oferecem contribuições cognitivas únicas que, quando reconhecidas e integradas, impulsionam abordagens criativas para resolução de problemas, análise crítica e inovação</w:t>
      </w:r>
      <w:r w:rsidRPr="0003617F">
        <w:t> incremental ou disruptiva (</w:t>
      </w:r>
      <w:proofErr w:type="spellStart"/>
      <w:r w:rsidRPr="0003617F">
        <w:t>LeFevre</w:t>
      </w:r>
      <w:proofErr w:type="spellEnd"/>
      <w:r w:rsidRPr="0003617F">
        <w:t xml:space="preserve">-Levy </w:t>
      </w:r>
      <w:r w:rsidRPr="0003617F">
        <w:rPr>
          <w:i/>
        </w:rPr>
        <w:t>et al.,</w:t>
      </w:r>
      <w:r w:rsidRPr="0003617F">
        <w:t xml:space="preserve"> 2023).</w:t>
      </w:r>
    </w:p>
    <w:p w14:paraId="35E13054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Fonts w:ascii="Times New Roman" w:eastAsia="Times New Roman" w:hAnsi="Times New Roman" w:cs="Times New Roman"/>
          <w:sz w:val="24"/>
          <w:szCs w:val="24"/>
        </w:rPr>
        <w:t>Apesar dos avanços no debate,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 exclusão laboral persiste: d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t xml:space="preserve">ados do IBGE (2022) indicam que cerca de 85% dos brasileiros diagnosticados com TEA encontram-se fora do mercado formal de trabalho. Conforme 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Blackburn (2023),</w:t>
      </w:r>
      <w:r w:rsidRPr="0003617F">
        <w:rPr>
          <w:rStyle w:val="Forte"/>
          <w:rFonts w:ascii="Segoe UI" w:hAnsi="Segoe UI" w:cs="Segoe UI"/>
          <w:b w:val="0"/>
          <w:bCs w:val="0"/>
          <w:shd w:val="clear" w:color="auto" w:fill="FFFFFF"/>
        </w:rPr>
        <w:t xml:space="preserve"> 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e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t>ssa marginalização raramente decorre de supostas limitações individuais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, mas sim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t xml:space="preserve"> de processos seletivos e estruturas organizacionais ancorados em padrões </w:t>
      </w:r>
      <w:proofErr w:type="spellStart"/>
      <w:r w:rsidRPr="0003617F">
        <w:rPr>
          <w:rFonts w:ascii="Times New Roman" w:eastAsia="Times New Roman" w:hAnsi="Times New Roman" w:cs="Times New Roman"/>
          <w:sz w:val="24"/>
          <w:szCs w:val="24"/>
        </w:rPr>
        <w:t>neurotípicos</w:t>
      </w:r>
      <w:proofErr w:type="spellEnd"/>
      <w:r w:rsidRPr="0003617F">
        <w:rPr>
          <w:rFonts w:ascii="Times New Roman" w:eastAsia="Times New Roman" w:hAnsi="Times New Roman" w:cs="Times New Roman"/>
          <w:sz w:val="24"/>
          <w:szCs w:val="24"/>
        </w:rPr>
        <w:t xml:space="preserve"> que ignoram a diversidade cognitiva.</w:t>
      </w:r>
    </w:p>
    <w:p w14:paraId="1B07D591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Além de uma demanda por equidade, a inclusão de profissionais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neurodivergentes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pode ampliar o repertório cognitivo organizacional, estimulando a inovação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proofErr w:type="spellStart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LeFevre</w:t>
      </w:r>
      <w:proofErr w:type="spellEnd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-Levy </w:t>
      </w:r>
      <w:r w:rsidRPr="000361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et al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., 2023).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Organizações que institucionalizam a neurodiversidade em suas políticas demonstram maior adaptabilidade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 a contextos complexos (Blackburn, 2023).</w:t>
      </w:r>
    </w:p>
    <w:p w14:paraId="1698E75B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Entretanto,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como alertam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LeFevre</w:t>
      </w:r>
      <w:proofErr w:type="spellEnd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-Levy </w:t>
      </w:r>
      <w:r w:rsidRPr="000361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et al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(2023), a produção científica sobre inclusão </w:t>
      </w:r>
      <w:proofErr w:type="spellStart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neurodivergente</w:t>
      </w:r>
      <w:proofErr w:type="spellEnd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está 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fragmentada 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entre os campos da psicologia, saúde e administração,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gerando uma lacuna crítica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: a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dificuldade de construir abordagens integradas que fundamentem práticas organizacionais baseadas em evidências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02F05312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Assim, a GC transcende sua função tradicional de reter e disseminar conhecimento (tácito e explícito), transformando-se em estratégia para converter pluralidade cognitiva em vantagem competitiva.</w:t>
      </w:r>
    </w:p>
    <w:p w14:paraId="58AF982E" w14:textId="77777777" w:rsidR="0003617F" w:rsidRPr="009614AC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Diante disso, este estudo busca responder a seguinte questão: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quais práticas a literatura científica propõe para apoiar a inclusão de profissionais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neurodivergentes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em ambientes organizacionais?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 Para isso,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realizou-se uma Revisão Sistemática da Literatura (RSL)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 nas bases 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Scopus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,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Web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of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Science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PubMed</w:t>
      </w:r>
      <w:proofErr w:type="spellEnd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cujos resultados fundamentarão um manual de diretrizes para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neuroinclusão</w:t>
      </w:r>
      <w:proofErr w:type="spellEnd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nas organizações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36DF0DB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BDF1BB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REFERENCIAL TEÓRICO</w:t>
      </w:r>
    </w:p>
    <w:p w14:paraId="10EF4331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Conforme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proofErr w:type="spellStart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Khalique</w:t>
      </w:r>
      <w:proofErr w:type="spellEnd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361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et al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. (2024), 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neurodivergência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refere-se a variações naturais no funcionamento neurológico humano, englobando condições como TEA, TDAH e perfis sensoriais atípicos. Essa abordagem reconhece tais diferenças como formas legítimas de cognição, rejeitando visões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patologizantes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.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Cottingham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Spear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(2024) complementam essa perspectiva ao evidenciar que a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neurodivergência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estrutura modos singulares de pensamento, ação e percepção do mundo.</w:t>
      </w:r>
    </w:p>
    <w:p w14:paraId="45F16161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Legault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et al.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(2021) estabelecem uma distinção crucial: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neurodivergência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designa indivíduos cujos 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t>perfis cognitivos divergem de uma norma socialmente construída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, já neurodiversidade é um conceito 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t>inclusivo que reconhece todas as formas de funcionamento cognitivo.</w:t>
      </w:r>
    </w:p>
    <w:p w14:paraId="58319104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Para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Mangina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(2022), a neurodiversidade integra a biodiversidade humana, exigindo sociedades focadas em aceitação e pertencimento, não em conformação forçada a padrões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neurotípicos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. </w:t>
      </w:r>
      <w:proofErr w:type="spellStart"/>
      <w:r w:rsidRPr="0003617F">
        <w:rPr>
          <w:rFonts w:ascii="Times New Roman" w:eastAsia="Times New Roman" w:hAnsi="Times New Roman" w:cs="Times New Roman"/>
          <w:sz w:val="24"/>
          <w:szCs w:val="24"/>
        </w:rPr>
        <w:t>Khalique</w:t>
      </w:r>
      <w:proofErr w:type="spellEnd"/>
      <w:r w:rsidRPr="0003617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3617F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t>. (2024) sustentam que ambientes organizacionais inclusivos potencializam a inovação e o desempenho ao acolher a diversidade neurológica.</w:t>
      </w:r>
    </w:p>
    <w:p w14:paraId="00952AF0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Compete às organizações desenvolver políticas de gestão de pessoas que reconheçam diferenças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neurocognitivas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, criando ambientes inclusivos e propícios ao desenvolvimento profissional de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neurodivergentes</w:t>
      </w:r>
      <w:proofErr w:type="spellEnd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(Sinha; Sinha, 2024). 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t>Como ferramenta para auxiliar nesse desenvolvimento, a Gestão do Conhecimento Pessoal (GCP) é reconhecida por Hoffmann (2023). Segundo o autor, a GCP compreende os processos metodológicos pelos quais os indivíduos: (a) coletam, (b) classificam, (c) armazenam, (d) pesquisam e (e) recuperam conhecimento em suas atividades cotidianas, constituindo assim um ciclo contínuo de aprendizagem e desenvolvimento profissional.</w:t>
      </w:r>
    </w:p>
    <w:p w14:paraId="759CDC8D" w14:textId="77777777" w:rsidR="0003617F" w:rsidRPr="00B249DE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literatura sobre inclusão laboral revela conexões implícitas com a gestão do conhecimento através de três dimensões: (a) Sistemas de Informação Estruturados - protocolos de comunicação e sistemas de documentação claros e consistentes que reduzem ambiguidade e apoiam o funcionamento executivo (Coplan </w:t>
      </w:r>
      <w:r w:rsidRPr="0003617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et al.,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2021); (b) Redes de Partilha de 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Conhecimento - comunidades de prática e sistemas de apoio</w:t>
      </w:r>
      <w:r w:rsidRPr="00B249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entre pares que facilitam a transferência de conhecimento e que combatem o isolamento (</w:t>
      </w:r>
      <w:proofErr w:type="spellStart"/>
      <w:r w:rsidRPr="00B249DE">
        <w:rPr>
          <w:rFonts w:ascii="Times New Roman" w:hAnsi="Times New Roman" w:cs="Times New Roman"/>
          <w:sz w:val="24"/>
          <w:szCs w:val="24"/>
          <w:shd w:val="clear" w:color="auto" w:fill="FFFFFF"/>
        </w:rPr>
        <w:t>Nishith</w:t>
      </w:r>
      <w:proofErr w:type="spellEnd"/>
      <w:r w:rsidRPr="00B249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249D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et al.,</w:t>
      </w:r>
      <w:r w:rsidRPr="00B249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2024; Lima </w:t>
      </w:r>
      <w:r w:rsidRPr="00B249D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et al.,</w:t>
      </w:r>
      <w:r w:rsidRPr="00B249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2024</w:t>
      </w:r>
      <w:r w:rsidRPr="00B249DE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); </w:t>
      </w:r>
      <w:r w:rsidRPr="00B249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 (c) Plataformas de Aprendizagem Adaptáveis - sistemas flexíveis de treinamento e desenvolvimento que </w:t>
      </w:r>
      <w:r w:rsidRPr="00B249DE">
        <w:rPr>
          <w:rFonts w:ascii="Times New Roman" w:eastAsia="Times New Roman" w:hAnsi="Times New Roman" w:cs="Times New Roman"/>
          <w:sz w:val="24"/>
          <w:szCs w:val="24"/>
        </w:rPr>
        <w:t xml:space="preserve">acomodam diferentes estilos de aprendizagem e velocidades de processamento (Hall </w:t>
      </w:r>
      <w:r w:rsidRPr="00B249DE">
        <w:rPr>
          <w:rFonts w:ascii="Times New Roman" w:eastAsia="Times New Roman" w:hAnsi="Times New Roman" w:cs="Times New Roman"/>
          <w:i/>
          <w:sz w:val="24"/>
          <w:szCs w:val="24"/>
        </w:rPr>
        <w:t xml:space="preserve">et al, </w:t>
      </w:r>
      <w:r w:rsidRPr="00B249DE">
        <w:rPr>
          <w:rFonts w:ascii="Times New Roman" w:eastAsia="Times New Roman" w:hAnsi="Times New Roman" w:cs="Times New Roman"/>
          <w:sz w:val="24"/>
          <w:szCs w:val="24"/>
        </w:rPr>
        <w:t>2024).</w:t>
      </w:r>
    </w:p>
    <w:p w14:paraId="1DC6033D" w14:textId="77777777" w:rsidR="0003617F" w:rsidRPr="009614AC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intersecção entre gestão do conhecimento e inclusão revela um potencial transformador para a qualidade de vida de indivíduos </w:t>
      </w:r>
      <w:proofErr w:type="spellStart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neurodivergentes</w:t>
      </w:r>
      <w:proofErr w:type="spellEnd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em múltiplas dimensões. Como destaca Hoffmann (2023), essa convergência teórico-prática permite a elaboração de diretrizes robustas para o desenvolvimento de ferramentas e serviços genuinamente inclusivos, capazes de acolher a complexidade inerente às diferentes manifestações da </w:t>
      </w:r>
      <w:proofErr w:type="spellStart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neurodivergência</w:t>
      </w:r>
      <w:proofErr w:type="spellEnd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5076FD79" w14:textId="77777777" w:rsidR="0003617F" w:rsidRPr="00F91ED9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6DB47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METODOLOGIA</w:t>
      </w:r>
    </w:p>
    <w:p w14:paraId="56772834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3554">
        <w:rPr>
          <w:rFonts w:ascii="Times New Roman" w:eastAsia="Times New Roman" w:hAnsi="Times New Roman" w:cs="Times New Roman"/>
          <w:sz w:val="24"/>
          <w:szCs w:val="24"/>
        </w:rPr>
        <w:t xml:space="preserve">Esta investigação 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caracteriza-se como exploratória e descritiva. Adota-se a definição de </w:t>
      </w:r>
      <w:proofErr w:type="spellStart"/>
      <w:r w:rsidRPr="009614AC">
        <w:rPr>
          <w:rFonts w:ascii="Times New Roman" w:eastAsia="Times New Roman" w:hAnsi="Times New Roman" w:cs="Times New Roman"/>
          <w:sz w:val="24"/>
          <w:szCs w:val="24"/>
        </w:rPr>
        <w:t>Triviños</w:t>
      </w:r>
      <w:proofErr w:type="spellEnd"/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 (1987), segundo a qual estudos exploratórios ampliam a compreensão de fenômenos pouco sistematizados. A análise qualitativa favorece a interpretação profunda dos 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t>dados conforme Mascarenhas (2012).</w:t>
      </w:r>
    </w:p>
    <w:p w14:paraId="344E4502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A coleta de dados ocorreu mediante Revisão Sistemática da Literatura (RSL), conforme protocolos de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Petticrew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e Roberts (2006). Para análise, adotou-se a Análise de Conteúdo (Bardin, 1977), técnica que viabiliza a categorização temática dos achados.</w:t>
      </w:r>
    </w:p>
    <w:p w14:paraId="39BA29B4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O protocolo metodológico baseou-se nas etapas de Souza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et al.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(2022), abrangendo desde a formulação da questão de pesquisa até a síntese dos resultados. Utilizaram-se as bases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Scopus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,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Web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of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Science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PubMed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. A construção dos descritores seguiu o checklist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PRESS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(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McGowan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et al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., 2016), conforme detalhado no Quadro 1.</w:t>
      </w:r>
    </w:p>
    <w:p w14:paraId="1EC1C450" w14:textId="77777777" w:rsidR="0003617F" w:rsidRPr="00DD4C82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rFonts w:ascii="Times New Roman" w:hAnsi="Times New Roman" w:cs="Times New Roman"/>
          <w:bCs/>
          <w:sz w:val="20"/>
        </w:rPr>
      </w:pPr>
      <w:r w:rsidRPr="00DD4C82">
        <w:rPr>
          <w:rFonts w:ascii="Times New Roman" w:hAnsi="Times New Roman" w:cs="Times New Roman"/>
          <w:bCs/>
          <w:sz w:val="20"/>
        </w:rPr>
        <w:t>Quadro 1. Protocolo de Revisão Sistemática de Literatura</w:t>
      </w:r>
    </w:p>
    <w:tbl>
      <w:tblPr>
        <w:tblStyle w:val="Tabelacomgrade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8144"/>
      </w:tblGrid>
      <w:tr w:rsidR="0003617F" w:rsidRPr="0021434E" w14:paraId="7B98A18D" w14:textId="77777777" w:rsidTr="004B322D">
        <w:trPr>
          <w:tblHeader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0A94E451" w14:textId="77777777" w:rsidR="0003617F" w:rsidRPr="0083173A" w:rsidRDefault="0003617F" w:rsidP="004B322D">
            <w:pPr>
              <w:ind w:right="-309"/>
              <w:jc w:val="center"/>
              <w:rPr>
                <w:b/>
              </w:rPr>
            </w:pPr>
            <w:r w:rsidRPr="0083173A">
              <w:rPr>
                <w:b/>
              </w:rPr>
              <w:t>Protocolo  </w:t>
            </w:r>
          </w:p>
        </w:tc>
        <w:tc>
          <w:tcPr>
            <w:tcW w:w="8144" w:type="dxa"/>
            <w:shd w:val="clear" w:color="auto" w:fill="D9D9D9" w:themeFill="background1" w:themeFillShade="D9"/>
            <w:vAlign w:val="center"/>
          </w:tcPr>
          <w:p w14:paraId="0D07B432" w14:textId="77777777" w:rsidR="0003617F" w:rsidRPr="0021434E" w:rsidRDefault="0003617F" w:rsidP="004B322D">
            <w:pPr>
              <w:jc w:val="center"/>
              <w:rPr>
                <w:b/>
              </w:rPr>
            </w:pPr>
            <w:r w:rsidRPr="0021434E">
              <w:rPr>
                <w:b/>
              </w:rPr>
              <w:t>Descrição </w:t>
            </w:r>
          </w:p>
        </w:tc>
      </w:tr>
      <w:tr w:rsidR="0003617F" w:rsidRPr="0021434E" w14:paraId="2BCACC29" w14:textId="77777777" w:rsidTr="004B322D">
        <w:trPr>
          <w:trHeight w:val="631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297A91B0" w14:textId="77777777" w:rsidR="0003617F" w:rsidRPr="0083173A" w:rsidRDefault="0003617F" w:rsidP="004B322D">
            <w:pPr>
              <w:ind w:right="-309"/>
              <w:rPr>
                <w:b/>
              </w:rPr>
            </w:pPr>
            <w:r w:rsidRPr="0083173A">
              <w:rPr>
                <w:b/>
              </w:rPr>
              <w:t>Quadro conceitual  </w:t>
            </w:r>
          </w:p>
        </w:tc>
        <w:tc>
          <w:tcPr>
            <w:tcW w:w="8144" w:type="dxa"/>
            <w:vAlign w:val="center"/>
          </w:tcPr>
          <w:p w14:paraId="5E33E354" w14:textId="77777777" w:rsidR="0003617F" w:rsidRPr="0021434E" w:rsidRDefault="0003617F" w:rsidP="004B322D">
            <w:pPr>
              <w:textAlignment w:val="baseline"/>
            </w:pPr>
            <w:proofErr w:type="spellStart"/>
            <w:r w:rsidRPr="0021434E">
              <w:t>Neurodivergência</w:t>
            </w:r>
            <w:proofErr w:type="spellEnd"/>
            <w:r w:rsidRPr="0021434E">
              <w:t xml:space="preserve"> são variações naturais no cérebro humano, abrangendo diferenças neurológicas, como transtornos do espectro do autismo (TEA), transtorno de déficit de atenção/hiperatividade (TDAH) e transtornos de estímulos sensoriais (</w:t>
            </w:r>
            <w:proofErr w:type="spellStart"/>
            <w:r w:rsidRPr="0021434E">
              <w:t>Khalique</w:t>
            </w:r>
            <w:proofErr w:type="spellEnd"/>
            <w:r w:rsidRPr="0021434E">
              <w:t xml:space="preserve"> </w:t>
            </w:r>
            <w:r w:rsidRPr="00E82D22">
              <w:rPr>
                <w:i/>
                <w:iCs/>
              </w:rPr>
              <w:t>et al</w:t>
            </w:r>
            <w:r w:rsidRPr="0021434E">
              <w:t>. 2024)</w:t>
            </w:r>
          </w:p>
          <w:p w14:paraId="07A4F7EB" w14:textId="77777777" w:rsidR="0003617F" w:rsidRPr="0021434E" w:rsidRDefault="0003617F" w:rsidP="004B322D">
            <w:pPr>
              <w:ind w:left="100"/>
              <w:textAlignment w:val="baseline"/>
            </w:pPr>
          </w:p>
          <w:p w14:paraId="5EC7A326" w14:textId="77777777" w:rsidR="0003617F" w:rsidRPr="0021434E" w:rsidRDefault="0003617F" w:rsidP="004B322D">
            <w:pPr>
              <w:ind w:left="-41"/>
              <w:textAlignment w:val="baseline"/>
            </w:pPr>
            <w:proofErr w:type="spellStart"/>
            <w:r w:rsidRPr="0021434E">
              <w:t>Neurodivergência</w:t>
            </w:r>
            <w:proofErr w:type="spellEnd"/>
            <w:r w:rsidRPr="0021434E">
              <w:t xml:space="preserve"> se refere à variação natural na estrutura da mente, influenciando a forma como os indivíduos pensam, se comportam, se comunicam e percebem o mundo. (</w:t>
            </w:r>
            <w:proofErr w:type="spellStart"/>
            <w:r w:rsidRPr="0021434E">
              <w:t>Cottingham</w:t>
            </w:r>
            <w:proofErr w:type="spellEnd"/>
            <w:r w:rsidRPr="0021434E">
              <w:t xml:space="preserve">; </w:t>
            </w:r>
            <w:proofErr w:type="spellStart"/>
            <w:r w:rsidRPr="0021434E">
              <w:t>Spear</w:t>
            </w:r>
            <w:proofErr w:type="spellEnd"/>
            <w:r w:rsidRPr="0021434E">
              <w:t xml:space="preserve"> 2024).</w:t>
            </w:r>
          </w:p>
        </w:tc>
      </w:tr>
      <w:tr w:rsidR="0003617F" w:rsidRPr="0021434E" w14:paraId="660EBA92" w14:textId="77777777" w:rsidTr="004B322D">
        <w:trPr>
          <w:trHeight w:val="205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1E071531" w14:textId="77777777" w:rsidR="0003617F" w:rsidRPr="0083173A" w:rsidRDefault="0003617F" w:rsidP="004B322D">
            <w:pPr>
              <w:ind w:right="-309"/>
              <w:rPr>
                <w:b/>
              </w:rPr>
            </w:pPr>
            <w:r w:rsidRPr="0083173A">
              <w:rPr>
                <w:b/>
              </w:rPr>
              <w:t>Contexto  </w:t>
            </w:r>
          </w:p>
        </w:tc>
        <w:tc>
          <w:tcPr>
            <w:tcW w:w="8144" w:type="dxa"/>
            <w:vAlign w:val="center"/>
          </w:tcPr>
          <w:p w14:paraId="10C4B98B" w14:textId="77777777" w:rsidR="0003617F" w:rsidRPr="0021434E" w:rsidRDefault="0003617F" w:rsidP="004B322D">
            <w:pPr>
              <w:textAlignment w:val="baseline"/>
            </w:pPr>
            <w:r w:rsidRPr="0021434E">
              <w:t xml:space="preserve">Estudos que abordem a </w:t>
            </w:r>
            <w:proofErr w:type="spellStart"/>
            <w:r w:rsidRPr="0021434E">
              <w:t>neurodivergência</w:t>
            </w:r>
            <w:proofErr w:type="spellEnd"/>
            <w:r w:rsidRPr="0021434E">
              <w:t xml:space="preserve"> no âmbito organizacional</w:t>
            </w:r>
          </w:p>
        </w:tc>
      </w:tr>
      <w:tr w:rsidR="0003617F" w:rsidRPr="0021434E" w14:paraId="5BCA6DF9" w14:textId="77777777" w:rsidTr="004B322D">
        <w:trPr>
          <w:trHeight w:val="255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5E187244" w14:textId="77777777" w:rsidR="0003617F" w:rsidRPr="0083173A" w:rsidRDefault="0003617F" w:rsidP="004B322D">
            <w:pPr>
              <w:ind w:right="-309"/>
              <w:rPr>
                <w:b/>
              </w:rPr>
            </w:pPr>
            <w:r w:rsidRPr="0083173A">
              <w:rPr>
                <w:b/>
              </w:rPr>
              <w:t>Horizonte  </w:t>
            </w:r>
          </w:p>
        </w:tc>
        <w:tc>
          <w:tcPr>
            <w:tcW w:w="8144" w:type="dxa"/>
            <w:vAlign w:val="center"/>
          </w:tcPr>
          <w:p w14:paraId="6AE484E0" w14:textId="77777777" w:rsidR="0003617F" w:rsidRPr="0021434E" w:rsidRDefault="0003617F" w:rsidP="004B322D">
            <w:pPr>
              <w:textAlignment w:val="baseline"/>
            </w:pPr>
            <w:r w:rsidRPr="0021434E">
              <w:t>Artigos publicados de 2015 a 2025</w:t>
            </w:r>
          </w:p>
        </w:tc>
      </w:tr>
      <w:tr w:rsidR="0003617F" w:rsidRPr="0021434E" w14:paraId="5392C7C5" w14:textId="77777777" w:rsidTr="004B322D">
        <w:trPr>
          <w:trHeight w:val="27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7FE9D92C" w14:textId="77777777" w:rsidR="0003617F" w:rsidRPr="0083173A" w:rsidRDefault="0003617F" w:rsidP="004B322D">
            <w:pPr>
              <w:ind w:right="-309"/>
              <w:rPr>
                <w:b/>
              </w:rPr>
            </w:pPr>
            <w:r w:rsidRPr="0083173A">
              <w:rPr>
                <w:b/>
              </w:rPr>
              <w:t>Línguas  </w:t>
            </w:r>
          </w:p>
        </w:tc>
        <w:tc>
          <w:tcPr>
            <w:tcW w:w="8144" w:type="dxa"/>
            <w:vAlign w:val="center"/>
          </w:tcPr>
          <w:p w14:paraId="493D6685" w14:textId="77777777" w:rsidR="0003617F" w:rsidRPr="0021434E" w:rsidRDefault="0003617F" w:rsidP="004B322D">
            <w:pPr>
              <w:textAlignment w:val="baseline"/>
            </w:pPr>
            <w:r w:rsidRPr="0021434E">
              <w:t>Inglês</w:t>
            </w:r>
          </w:p>
        </w:tc>
      </w:tr>
      <w:tr w:rsidR="0003617F" w:rsidRPr="0021434E" w14:paraId="7662547E" w14:textId="77777777" w:rsidTr="004B322D">
        <w:trPr>
          <w:trHeight w:val="1015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4106A709" w14:textId="77777777" w:rsidR="0003617F" w:rsidRPr="0083173A" w:rsidRDefault="0003617F" w:rsidP="004B322D">
            <w:pPr>
              <w:ind w:right="-309"/>
              <w:rPr>
                <w:b/>
              </w:rPr>
            </w:pPr>
            <w:r w:rsidRPr="0083173A">
              <w:rPr>
                <w:b/>
              </w:rPr>
              <w:lastRenderedPageBreak/>
              <w:t>Critério</w:t>
            </w:r>
          </w:p>
          <w:p w14:paraId="3742CF46" w14:textId="77777777" w:rsidR="0003617F" w:rsidRPr="0083173A" w:rsidRDefault="0003617F" w:rsidP="004B322D">
            <w:pPr>
              <w:ind w:right="-309"/>
              <w:rPr>
                <w:b/>
              </w:rPr>
            </w:pPr>
            <w:r w:rsidRPr="0083173A">
              <w:rPr>
                <w:b/>
              </w:rPr>
              <w:t xml:space="preserve"> de Exclusão  </w:t>
            </w:r>
          </w:p>
        </w:tc>
        <w:tc>
          <w:tcPr>
            <w:tcW w:w="8144" w:type="dxa"/>
            <w:vAlign w:val="center"/>
          </w:tcPr>
          <w:p w14:paraId="19168374" w14:textId="77777777" w:rsidR="0003617F" w:rsidRPr="0021434E" w:rsidRDefault="0003617F" w:rsidP="004B322D">
            <w:pPr>
              <w:tabs>
                <w:tab w:val="left" w:pos="540"/>
              </w:tabs>
              <w:textAlignment w:val="baseline"/>
            </w:pPr>
            <w:r w:rsidRPr="0021434E">
              <w:t xml:space="preserve">CE 1- </w:t>
            </w:r>
            <w:r w:rsidRPr="0021434E">
              <w:tab/>
              <w:t>Estudos cujas palavras-chave não coincidam com os descritores da estratégia de busca e  Estudos fora do contexto organizacional</w:t>
            </w:r>
          </w:p>
          <w:p w14:paraId="0FBDB683" w14:textId="77777777" w:rsidR="0003617F" w:rsidRPr="0021434E" w:rsidRDefault="0003617F" w:rsidP="004B322D">
            <w:pPr>
              <w:tabs>
                <w:tab w:val="left" w:pos="540"/>
              </w:tabs>
              <w:textAlignment w:val="baseline"/>
            </w:pPr>
            <w:r w:rsidRPr="0021434E">
              <w:t xml:space="preserve">CE 2- </w:t>
            </w:r>
            <w:r w:rsidRPr="0021434E">
              <w:tab/>
              <w:t xml:space="preserve"> Estudos duplicados;</w:t>
            </w:r>
          </w:p>
          <w:p w14:paraId="7C0F69FF" w14:textId="77777777" w:rsidR="0003617F" w:rsidRPr="0021434E" w:rsidRDefault="0003617F" w:rsidP="004B322D">
            <w:pPr>
              <w:tabs>
                <w:tab w:val="left" w:pos="540"/>
              </w:tabs>
              <w:textAlignment w:val="baseline"/>
            </w:pPr>
            <w:r w:rsidRPr="0021434E">
              <w:t xml:space="preserve">CE 3- </w:t>
            </w:r>
            <w:r w:rsidRPr="0021434E">
              <w:tab/>
            </w:r>
            <w:r w:rsidRPr="0021434E">
              <w:tab/>
              <w:t>Estudos indisponíveis para download;</w:t>
            </w:r>
          </w:p>
        </w:tc>
      </w:tr>
      <w:tr w:rsidR="0003617F" w:rsidRPr="0021434E" w14:paraId="4C03B3BB" w14:textId="77777777" w:rsidTr="004B322D">
        <w:trPr>
          <w:trHeight w:val="696"/>
        </w:trPr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35506587" w14:textId="77777777" w:rsidR="0003617F" w:rsidRPr="0083173A" w:rsidRDefault="0003617F" w:rsidP="004B322D">
            <w:pPr>
              <w:ind w:right="-309"/>
              <w:rPr>
                <w:b/>
              </w:rPr>
            </w:pPr>
            <w:r w:rsidRPr="0083173A">
              <w:rPr>
                <w:b/>
              </w:rPr>
              <w:t>Descritores (termos de busca)</w:t>
            </w:r>
          </w:p>
        </w:tc>
        <w:tc>
          <w:tcPr>
            <w:tcW w:w="8144" w:type="dxa"/>
            <w:vAlign w:val="center"/>
          </w:tcPr>
          <w:p w14:paraId="6853BA57" w14:textId="77777777" w:rsidR="0003617F" w:rsidRPr="00382663" w:rsidRDefault="0003617F" w:rsidP="004B322D">
            <w:pPr>
              <w:tabs>
                <w:tab w:val="left" w:pos="38"/>
              </w:tabs>
              <w:textAlignment w:val="baseline"/>
              <w:rPr>
                <w:i/>
              </w:rPr>
            </w:pPr>
            <w:r w:rsidRPr="00382663">
              <w:rPr>
                <w:i/>
              </w:rPr>
              <w:t xml:space="preserve">Web </w:t>
            </w:r>
            <w:proofErr w:type="spellStart"/>
            <w:r w:rsidRPr="00382663">
              <w:rPr>
                <w:i/>
              </w:rPr>
              <w:t>of</w:t>
            </w:r>
            <w:proofErr w:type="spellEnd"/>
            <w:r w:rsidRPr="00382663">
              <w:rPr>
                <w:i/>
              </w:rPr>
              <w:t xml:space="preserve"> Science</w:t>
            </w:r>
          </w:p>
          <w:p w14:paraId="6F2094B0" w14:textId="77777777" w:rsidR="0003617F" w:rsidRPr="00382663" w:rsidRDefault="0003617F" w:rsidP="004B322D">
            <w:pPr>
              <w:tabs>
                <w:tab w:val="left" w:pos="38"/>
              </w:tabs>
              <w:textAlignment w:val="baseline"/>
            </w:pPr>
            <w:r w:rsidRPr="00382663">
              <w:t>"neurodivergent*"  OR  "neurodivers*"  OR  "autis*"  OR  "ADHD"  OR  "</w:t>
            </w:r>
            <w:proofErr w:type="spellStart"/>
            <w:r w:rsidRPr="00382663">
              <w:t>attention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deficit</w:t>
            </w:r>
            <w:proofErr w:type="spellEnd"/>
            <w:r w:rsidRPr="00382663">
              <w:t>"  OR  "</w:t>
            </w:r>
            <w:proofErr w:type="spellStart"/>
            <w:r w:rsidRPr="00382663">
              <w:t>asperger</w:t>
            </w:r>
            <w:proofErr w:type="spellEnd"/>
            <w:r w:rsidRPr="00382663">
              <w:t xml:space="preserve">"  OR  "high </w:t>
            </w:r>
            <w:proofErr w:type="spellStart"/>
            <w:r w:rsidRPr="00382663">
              <w:t>ability</w:t>
            </w:r>
            <w:proofErr w:type="spellEnd"/>
            <w:r w:rsidRPr="00382663">
              <w:t>"  OR  "</w:t>
            </w:r>
            <w:proofErr w:type="spellStart"/>
            <w:r w:rsidRPr="00382663">
              <w:t>gifted</w:t>
            </w:r>
            <w:proofErr w:type="spellEnd"/>
            <w:r w:rsidRPr="00382663">
              <w:t>" (</w:t>
            </w:r>
            <w:proofErr w:type="spellStart"/>
            <w:r w:rsidRPr="00382663">
              <w:t>Author</w:t>
            </w:r>
            <w:proofErr w:type="spellEnd"/>
            <w:r w:rsidRPr="00382663">
              <w:t xml:space="preserve"> Keywords) AND "labor </w:t>
            </w:r>
            <w:proofErr w:type="spellStart"/>
            <w:r w:rsidRPr="00382663">
              <w:t>market</w:t>
            </w:r>
            <w:proofErr w:type="spellEnd"/>
            <w:r w:rsidRPr="00382663">
              <w:t>"  OR  "</w:t>
            </w:r>
            <w:proofErr w:type="spellStart"/>
            <w:r w:rsidRPr="00382663">
              <w:t>employment</w:t>
            </w:r>
            <w:proofErr w:type="spellEnd"/>
            <w:r w:rsidRPr="00382663">
              <w:t>"  OR  "</w:t>
            </w:r>
            <w:proofErr w:type="spellStart"/>
            <w:r w:rsidRPr="00382663">
              <w:t>workplace</w:t>
            </w:r>
            <w:proofErr w:type="spellEnd"/>
            <w:r w:rsidRPr="00382663">
              <w:t>"  OR  "</w:t>
            </w:r>
            <w:proofErr w:type="spellStart"/>
            <w:r w:rsidRPr="00382663">
              <w:t>job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inclusion</w:t>
            </w:r>
            <w:proofErr w:type="spellEnd"/>
            <w:r w:rsidRPr="00382663">
              <w:t>"  OR  "</w:t>
            </w:r>
            <w:proofErr w:type="spellStart"/>
            <w:r w:rsidRPr="00382663">
              <w:t>occupational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inclusion</w:t>
            </w:r>
            <w:proofErr w:type="spellEnd"/>
            <w:r w:rsidRPr="00382663">
              <w:t>"  OR  "</w:t>
            </w:r>
            <w:proofErr w:type="spellStart"/>
            <w:r w:rsidRPr="00382663">
              <w:t>work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environment</w:t>
            </w:r>
            <w:proofErr w:type="spellEnd"/>
            <w:r w:rsidRPr="00382663">
              <w:t>"  OR  "</w:t>
            </w:r>
            <w:proofErr w:type="spellStart"/>
            <w:r w:rsidRPr="00382663">
              <w:t>organizational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inclusion</w:t>
            </w:r>
            <w:proofErr w:type="spellEnd"/>
            <w:r w:rsidRPr="00382663">
              <w:t>" (</w:t>
            </w:r>
            <w:proofErr w:type="spellStart"/>
            <w:r w:rsidRPr="00382663">
              <w:t>Author</w:t>
            </w:r>
            <w:proofErr w:type="spellEnd"/>
            <w:r w:rsidRPr="00382663">
              <w:t xml:space="preserve"> Keywords) AND model*  OR  framework*  OR  guideline*  OR  manual*  OR  toolkit*  OR  protocol*  OR  "</w:t>
            </w:r>
            <w:proofErr w:type="spellStart"/>
            <w:r w:rsidRPr="00382663">
              <w:t>best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practices</w:t>
            </w:r>
            <w:proofErr w:type="spellEnd"/>
            <w:r w:rsidRPr="00382663">
              <w:t>"  OR  </w:t>
            </w:r>
            <w:proofErr w:type="spellStart"/>
            <w:r w:rsidRPr="00382663">
              <w:t>policy</w:t>
            </w:r>
            <w:proofErr w:type="spellEnd"/>
            <w:r w:rsidRPr="00382663">
              <w:t xml:space="preserve">  OR  "inclusive </w:t>
            </w:r>
            <w:proofErr w:type="spellStart"/>
            <w:r w:rsidRPr="00382663">
              <w:t>practices</w:t>
            </w:r>
            <w:proofErr w:type="spellEnd"/>
            <w:r w:rsidRPr="00382663">
              <w:t xml:space="preserve">"  OR  "inclusive </w:t>
            </w:r>
            <w:proofErr w:type="spellStart"/>
            <w:r w:rsidRPr="00382663">
              <w:t>strategy</w:t>
            </w:r>
            <w:proofErr w:type="spellEnd"/>
            <w:r w:rsidRPr="00382663">
              <w:t>"  OR  "inclusive management" (</w:t>
            </w:r>
            <w:proofErr w:type="spellStart"/>
            <w:r w:rsidRPr="00382663">
              <w:t>Author</w:t>
            </w:r>
            <w:proofErr w:type="spellEnd"/>
            <w:r w:rsidRPr="00382663">
              <w:t xml:space="preserve"> Keywords) </w:t>
            </w:r>
            <w:proofErr w:type="spellStart"/>
            <w:r w:rsidRPr="00382663">
              <w:t>and</w:t>
            </w:r>
            <w:proofErr w:type="spellEnd"/>
            <w:r w:rsidRPr="00382663">
              <w:t xml:space="preserve"> Open Access </w:t>
            </w:r>
            <w:proofErr w:type="spellStart"/>
            <w:r w:rsidRPr="00382663">
              <w:t>and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Article</w:t>
            </w:r>
            <w:proofErr w:type="spellEnd"/>
            <w:r w:rsidRPr="00382663">
              <w:t xml:space="preserve"> (</w:t>
            </w:r>
            <w:proofErr w:type="spellStart"/>
            <w:r w:rsidRPr="00382663">
              <w:t>Document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Types</w:t>
            </w:r>
            <w:proofErr w:type="spellEnd"/>
            <w:r w:rsidRPr="00382663">
              <w:t xml:space="preserve">) </w:t>
            </w:r>
            <w:proofErr w:type="spellStart"/>
            <w:r w:rsidRPr="00382663">
              <w:t>and</w:t>
            </w:r>
            <w:proofErr w:type="spellEnd"/>
            <w:r w:rsidRPr="00382663">
              <w:t xml:space="preserve"> 2015 </w:t>
            </w:r>
            <w:proofErr w:type="spellStart"/>
            <w:r w:rsidRPr="00382663">
              <w:t>or</w:t>
            </w:r>
            <w:proofErr w:type="spellEnd"/>
            <w:r w:rsidRPr="00382663">
              <w:t xml:space="preserve"> 2017 </w:t>
            </w:r>
            <w:proofErr w:type="spellStart"/>
            <w:r w:rsidRPr="00382663">
              <w:t>or</w:t>
            </w:r>
            <w:proofErr w:type="spellEnd"/>
            <w:r w:rsidRPr="00382663">
              <w:t xml:space="preserve"> 2018 </w:t>
            </w:r>
            <w:proofErr w:type="spellStart"/>
            <w:r w:rsidRPr="00382663">
              <w:t>or</w:t>
            </w:r>
            <w:proofErr w:type="spellEnd"/>
            <w:r w:rsidRPr="00382663">
              <w:t xml:space="preserve"> 2020 </w:t>
            </w:r>
            <w:proofErr w:type="spellStart"/>
            <w:r w:rsidRPr="00382663">
              <w:t>or</w:t>
            </w:r>
            <w:proofErr w:type="spellEnd"/>
            <w:r w:rsidRPr="00382663">
              <w:t xml:space="preserve"> 2024 </w:t>
            </w:r>
            <w:proofErr w:type="spellStart"/>
            <w:r w:rsidRPr="00382663">
              <w:t>or</w:t>
            </w:r>
            <w:proofErr w:type="spellEnd"/>
            <w:r w:rsidRPr="00382663">
              <w:t xml:space="preserve"> 2025 </w:t>
            </w:r>
            <w:proofErr w:type="spellStart"/>
            <w:r w:rsidRPr="00382663">
              <w:t>or</w:t>
            </w:r>
            <w:proofErr w:type="spellEnd"/>
            <w:r w:rsidRPr="00382663">
              <w:t xml:space="preserve"> 2021 (</w:t>
            </w:r>
            <w:proofErr w:type="spellStart"/>
            <w:r w:rsidRPr="00382663">
              <w:t>Publication</w:t>
            </w:r>
            <w:proofErr w:type="spellEnd"/>
            <w:r w:rsidRPr="00382663">
              <w:t xml:space="preserve"> Years)</w:t>
            </w:r>
            <w:r w:rsidRPr="00382663">
              <w:br/>
            </w:r>
          </w:p>
          <w:p w14:paraId="4FF51228" w14:textId="77777777" w:rsidR="0003617F" w:rsidRPr="00382663" w:rsidRDefault="0003617F" w:rsidP="004B322D">
            <w:pPr>
              <w:tabs>
                <w:tab w:val="left" w:pos="38"/>
              </w:tabs>
              <w:textAlignment w:val="baseline"/>
            </w:pPr>
            <w:r w:rsidRPr="00382663">
              <w:rPr>
                <w:i/>
              </w:rPr>
              <w:t>Scopus</w:t>
            </w:r>
            <w:r w:rsidRPr="00382663">
              <w:t xml:space="preserve"> ( KEY ( "neurodivergent*"  OR  "neurodivers*"  OR  "autis*"  OR  "ADHD"  OR  "</w:t>
            </w:r>
            <w:proofErr w:type="spellStart"/>
            <w:r w:rsidRPr="00382663">
              <w:t>attention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deficit</w:t>
            </w:r>
            <w:proofErr w:type="spellEnd"/>
            <w:r w:rsidRPr="00382663">
              <w:t>"  OR  "</w:t>
            </w:r>
            <w:proofErr w:type="spellStart"/>
            <w:r w:rsidRPr="00382663">
              <w:t>asperger</w:t>
            </w:r>
            <w:proofErr w:type="spellEnd"/>
            <w:r w:rsidRPr="00382663">
              <w:t xml:space="preserve">"  OR  "high </w:t>
            </w:r>
            <w:proofErr w:type="spellStart"/>
            <w:r w:rsidRPr="00382663">
              <w:t>ability</w:t>
            </w:r>
            <w:proofErr w:type="spellEnd"/>
            <w:r w:rsidRPr="00382663">
              <w:t>"  OR  "</w:t>
            </w:r>
            <w:proofErr w:type="spellStart"/>
            <w:r w:rsidRPr="00382663">
              <w:t>gifted</w:t>
            </w:r>
            <w:proofErr w:type="spellEnd"/>
            <w:r w:rsidRPr="00382663">
              <w:t xml:space="preserve">" )  AND  KEY ( "labor </w:t>
            </w:r>
            <w:proofErr w:type="spellStart"/>
            <w:r w:rsidRPr="00382663">
              <w:t>market</w:t>
            </w:r>
            <w:proofErr w:type="spellEnd"/>
            <w:r w:rsidRPr="00382663">
              <w:t>"  OR  "</w:t>
            </w:r>
            <w:proofErr w:type="spellStart"/>
            <w:r w:rsidRPr="00382663">
              <w:t>employment</w:t>
            </w:r>
            <w:proofErr w:type="spellEnd"/>
            <w:r w:rsidRPr="00382663">
              <w:t>"  OR  "</w:t>
            </w:r>
            <w:proofErr w:type="spellStart"/>
            <w:r w:rsidRPr="00382663">
              <w:t>workplace</w:t>
            </w:r>
            <w:proofErr w:type="spellEnd"/>
            <w:r w:rsidRPr="00382663">
              <w:t>"  OR  "</w:t>
            </w:r>
            <w:proofErr w:type="spellStart"/>
            <w:r w:rsidRPr="00382663">
              <w:t>job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inclusion</w:t>
            </w:r>
            <w:proofErr w:type="spellEnd"/>
            <w:r w:rsidRPr="00382663">
              <w:t>"  OR  "</w:t>
            </w:r>
            <w:proofErr w:type="spellStart"/>
            <w:r w:rsidRPr="00382663">
              <w:t>occupational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inclusion</w:t>
            </w:r>
            <w:proofErr w:type="spellEnd"/>
            <w:r w:rsidRPr="00382663">
              <w:t>"  OR  "</w:t>
            </w:r>
            <w:proofErr w:type="spellStart"/>
            <w:r w:rsidRPr="00382663">
              <w:t>work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environment</w:t>
            </w:r>
            <w:proofErr w:type="spellEnd"/>
            <w:r w:rsidRPr="00382663">
              <w:t>"  OR  "</w:t>
            </w:r>
            <w:proofErr w:type="spellStart"/>
            <w:r w:rsidRPr="00382663">
              <w:t>organizational</w:t>
            </w:r>
            <w:proofErr w:type="spellEnd"/>
            <w:r w:rsidRPr="00382663">
              <w:t xml:space="preserve"> inclusion" )  AND  KEY ( model*  OR  framework*  OR  guideline*  OR  manual*  OR  toolkit*  OR  protocol*  OR  "best </w:t>
            </w:r>
            <w:proofErr w:type="spellStart"/>
            <w:r w:rsidRPr="00382663">
              <w:t>practices</w:t>
            </w:r>
            <w:proofErr w:type="spellEnd"/>
            <w:r w:rsidRPr="00382663">
              <w:t>"  OR  </w:t>
            </w:r>
            <w:proofErr w:type="spellStart"/>
            <w:r w:rsidRPr="00382663">
              <w:t>policy</w:t>
            </w:r>
            <w:proofErr w:type="spellEnd"/>
            <w:r w:rsidRPr="00382663">
              <w:t xml:space="preserve">  OR  "inclusive </w:t>
            </w:r>
            <w:proofErr w:type="spellStart"/>
            <w:r w:rsidRPr="00382663">
              <w:t>practices</w:t>
            </w:r>
            <w:proofErr w:type="spellEnd"/>
            <w:r w:rsidRPr="00382663">
              <w:t xml:space="preserve">"  OR  "inclusive </w:t>
            </w:r>
            <w:proofErr w:type="spellStart"/>
            <w:r w:rsidRPr="00382663">
              <w:t>strategy</w:t>
            </w:r>
            <w:proofErr w:type="spellEnd"/>
            <w:r w:rsidRPr="00382663">
              <w:t>"  OR  "inclusive management" ) )  AND  ( LIMIT-TO ( DOCTYPE ,  "ar" ) )  AND  ( LIMIT-TO ( LANGUAGE ,  "English" ) )  AND  (  LIMIT-TO ( OA ,  "all" ) )  AND  ( LIMIT-TO ( PUBYEAR ,  2015 )  OR  LIMIT-TO ( PUBYEAR ,  2016 )  OR  LIMIT-TO ( PUBYEAR ,  2017 )  OR  LIMIT-TO ( PUBYEAR ,  2018 )  OR  LIMIT-TO ( PUBYEAR ,  2019 )  OR  LIMIT-TO ( PUBYEAR ,  2020 )  OR  LIMIT-TO ( PUBYEAR ,  2021 )  OR  LIMIT-TO ( PUBYEAR ,  2022 )  OR  LIMIT-TO ( PUBYEAR ,  2023 )  OR  LIMIT-TO ( PUBYEAR ,  2024 )  OR  LIMIT-TO ( PUBYEAR ,  2025 ) ) </w:t>
            </w:r>
          </w:p>
          <w:p w14:paraId="07C669DE" w14:textId="77777777" w:rsidR="0003617F" w:rsidRPr="00382663" w:rsidRDefault="0003617F" w:rsidP="004B322D">
            <w:pPr>
              <w:tabs>
                <w:tab w:val="left" w:pos="38"/>
              </w:tabs>
              <w:textAlignment w:val="baseline"/>
            </w:pPr>
          </w:p>
          <w:p w14:paraId="61D81B40" w14:textId="77777777" w:rsidR="0003617F" w:rsidRPr="00382663" w:rsidRDefault="0003617F" w:rsidP="004B322D">
            <w:pPr>
              <w:tabs>
                <w:tab w:val="left" w:pos="38"/>
              </w:tabs>
              <w:textAlignment w:val="baseline"/>
              <w:rPr>
                <w:i/>
              </w:rPr>
            </w:pPr>
            <w:proofErr w:type="spellStart"/>
            <w:r w:rsidRPr="00382663">
              <w:rPr>
                <w:i/>
              </w:rPr>
              <w:t>PubMed</w:t>
            </w:r>
            <w:proofErr w:type="spellEnd"/>
          </w:p>
          <w:p w14:paraId="3A9A4988" w14:textId="77777777" w:rsidR="0003617F" w:rsidRPr="00382663" w:rsidRDefault="0003617F" w:rsidP="004B322D">
            <w:pPr>
              <w:tabs>
                <w:tab w:val="left" w:pos="38"/>
              </w:tabs>
              <w:textAlignment w:val="baseline"/>
            </w:pPr>
            <w:r w:rsidRPr="00382663">
              <w:t xml:space="preserve">((labor </w:t>
            </w:r>
            <w:proofErr w:type="spellStart"/>
            <w:r w:rsidRPr="00382663">
              <w:t>market</w:t>
            </w:r>
            <w:proofErr w:type="spellEnd"/>
            <w:r w:rsidRPr="00382663">
              <w:t xml:space="preserve">[OT] OR </w:t>
            </w:r>
            <w:proofErr w:type="spellStart"/>
            <w:r w:rsidRPr="00382663">
              <w:t>employment</w:t>
            </w:r>
            <w:proofErr w:type="spellEnd"/>
            <w:r w:rsidRPr="00382663">
              <w:t xml:space="preserve">[OT] OR </w:t>
            </w:r>
            <w:proofErr w:type="spellStart"/>
            <w:r w:rsidRPr="00382663">
              <w:t>workplace</w:t>
            </w:r>
            <w:proofErr w:type="spellEnd"/>
            <w:r w:rsidRPr="00382663">
              <w:t>[OT] OR "</w:t>
            </w:r>
            <w:proofErr w:type="spellStart"/>
            <w:r w:rsidRPr="00382663">
              <w:t>job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inclusion</w:t>
            </w:r>
            <w:proofErr w:type="spellEnd"/>
            <w:r w:rsidRPr="00382663">
              <w:t>"[OT] OR "</w:t>
            </w:r>
            <w:proofErr w:type="spellStart"/>
            <w:r w:rsidRPr="00382663">
              <w:t>occupational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inclusion</w:t>
            </w:r>
            <w:proofErr w:type="spellEnd"/>
            <w:r w:rsidRPr="00382663">
              <w:t>"[OT] OR "</w:t>
            </w:r>
            <w:proofErr w:type="spellStart"/>
            <w:r w:rsidRPr="00382663">
              <w:t>work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environment</w:t>
            </w:r>
            <w:proofErr w:type="spellEnd"/>
            <w:r w:rsidRPr="00382663">
              <w:t>"[OT] OR "</w:t>
            </w:r>
            <w:proofErr w:type="spellStart"/>
            <w:r w:rsidRPr="00382663">
              <w:t>organizational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inclusion</w:t>
            </w:r>
            <w:proofErr w:type="spellEnd"/>
            <w:r w:rsidRPr="00382663">
              <w:t>"[OT]) AND (</w:t>
            </w:r>
            <w:proofErr w:type="spellStart"/>
            <w:r w:rsidRPr="00382663">
              <w:t>neurodivergent</w:t>
            </w:r>
            <w:proofErr w:type="spellEnd"/>
            <w:r w:rsidRPr="00382663">
              <w:t xml:space="preserve">*[OT] OR </w:t>
            </w:r>
            <w:proofErr w:type="spellStart"/>
            <w:r w:rsidRPr="00382663">
              <w:t>neurodivers</w:t>
            </w:r>
            <w:proofErr w:type="spellEnd"/>
            <w:r w:rsidRPr="00382663">
              <w:t xml:space="preserve">*[OT] OR </w:t>
            </w:r>
            <w:proofErr w:type="spellStart"/>
            <w:r w:rsidRPr="00382663">
              <w:t>autis</w:t>
            </w:r>
            <w:proofErr w:type="spellEnd"/>
            <w:r w:rsidRPr="00382663">
              <w:t>*[OT] OR ADHD[OT] OR "</w:t>
            </w:r>
            <w:proofErr w:type="spellStart"/>
            <w:r w:rsidRPr="00382663">
              <w:t>attention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deficit</w:t>
            </w:r>
            <w:proofErr w:type="spellEnd"/>
            <w:r w:rsidRPr="00382663">
              <w:t xml:space="preserve">"[OT] OR </w:t>
            </w:r>
            <w:proofErr w:type="spellStart"/>
            <w:r w:rsidRPr="00382663">
              <w:t>asperger</w:t>
            </w:r>
            <w:proofErr w:type="spellEnd"/>
            <w:r w:rsidRPr="00382663">
              <w:t xml:space="preserve">[OT] OR "high </w:t>
            </w:r>
            <w:proofErr w:type="spellStart"/>
            <w:r w:rsidRPr="00382663">
              <w:t>ability</w:t>
            </w:r>
            <w:proofErr w:type="spellEnd"/>
            <w:r w:rsidRPr="00382663">
              <w:t xml:space="preserve">"[OT] OR </w:t>
            </w:r>
            <w:proofErr w:type="spellStart"/>
            <w:r w:rsidRPr="00382663">
              <w:t>gifted</w:t>
            </w:r>
            <w:proofErr w:type="spellEnd"/>
            <w:r w:rsidRPr="00382663">
              <w:t xml:space="preserve">[OT])) AND (model*[OT] OR framework*[OT] OR </w:t>
            </w:r>
            <w:proofErr w:type="spellStart"/>
            <w:r w:rsidRPr="00382663">
              <w:t>guideline</w:t>
            </w:r>
            <w:proofErr w:type="spellEnd"/>
            <w:r w:rsidRPr="00382663">
              <w:t xml:space="preserve">*[OT] OR manual*[OT] OR toolkit*[OT] OR </w:t>
            </w:r>
            <w:proofErr w:type="spellStart"/>
            <w:r w:rsidRPr="00382663">
              <w:t>protocol</w:t>
            </w:r>
            <w:proofErr w:type="spellEnd"/>
            <w:r w:rsidRPr="00382663">
              <w:t>*[OT] OR "</w:t>
            </w:r>
            <w:proofErr w:type="spellStart"/>
            <w:r w:rsidRPr="00382663">
              <w:t>best</w:t>
            </w:r>
            <w:proofErr w:type="spellEnd"/>
            <w:r w:rsidRPr="00382663">
              <w:t xml:space="preserve"> </w:t>
            </w:r>
            <w:proofErr w:type="spellStart"/>
            <w:r w:rsidRPr="00382663">
              <w:t>practices</w:t>
            </w:r>
            <w:proofErr w:type="spellEnd"/>
            <w:r w:rsidRPr="00382663">
              <w:t xml:space="preserve">"[OT] OR </w:t>
            </w:r>
            <w:proofErr w:type="spellStart"/>
            <w:r w:rsidRPr="00382663">
              <w:t>policy</w:t>
            </w:r>
            <w:proofErr w:type="spellEnd"/>
            <w:r w:rsidRPr="00382663">
              <w:t xml:space="preserve">[OT] OR "inclusive </w:t>
            </w:r>
            <w:proofErr w:type="spellStart"/>
            <w:r w:rsidRPr="00382663">
              <w:t>practices</w:t>
            </w:r>
            <w:proofErr w:type="spellEnd"/>
            <w:r w:rsidRPr="00382663">
              <w:t xml:space="preserve">"[OT] OR "inclusive </w:t>
            </w:r>
            <w:proofErr w:type="spellStart"/>
            <w:r w:rsidRPr="00382663">
              <w:t>strategy</w:t>
            </w:r>
            <w:proofErr w:type="spellEnd"/>
            <w:r w:rsidRPr="00382663">
              <w:t>"[OT] OR "inclusive management"[OT])</w:t>
            </w:r>
          </w:p>
        </w:tc>
      </w:tr>
      <w:tr w:rsidR="0003617F" w:rsidRPr="0021434E" w14:paraId="0195E2F9" w14:textId="77777777" w:rsidTr="004B322D">
        <w:tc>
          <w:tcPr>
            <w:tcW w:w="1101" w:type="dxa"/>
            <w:shd w:val="clear" w:color="auto" w:fill="D9D9D9" w:themeFill="background1" w:themeFillShade="D9"/>
            <w:vAlign w:val="center"/>
          </w:tcPr>
          <w:p w14:paraId="4512F828" w14:textId="77777777" w:rsidR="0003617F" w:rsidRPr="0083173A" w:rsidRDefault="0003617F" w:rsidP="004B322D">
            <w:pPr>
              <w:ind w:right="-309"/>
              <w:rPr>
                <w:b/>
              </w:rPr>
            </w:pPr>
            <w:r w:rsidRPr="0083173A">
              <w:rPr>
                <w:b/>
              </w:rPr>
              <w:t>Pesquisar fontes</w:t>
            </w:r>
          </w:p>
        </w:tc>
        <w:tc>
          <w:tcPr>
            <w:tcW w:w="8144" w:type="dxa"/>
            <w:vAlign w:val="center"/>
          </w:tcPr>
          <w:p w14:paraId="03C6ED9A" w14:textId="77777777" w:rsidR="0003617F" w:rsidRPr="0021434E" w:rsidRDefault="0003617F" w:rsidP="004B322D">
            <w:pPr>
              <w:tabs>
                <w:tab w:val="left" w:pos="38"/>
              </w:tabs>
              <w:textAlignment w:val="baseline"/>
              <w:rPr>
                <w:iCs/>
              </w:rPr>
            </w:pPr>
            <w:r w:rsidRPr="0021434E">
              <w:rPr>
                <w:i/>
              </w:rPr>
              <w:t xml:space="preserve">Scopus, Web </w:t>
            </w:r>
            <w:proofErr w:type="spellStart"/>
            <w:r w:rsidRPr="0021434E">
              <w:rPr>
                <w:i/>
              </w:rPr>
              <w:t>of</w:t>
            </w:r>
            <w:proofErr w:type="spellEnd"/>
            <w:r w:rsidRPr="0021434E">
              <w:rPr>
                <w:i/>
              </w:rPr>
              <w:t xml:space="preserve"> Science</w:t>
            </w:r>
            <w:r w:rsidRPr="00382663">
              <w:rPr>
                <w:i/>
              </w:rPr>
              <w:t xml:space="preserve">, e </w:t>
            </w:r>
            <w:proofErr w:type="spellStart"/>
            <w:r w:rsidRPr="00382663">
              <w:rPr>
                <w:i/>
              </w:rPr>
              <w:t>PubMed</w:t>
            </w:r>
            <w:proofErr w:type="spellEnd"/>
          </w:p>
        </w:tc>
      </w:tr>
    </w:tbl>
    <w:p w14:paraId="6D1F8DF4" w14:textId="09FFE67C" w:rsidR="0003617F" w:rsidRDefault="0003617F" w:rsidP="0003617F">
      <w:pPr>
        <w:jc w:val="center"/>
        <w:rPr>
          <w:rFonts w:ascii="Times New Roman" w:hAnsi="Times New Roman" w:cs="Times New Roman"/>
          <w:sz w:val="20"/>
        </w:rPr>
      </w:pPr>
      <w:r w:rsidRPr="0021434E">
        <w:rPr>
          <w:rFonts w:ascii="Times New Roman" w:hAnsi="Times New Roman" w:cs="Times New Roman"/>
          <w:sz w:val="20"/>
        </w:rPr>
        <w:t xml:space="preserve">Fonte: adaptado de </w:t>
      </w:r>
      <w:bookmarkStart w:id="0" w:name="_Hlk205152260"/>
      <w:r w:rsidRPr="0021434E">
        <w:rPr>
          <w:rFonts w:ascii="Times New Roman" w:hAnsi="Times New Roman" w:cs="Times New Roman"/>
          <w:sz w:val="20"/>
        </w:rPr>
        <w:t>Dresch, Lacerda e Antunes Jr. (2015, p.142). </w:t>
      </w:r>
      <w:bookmarkEnd w:id="0"/>
    </w:p>
    <w:p w14:paraId="7BD079DF" w14:textId="77777777" w:rsidR="0003617F" w:rsidRPr="0003617F" w:rsidRDefault="0003617F" w:rsidP="0003617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E95B037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As bases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Web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of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 Science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,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Scopus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PubMed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foram selecionadas conforme recomendação de Silva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et al.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(2022), que as validam como fontes confiáveis para recuperação de literatura na área. A formulação dos descritores seguiu o checklist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PRESS 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(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McGowan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et al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., 2016), sendo estruturada para identificar modelos eficazes e estratégias de inclusão de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neurodivergentes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no mercado de trabalho.</w:t>
      </w:r>
    </w:p>
    <w:p w14:paraId="7F962171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Os dados da revisão sistemática foram analisados mediante Análise de Conteúdo (Bardin, 1977), técnica que decompõe estruturas textuais para extrair significados. 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t xml:space="preserve">Essa etapa 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lastRenderedPageBreak/>
        <w:t>foi conduzida a partir da leitura integral dos artigos selecionados na RSL, permitindo uma interpretação aprofundada em conformidade com os objetivos definidos.</w:t>
      </w:r>
    </w:p>
    <w:p w14:paraId="3D8DE8CF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A seguir, detalham-se as etapas de execução conforme o protocolo de Souza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 xml:space="preserve">et al. 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(2022) e expõem-se os resultados obtidos.</w:t>
      </w:r>
    </w:p>
    <w:p w14:paraId="08291150" w14:textId="77777777" w:rsidR="0003617F" w:rsidRPr="009614AC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14:paraId="2A89E1D0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14AC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 xml:space="preserve">4 </w:t>
      </w:r>
      <w:r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9614AC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>RESULTADOS E DISCUSSÃO</w:t>
      </w:r>
    </w:p>
    <w:p w14:paraId="06A8A170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03617F">
        <w:rPr>
          <w:rFonts w:ascii="Times New Roman" w:eastAsia="Times New Roman" w:hAnsi="Times New Roman" w:cs="Times New Roman"/>
          <w:sz w:val="24"/>
          <w:szCs w:val="24"/>
        </w:rPr>
        <w:t xml:space="preserve">A etapa de busca ocorreu entre 14 e 30 de junho de 2025. Inicialmente, obteve-se um conjunto de resultados brutos. Em seguida, realizou-se uma triagem dos estudos, aplicando os critérios de exclusão (Quadro 1). A busca na base de dados </w:t>
      </w:r>
      <w:r w:rsidRPr="0003617F">
        <w:rPr>
          <w:rFonts w:ascii="Times New Roman" w:eastAsia="Times New Roman" w:hAnsi="Times New Roman" w:cs="Times New Roman"/>
          <w:i/>
          <w:sz w:val="24"/>
          <w:szCs w:val="24"/>
        </w:rPr>
        <w:t>Scopus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t xml:space="preserve"> resultou em 70 estudos iniciais. Após a aplicação dos critérios de exclusão CE1, CE2 e CE3, restaram 27 artigos para análise. Na base de dados </w:t>
      </w:r>
      <w:r w:rsidRPr="0003617F">
        <w:rPr>
          <w:rFonts w:ascii="Times New Roman" w:eastAsia="Times New Roman" w:hAnsi="Times New Roman" w:cs="Times New Roman"/>
          <w:i/>
          <w:sz w:val="24"/>
          <w:szCs w:val="24"/>
        </w:rPr>
        <w:t xml:space="preserve">Web </w:t>
      </w:r>
      <w:proofErr w:type="spellStart"/>
      <w:r w:rsidRPr="0003617F"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proofErr w:type="spellEnd"/>
      <w:r w:rsidRPr="0003617F">
        <w:rPr>
          <w:rFonts w:ascii="Times New Roman" w:eastAsia="Times New Roman" w:hAnsi="Times New Roman" w:cs="Times New Roman"/>
          <w:i/>
          <w:sz w:val="24"/>
          <w:szCs w:val="24"/>
        </w:rPr>
        <w:t xml:space="preserve"> Science</w:t>
      </w:r>
      <w:r w:rsidRPr="0003617F">
        <w:rPr>
          <w:rFonts w:ascii="Times New Roman" w:eastAsia="Times New Roman" w:hAnsi="Times New Roman" w:cs="Times New Roman"/>
          <w:sz w:val="24"/>
          <w:szCs w:val="24"/>
        </w:rPr>
        <w:t xml:space="preserve">, foram identificados quatro estudos, dos quais um foi eliminado devido ao critério CE2. Assim, três artigos provenientes dessa base foram selecionados para a análise. 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Na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PubMed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, foram recuperados cinco artigos, dos quais um foi excluído pelo critério CE2, restando quatro estudos para análise. O total consolidado de artigos selecionados em todas as bases é apresentado na Figura 1.</w:t>
      </w:r>
    </w:p>
    <w:p w14:paraId="477E7CCB" w14:textId="7D1BE568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3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23CCC9B" wp14:editId="618219AB">
            <wp:extent cx="4829175" cy="3781425"/>
            <wp:effectExtent l="0" t="0" r="9525" b="9525"/>
            <wp:docPr id="274082986" name="Imagem 1" descr="Diagrama, 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82986" name="Imagem 1" descr="Diagrama, Texto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9851" cy="37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80C4D" w14:textId="77777777" w:rsidR="0003617F" w:rsidRDefault="0003617F" w:rsidP="0003617F">
      <w:pPr>
        <w:jc w:val="center"/>
        <w:rPr>
          <w:rFonts w:ascii="Times New Roman" w:hAnsi="Times New Roman" w:cs="Times New Roman"/>
          <w:sz w:val="20"/>
        </w:rPr>
      </w:pPr>
      <w:r w:rsidRPr="00DD4C82">
        <w:rPr>
          <w:rFonts w:ascii="Times New Roman" w:hAnsi="Times New Roman" w:cs="Times New Roman"/>
          <w:sz w:val="20"/>
        </w:rPr>
        <w:t>Figura 1. Fluxograma do número de artigos encontrados e selecionados após aplicação dos critérios de inclusão e exclusão.</w:t>
      </w:r>
    </w:p>
    <w:p w14:paraId="386CCC1A" w14:textId="77777777" w:rsidR="0003617F" w:rsidRPr="0021434E" w:rsidRDefault="0003617F" w:rsidP="0003617F">
      <w:pPr>
        <w:jc w:val="center"/>
        <w:rPr>
          <w:rFonts w:ascii="Times New Roman" w:hAnsi="Times New Roman" w:cs="Times New Roman"/>
          <w:sz w:val="20"/>
        </w:rPr>
      </w:pPr>
      <w:r w:rsidRPr="0021434E">
        <w:rPr>
          <w:rFonts w:ascii="Times New Roman" w:hAnsi="Times New Roman" w:cs="Times New Roman"/>
          <w:sz w:val="20"/>
        </w:rPr>
        <w:t xml:space="preserve">Fonte: Elaborado pelos autores com base no fluxograma do PRISMA (PAGE </w:t>
      </w:r>
      <w:r w:rsidRPr="00E82D22">
        <w:rPr>
          <w:rFonts w:ascii="Times New Roman" w:hAnsi="Times New Roman" w:cs="Times New Roman"/>
          <w:i/>
          <w:iCs/>
          <w:sz w:val="20"/>
        </w:rPr>
        <w:t>et al</w:t>
      </w:r>
      <w:r w:rsidRPr="0021434E">
        <w:rPr>
          <w:rFonts w:ascii="Times New Roman" w:hAnsi="Times New Roman" w:cs="Times New Roman"/>
          <w:sz w:val="20"/>
        </w:rPr>
        <w:t>., 2021)</w:t>
      </w:r>
    </w:p>
    <w:p w14:paraId="4A522093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151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Sumariamente, os estudos resultantes são: 27 da </w:t>
      </w:r>
      <w:r w:rsidRPr="00382663">
        <w:rPr>
          <w:rFonts w:ascii="Times New Roman" w:eastAsia="Times New Roman" w:hAnsi="Times New Roman" w:cs="Times New Roman"/>
          <w:i/>
          <w:iCs/>
          <w:sz w:val="24"/>
          <w:szCs w:val="24"/>
        </w:rPr>
        <w:t>Scopus</w:t>
      </w:r>
      <w:r w:rsidRPr="00061511">
        <w:rPr>
          <w:rFonts w:ascii="Times New Roman" w:eastAsia="Times New Roman" w:hAnsi="Times New Roman" w:cs="Times New Roman"/>
          <w:sz w:val="24"/>
          <w:szCs w:val="24"/>
        </w:rPr>
        <w:t xml:space="preserve">; três da </w:t>
      </w:r>
      <w:r w:rsidRPr="0038266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Web </w:t>
      </w:r>
      <w:proofErr w:type="spellStart"/>
      <w:r w:rsidRPr="00382663">
        <w:rPr>
          <w:rFonts w:ascii="Times New Roman" w:eastAsia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38266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Science </w:t>
      </w:r>
      <w:r w:rsidRPr="00061511">
        <w:rPr>
          <w:rFonts w:ascii="Times New Roman" w:eastAsia="Times New Roman" w:hAnsi="Times New Roman" w:cs="Times New Roman"/>
          <w:sz w:val="24"/>
          <w:szCs w:val="24"/>
        </w:rPr>
        <w:t xml:space="preserve">(3) e quatro da </w:t>
      </w:r>
      <w:proofErr w:type="spellStart"/>
      <w:r w:rsidRPr="00061511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ub</w:t>
      </w:r>
      <w:r w:rsidRPr="00382663">
        <w:rPr>
          <w:rFonts w:ascii="Times New Roman" w:eastAsia="Times New Roman" w:hAnsi="Times New Roman" w:cs="Times New Roman"/>
          <w:i/>
          <w:iCs/>
          <w:sz w:val="24"/>
          <w:szCs w:val="24"/>
        </w:rPr>
        <w:t>Med</w:t>
      </w:r>
      <w:proofErr w:type="spellEnd"/>
      <w:r w:rsidRPr="00061511">
        <w:rPr>
          <w:rFonts w:ascii="Times New Roman" w:eastAsia="Times New Roman" w:hAnsi="Times New Roman" w:cs="Times New Roman"/>
          <w:sz w:val="24"/>
          <w:szCs w:val="24"/>
        </w:rPr>
        <w:t xml:space="preserve"> (4). Os 34 artigos que compõem o resultado da RSL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estão apresentados no quadro 2: </w:t>
      </w:r>
      <w:r w:rsidRPr="0006151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4BB874A7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rFonts w:ascii="Times New Roman" w:hAnsi="Times New Roman" w:cs="Times New Roman"/>
          <w:bCs/>
          <w:sz w:val="20"/>
        </w:rPr>
      </w:pPr>
      <w:r w:rsidRPr="00DD4C82">
        <w:rPr>
          <w:rFonts w:ascii="Times New Roman" w:hAnsi="Times New Roman" w:cs="Times New Roman"/>
          <w:bCs/>
          <w:sz w:val="20"/>
        </w:rPr>
        <w:t xml:space="preserve">Quadro </w:t>
      </w:r>
      <w:r>
        <w:rPr>
          <w:rFonts w:ascii="Times New Roman" w:hAnsi="Times New Roman" w:cs="Times New Roman"/>
          <w:bCs/>
          <w:sz w:val="20"/>
        </w:rPr>
        <w:t>2</w:t>
      </w:r>
      <w:r w:rsidRPr="00DD4C82">
        <w:rPr>
          <w:rFonts w:ascii="Times New Roman" w:hAnsi="Times New Roman" w:cs="Times New Roman"/>
          <w:bCs/>
          <w:sz w:val="20"/>
        </w:rPr>
        <w:t xml:space="preserve">. </w:t>
      </w:r>
      <w:r>
        <w:rPr>
          <w:rFonts w:ascii="Times New Roman" w:hAnsi="Times New Roman" w:cs="Times New Roman"/>
          <w:bCs/>
          <w:sz w:val="20"/>
        </w:rPr>
        <w:t>Relação dos artigos selecionados</w:t>
      </w:r>
    </w:p>
    <w:tbl>
      <w:tblPr>
        <w:tblW w:w="63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590"/>
        <w:gridCol w:w="1841"/>
      </w:tblGrid>
      <w:tr w:rsidR="0003617F" w:rsidRPr="00C3212B" w14:paraId="6B2B4E31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E600EEB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Artigo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6294EEC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Autores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9C58FD2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Ano da Publicação</w:t>
            </w:r>
          </w:p>
        </w:tc>
      </w:tr>
      <w:tr w:rsidR="0003617F" w:rsidRPr="00C3212B" w14:paraId="64671B0C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763A502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BE3DA1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Kosherbayeva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F25B9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  <w:tr w:rsidR="0003617F" w:rsidRPr="00C3212B" w14:paraId="2571B6C7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2858A54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892BB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Kersten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1DE16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  <w:tr w:rsidR="0003617F" w:rsidRPr="00C3212B" w14:paraId="11D203FC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67DC065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A9CD5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Mansour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F95C8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  <w:tr w:rsidR="0003617F" w:rsidRPr="00C3212B" w14:paraId="6F4D478F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0EF845B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B57E89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Raj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Jemi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.; Mammen 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C421B1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  <w:tr w:rsidR="0003617F" w:rsidRPr="00C3212B" w14:paraId="1D1175AE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2BF2500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B21C6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Lomotey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Kumi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Nyaku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Deters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BB2A7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</w:tr>
      <w:tr w:rsidR="0003617F" w:rsidRPr="00C3212B" w14:paraId="78F6D03F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1DC52DA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634957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Pellicano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Hall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Ying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Cai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167C5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03617F" w:rsidRPr="00C3212B" w14:paraId="73410462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F9FFF5E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148401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Dvir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Rabinowitch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Elefant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8DF73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03617F" w:rsidRPr="00C3212B" w14:paraId="1E7DD410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05219FE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BBD874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Smit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B8FF1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03617F" w:rsidRPr="00C3212B" w14:paraId="55B43260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C3D368A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6225F9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Gottardello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Steffan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79321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03617F" w:rsidRPr="00C3212B" w14:paraId="15A2ED70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CFD8176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5C7DFC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Ashworth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Heasman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Crane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Remington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9F89A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03617F" w:rsidRPr="00C3212B" w14:paraId="6D2E7BF2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67B8BB9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AC0E39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Mallory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A8EA1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03617F" w:rsidRPr="00C3212B" w14:paraId="6591EEB0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B55DB5E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D60B8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Norris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435D5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03617F" w:rsidRPr="00C3212B" w14:paraId="4EC3C08D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A7ECCA0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7CE52C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Akpeke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Agbemavi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Adde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0BB07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</w:tr>
      <w:tr w:rsidR="0003617F" w:rsidRPr="00C3212B" w14:paraId="13A61121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6BEC63A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C77338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Nikolova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-Fontaine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Egilson</w:t>
            </w:r>
            <w:proofErr w:type="spellEnd"/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BDE25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</w:tr>
      <w:tr w:rsidR="0003617F" w:rsidRPr="00C3212B" w14:paraId="4B6F1B43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4EBD0BD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5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B3D3E0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Lemos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423D3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</w:tr>
      <w:tr w:rsidR="0003617F" w:rsidRPr="00C3212B" w14:paraId="7352AC66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075A95E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EF2E53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Giri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,.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10251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</w:tr>
      <w:tr w:rsidR="0003617F" w:rsidRPr="00C3212B" w14:paraId="2644B69A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5ACB021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EDAB32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Klag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Nicholas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Métayer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D6267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</w:tr>
      <w:tr w:rsidR="0003617F" w:rsidRPr="00C3212B" w14:paraId="60CBFDA8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51DF9BA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22EDC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Tomczak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Szulc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Szczerska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C830B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</w:tr>
      <w:tr w:rsidR="0003617F" w:rsidRPr="00C3212B" w14:paraId="66C8616D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CCF0CDF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D7DA2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De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Vries</w:t>
            </w:r>
            <w:proofErr w:type="spellEnd"/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3999A7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</w:tr>
      <w:tr w:rsidR="0003617F" w:rsidRPr="00C3212B" w14:paraId="622214F0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04E708F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0EF3F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Bross 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2720CC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</w:tr>
      <w:tr w:rsidR="0003617F" w:rsidRPr="00C3212B" w14:paraId="4F801991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08A2B81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3D86A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Griffiths 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25192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</w:tr>
      <w:tr w:rsidR="0003617F" w:rsidRPr="00C3212B" w14:paraId="2A9FC34D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061AD1E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3AF86B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Bury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Hedley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Uljarević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Ga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8F444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</w:tr>
      <w:tr w:rsidR="0003617F" w:rsidRPr="00C3212B" w14:paraId="76D4C476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4E141858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F6CAB9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Van Wijk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Firfirey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C047B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</w:tr>
      <w:tr w:rsidR="0003617F" w:rsidRPr="00C3212B" w14:paraId="5E354F35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B81E4A4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D587F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Bunt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D.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A8CFB5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</w:tr>
      <w:tr w:rsidR="0003617F" w:rsidRPr="00C3212B" w14:paraId="03F38B46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E2C9924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BE1B4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Diener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0E9840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</w:tr>
      <w:tr w:rsidR="0003617F" w:rsidRPr="00C3212B" w14:paraId="6B9AC6C3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1329C80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AAA72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Nouf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-Latif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Andersson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Markström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9D05A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</w:tr>
      <w:tr w:rsidR="0003617F" w:rsidRPr="00C3212B" w14:paraId="1C53C2E0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2BC81E47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3E51F3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Norstedt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DAAE0B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</w:tr>
      <w:tr w:rsidR="0003617F" w:rsidRPr="00C3212B" w14:paraId="29338ED2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5467CDFC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628BF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Roux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Garfield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Shattuck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65E5F3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</w:tr>
      <w:tr w:rsidR="0003617F" w:rsidRPr="00C3212B" w14:paraId="5BB68DC1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39FAC536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C87ED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Anker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Bendiksen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Heir</w:t>
            </w:r>
            <w:proofErr w:type="spellEnd"/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A76ABC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</w:tr>
      <w:tr w:rsidR="0003617F" w:rsidRPr="00C3212B" w14:paraId="401EA0F2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05690EB1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654D28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Zwicker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Zaresani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Emery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DBB7F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</w:tr>
      <w:tr w:rsidR="0003617F" w:rsidRPr="00C3212B" w14:paraId="53163D46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72114B63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60F40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English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03CE82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</w:tr>
      <w:tr w:rsidR="0003617F" w:rsidRPr="00C3212B" w14:paraId="2E0DBD3E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17397D6D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8D6DA8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McIntyre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47C35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</w:tr>
      <w:tr w:rsidR="0003617F" w:rsidRPr="00C3212B" w14:paraId="0B6952FE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021D202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27271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Hayakawa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82663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et al.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6D191E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</w:tr>
      <w:tr w:rsidR="0003617F" w:rsidRPr="00C3212B" w14:paraId="6C619A44" w14:textId="77777777" w:rsidTr="004B322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0D0"/>
            <w:noWrap/>
            <w:vAlign w:val="bottom"/>
            <w:hideMark/>
          </w:tcPr>
          <w:p w14:paraId="62A18B80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71944D" w14:textId="77777777" w:rsidR="0003617F" w:rsidRPr="00C3212B" w:rsidRDefault="0003617F" w:rsidP="004B322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McEvilly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Wicks</w:t>
            </w:r>
            <w:proofErr w:type="spellEnd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Dalman</w:t>
            </w:r>
            <w:proofErr w:type="spellEnd"/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32FE8" w14:textId="77777777" w:rsidR="0003617F" w:rsidRPr="00C3212B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321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</w:tr>
    </w:tbl>
    <w:p w14:paraId="77680B60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center"/>
        <w:rPr>
          <w:rFonts w:ascii="Times New Roman" w:hAnsi="Times New Roman" w:cs="Times New Roman"/>
          <w:bCs/>
          <w:sz w:val="20"/>
        </w:rPr>
      </w:pPr>
      <w:r>
        <w:rPr>
          <w:rFonts w:ascii="Times New Roman" w:hAnsi="Times New Roman" w:cs="Times New Roman"/>
          <w:bCs/>
          <w:sz w:val="20"/>
        </w:rPr>
        <w:t>Elaborado pelos autores (2025).</w:t>
      </w:r>
    </w:p>
    <w:p w14:paraId="5BD39032" w14:textId="77777777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3B19634" w14:textId="204D982C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Os artigos analisam as complexidades da neurodiversidade no 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trabalho,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prioritariamente em contextos de autismo</w:t>
      </w: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, explorando desafios e estratégias para inclusão e bem-estar.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Convergem na defesa de ambientes que potencializem capacidades (não foquem nas deficiências) e na necessidade imperativa de suporte social com capacitação profissional.</w:t>
      </w:r>
    </w:p>
    <w:p w14:paraId="2EDC26A1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Alguns estudos investigam o impacto de políticas de emprego e a perpetuação de estigmas socioculturais que criam barreiras à empregabilidade e qualidade de vida. Paralelamente, outros trabalhos exploram vivências individuais de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neurodivergentes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, com destaque para como condições coexistentes e dilemas sobre revelação da deficiência impactam trajetórias profissionais e bem-estar psicossocial.</w:t>
      </w:r>
    </w:p>
    <w:p w14:paraId="4EC2AAE1" w14:textId="77777777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 literatura analisada demonstra forte concentração temática no autismo – presente em 30 dos 34 artigos por meio de termos como TEA, síndrome de Asperger ou autismo de alto funcionamento, enquanto o TDAH surge em aproximadamente 30% dos estudos. Essa desproporção revela um viés de recorte que limita a compreensão abrangente da neurodiversidade no contexto laboral.</w:t>
      </w:r>
    </w:p>
    <w:p w14:paraId="1D226304" w14:textId="77777777" w:rsidR="0003617F" w:rsidRPr="009614AC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As estratégias foram categorizadas em cinco eixos fundamentais (Quadro 3): (1)</w:t>
      </w:r>
      <w:r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Políticas; (2) Abordagens Centradas na Força; (3) Acomodações e Adaptações; (4) Treinamento e Educação; e (5) Mentoria e </w:t>
      </w:r>
      <w:r w:rsidRPr="009614AC">
        <w:rPr>
          <w:rFonts w:ascii="Times New Roman" w:eastAsia="Times New Roman" w:hAnsi="Times New Roman" w:cs="Times New Roman"/>
          <w:i/>
          <w:sz w:val="24"/>
          <w:szCs w:val="24"/>
        </w:rPr>
        <w:t>Coaching.</w:t>
      </w:r>
    </w:p>
    <w:p w14:paraId="4B3D4BCC" w14:textId="77777777" w:rsidR="0003617F" w:rsidRPr="00D83093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1A58F" w14:textId="77777777" w:rsidR="0003617F" w:rsidRPr="00382663" w:rsidRDefault="0003617F" w:rsidP="0003617F">
      <w:pPr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382663">
        <w:rPr>
          <w:rFonts w:ascii="Times New Roman" w:hAnsi="Times New Roman" w:cs="Times New Roman"/>
          <w:bCs/>
          <w:sz w:val="20"/>
          <w:szCs w:val="20"/>
        </w:rPr>
        <w:t>Quadro 3. Categorias das intervenções necessárias</w:t>
      </w: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3693"/>
        <w:gridCol w:w="3969"/>
      </w:tblGrid>
      <w:tr w:rsidR="0003617F" w:rsidRPr="00382663" w14:paraId="4EAC1184" w14:textId="77777777" w:rsidTr="004B322D">
        <w:trPr>
          <w:trHeight w:val="555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33890743" w14:textId="77777777" w:rsidR="0003617F" w:rsidRPr="00382663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Categoria</w:t>
            </w:r>
          </w:p>
        </w:tc>
        <w:tc>
          <w:tcPr>
            <w:tcW w:w="3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2AE8648A" w14:textId="77777777" w:rsidR="0003617F" w:rsidRPr="00382663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Descrição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3065DBC0" w14:textId="77777777" w:rsidR="0003617F" w:rsidRPr="00382663" w:rsidRDefault="0003617F" w:rsidP="004B322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Exemplos/Aplicações</w:t>
            </w:r>
          </w:p>
        </w:tc>
      </w:tr>
      <w:tr w:rsidR="0003617F" w:rsidRPr="00382663" w14:paraId="5C3EADCE" w14:textId="77777777" w:rsidTr="004B322D">
        <w:trPr>
          <w:trHeight w:val="61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8DAB5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Políticas</w:t>
            </w:r>
          </w:p>
        </w:tc>
        <w:tc>
          <w:tcPr>
            <w:tcW w:w="3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B1EDB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Medidas legislativas e institucionais voltadas à inclusão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B8DE0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Políticas ativas de mercado; apoio a famílias com TEA</w:t>
            </w:r>
          </w:p>
        </w:tc>
      </w:tr>
      <w:tr w:rsidR="0003617F" w:rsidRPr="00382663" w14:paraId="3E590FB4" w14:textId="77777777" w:rsidTr="004B322D">
        <w:trPr>
          <w:trHeight w:val="846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E9319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Abordagens Centradas na Força</w:t>
            </w:r>
          </w:p>
        </w:tc>
        <w:tc>
          <w:tcPr>
            <w:tcW w:w="3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E0910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Foco nos talentos individuais e no potencial de contribuição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E82B5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Identificação de pontos fortes, autodescoberta, redução de estigma</w:t>
            </w:r>
          </w:p>
        </w:tc>
      </w:tr>
      <w:tr w:rsidR="0003617F" w:rsidRPr="00382663" w14:paraId="02FC5BCA" w14:textId="77777777" w:rsidTr="004B322D">
        <w:trPr>
          <w:trHeight w:val="702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C3DD6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1" w:name="_Hlk205047719"/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Acomodações e Adaptações</w:t>
            </w:r>
          </w:p>
        </w:tc>
        <w:tc>
          <w:tcPr>
            <w:tcW w:w="3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D2597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Ajustes ambientais, comunicacionais e procedimentais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7EC98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Trabalho remoto, comunicação indireta, mapas visuais, gamificação, intervenções sensoriais, atividades extracurriculares.</w:t>
            </w:r>
          </w:p>
        </w:tc>
      </w:tr>
      <w:bookmarkEnd w:id="1"/>
      <w:tr w:rsidR="0003617F" w:rsidRPr="00382663" w14:paraId="3DF17BF8" w14:textId="77777777" w:rsidTr="004B322D">
        <w:trPr>
          <w:trHeight w:val="698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9FC52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Treinamento e Educação</w:t>
            </w:r>
          </w:p>
        </w:tc>
        <w:tc>
          <w:tcPr>
            <w:tcW w:w="3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1A883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2" w:name="_Hlk205050070"/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Capacitação de pessoas </w:t>
            </w:r>
            <w:proofErr w:type="spellStart"/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neurodivergentes</w:t>
            </w:r>
            <w:proofErr w:type="spellEnd"/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e sensibilização de empregadores</w:t>
            </w:r>
            <w:bookmarkEnd w:id="2"/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A8873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Educação sobre TEA, programas vocacionais, treinamentos de gestores</w:t>
            </w:r>
          </w:p>
        </w:tc>
      </w:tr>
      <w:tr w:rsidR="0003617F" w:rsidRPr="00382663" w14:paraId="1CF6CC72" w14:textId="77777777" w:rsidTr="004B322D">
        <w:trPr>
          <w:trHeight w:val="694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DAAEA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3" w:name="_Hlk205061348"/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Mentoria e </w:t>
            </w:r>
            <w:r w:rsidRPr="00382663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Coaching</w:t>
            </w:r>
          </w:p>
        </w:tc>
        <w:tc>
          <w:tcPr>
            <w:tcW w:w="3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2BA56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Acompanhamento individual durante a inclusão no trabalho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33B4C" w14:textId="77777777" w:rsidR="0003617F" w:rsidRPr="00382663" w:rsidRDefault="0003617F" w:rsidP="004B322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8266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Buddy</w:t>
            </w:r>
            <w:r w:rsidRPr="003826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382663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feedback</w:t>
            </w:r>
            <w:r w:rsidRPr="003826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corretivo, apoio</w:t>
            </w:r>
            <w:r w:rsidRPr="0038266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na adaptação, Preparação para Entrevistas.</w:t>
            </w:r>
          </w:p>
        </w:tc>
      </w:tr>
    </w:tbl>
    <w:bookmarkEnd w:id="3"/>
    <w:p w14:paraId="430DF23A" w14:textId="77777777" w:rsidR="0003617F" w:rsidRPr="00382663" w:rsidRDefault="0003617F" w:rsidP="0003617F">
      <w:pPr>
        <w:jc w:val="center"/>
        <w:rPr>
          <w:rFonts w:ascii="Times New Roman" w:hAnsi="Times New Roman" w:cs="Times New Roman"/>
          <w:sz w:val="20"/>
          <w:szCs w:val="20"/>
        </w:rPr>
      </w:pPr>
      <w:r w:rsidRPr="00382663">
        <w:rPr>
          <w:rFonts w:ascii="Times New Roman" w:hAnsi="Times New Roman" w:cs="Times New Roman"/>
          <w:sz w:val="20"/>
          <w:szCs w:val="20"/>
        </w:rPr>
        <w:t>Fonte: Elaborado pelos autores (2025)</w:t>
      </w:r>
    </w:p>
    <w:p w14:paraId="0912797C" w14:textId="77777777" w:rsidR="0003617F" w:rsidRDefault="0003617F" w:rsidP="0003617F">
      <w:pPr>
        <w:jc w:val="center"/>
        <w:rPr>
          <w:rFonts w:ascii="Times New Roman" w:hAnsi="Times New Roman" w:cs="Times New Roman"/>
          <w:sz w:val="20"/>
        </w:rPr>
      </w:pPr>
    </w:p>
    <w:p w14:paraId="24CB386E" w14:textId="77777777" w:rsidR="0003617F" w:rsidRDefault="0003617F" w:rsidP="0003617F">
      <w:pPr>
        <w:jc w:val="center"/>
        <w:rPr>
          <w:rFonts w:ascii="Times New Roman" w:hAnsi="Times New Roman" w:cs="Times New Roman"/>
          <w:sz w:val="20"/>
        </w:rPr>
      </w:pPr>
    </w:p>
    <w:p w14:paraId="23409826" w14:textId="77777777" w:rsidR="0003617F" w:rsidRPr="009614AC" w:rsidRDefault="0003617F" w:rsidP="0003617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categorização em cinco eixos foi fruto da análise criteriosa dos estudos revisados, os quais indicaram a necessidade de ações encadeadas da seguinte forma: (1) implementação de </w:t>
      </w:r>
      <w:r w:rsidRPr="009614AC">
        <w:rPr>
          <w:rFonts w:ascii="Times New Roman" w:eastAsia="Times New Roman" w:hAnsi="Times New Roman" w:cs="Times New Roman"/>
          <w:bCs/>
          <w:sz w:val="24"/>
          <w:szCs w:val="24"/>
        </w:rPr>
        <w:t>políticas institucionais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 que consolidem o compromisso com a inclusão; (2) adoção de abordagens </w:t>
      </w:r>
      <w:r w:rsidRPr="009614AC">
        <w:rPr>
          <w:rFonts w:ascii="Times New Roman" w:eastAsia="Times New Roman" w:hAnsi="Times New Roman" w:cs="Times New Roman"/>
          <w:bCs/>
          <w:sz w:val="24"/>
          <w:szCs w:val="24"/>
        </w:rPr>
        <w:t>baseadas nas potencialidades individuais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, transformando competências e habilidades específicas em diferenciais competitivos; (3) realização de </w:t>
      </w:r>
      <w:r w:rsidRPr="009614AC">
        <w:rPr>
          <w:rFonts w:ascii="Times New Roman" w:eastAsia="Times New Roman" w:hAnsi="Times New Roman" w:cs="Times New Roman"/>
          <w:bCs/>
          <w:sz w:val="24"/>
          <w:szCs w:val="24"/>
        </w:rPr>
        <w:t>ajustes e adaptações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 que promovam acessibilidade efetiva, incluindo recursos tecnológicos (como leitores de tela), ajustes no ambiente físico (como iluminação adequada) e medidas sensoriais (como o uso de abafadores de som); (4) oferta de </w:t>
      </w:r>
      <w:r w:rsidRPr="009614AC">
        <w:rPr>
          <w:rFonts w:ascii="Times New Roman" w:eastAsia="Times New Roman" w:hAnsi="Times New Roman" w:cs="Times New Roman"/>
          <w:bCs/>
          <w:sz w:val="24"/>
          <w:szCs w:val="24"/>
        </w:rPr>
        <w:t>programas de capacitação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 voltados a recrutadores e gestores, com foco na eliminação de preconceitos e na aplicação de práticas inovadoras; e (5) desenvolvimento de </w:t>
      </w:r>
      <w:r w:rsidRPr="009614AC">
        <w:rPr>
          <w:rFonts w:ascii="Times New Roman" w:eastAsia="Times New Roman" w:hAnsi="Times New Roman" w:cs="Times New Roman"/>
          <w:bCs/>
          <w:sz w:val="24"/>
          <w:szCs w:val="24"/>
        </w:rPr>
        <w:t xml:space="preserve">ações de </w:t>
      </w:r>
      <w:r w:rsidRPr="009614AC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mentoria </w:t>
      </w:r>
      <w:r w:rsidRPr="009614AC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9614AC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coaching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>, a fim de fomentar o crescimento profissional contínuo por meio da colaboração entre profissionais experientes e iniciantes.</w:t>
      </w:r>
    </w:p>
    <w:p w14:paraId="0019A886" w14:textId="77777777" w:rsidR="0003617F" w:rsidRPr="009614AC" w:rsidRDefault="0003617F" w:rsidP="0003617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eastAsia="Times New Roman" w:hAnsi="Times New Roman" w:cs="Times New Roman"/>
          <w:sz w:val="24"/>
          <w:szCs w:val="24"/>
        </w:rPr>
        <w:t>O Diagrama 1 sintetiza visualmente o agrupamento de categorias proposto, ilustrando a relação sequencial e interdependência entre elas.</w:t>
      </w:r>
    </w:p>
    <w:p w14:paraId="5C282CAB" w14:textId="2D0D40E1" w:rsid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07EC4E9" wp14:editId="1785EC64">
            <wp:extent cx="5267325" cy="1885950"/>
            <wp:effectExtent l="19050" t="0" r="9525" b="0"/>
            <wp:docPr id="2" name="Imagem 1" descr="Dia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ia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F68BBB" w14:textId="77777777" w:rsidR="0003617F" w:rsidRPr="009614AC" w:rsidRDefault="0003617F" w:rsidP="0003617F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9614AC">
        <w:rPr>
          <w:rFonts w:ascii="Times New Roman" w:eastAsia="Times New Roman" w:hAnsi="Times New Roman" w:cs="Times New Roman"/>
          <w:bCs/>
          <w:sz w:val="20"/>
          <w:szCs w:val="20"/>
        </w:rPr>
        <w:t>Diagrama 1- Agrupamento de categorias</w:t>
      </w:r>
    </w:p>
    <w:p w14:paraId="7E5B5BC1" w14:textId="77777777" w:rsidR="0003617F" w:rsidRDefault="0003617F" w:rsidP="0003617F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D83093">
        <w:rPr>
          <w:rFonts w:ascii="Times New Roman" w:eastAsia="Times New Roman" w:hAnsi="Times New Roman" w:cs="Times New Roman"/>
          <w:sz w:val="20"/>
          <w:szCs w:val="20"/>
        </w:rPr>
        <w:t>Fonte: Elaboração pelos autores (2025)</w:t>
      </w:r>
    </w:p>
    <w:p w14:paraId="11DBF0D4" w14:textId="77777777" w:rsidR="0003617F" w:rsidRPr="00D83093" w:rsidRDefault="0003617F" w:rsidP="0003617F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B2B647" w14:textId="77777777" w:rsidR="0003617F" w:rsidRPr="0003617F" w:rsidRDefault="0003617F" w:rsidP="000361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A categoria 'Políticas' sintetiza estudos sobre a implementação de diretrizes inclusivas em instituições públicas e privadas, abrangendo tanto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neurodivergentes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quanto suas famílias. Conforme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Bunt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03617F">
        <w:rPr>
          <w:rStyle w:val="Forte"/>
          <w:rFonts w:ascii="Times New Roman" w:hAnsi="Times New Roman" w:cs="Times New Roman"/>
          <w:b w:val="0"/>
          <w:bCs w:val="0"/>
          <w:i/>
          <w:sz w:val="24"/>
          <w:szCs w:val="24"/>
          <w:shd w:val="clear" w:color="auto" w:fill="FFFFFF"/>
        </w:rPr>
        <w:t>et al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. (2020), embora leis de cotas existam em diversos países, muitas empresas preferem arcar com multas a efetivar contratações inclusivas.</w:t>
      </w:r>
    </w:p>
    <w:p w14:paraId="0C07A3A7" w14:textId="77777777" w:rsidR="0003617F" w:rsidRPr="0003617F" w:rsidRDefault="0003617F" w:rsidP="000361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Mallory (2024), ao investigar cuidadores de </w:t>
      </w:r>
      <w:proofErr w:type="spellStart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>neurodivergentes</w:t>
      </w:r>
      <w:proofErr w:type="spellEnd"/>
      <w:r w:rsidRPr="000361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Tailândia, corrobora esse cenário: 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apesar de uma legislação exigir 1% de contratações de pessoas com deficiência, evidências revelam que maioria das empresas preferiu pagar multas ao invés de cumprir a norma.</w:t>
      </w:r>
    </w:p>
    <w:p w14:paraId="1C1DF9B0" w14:textId="77777777" w:rsidR="0003617F" w:rsidRPr="0003617F" w:rsidRDefault="0003617F" w:rsidP="000361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lastRenderedPageBreak/>
        <w:t xml:space="preserve">Políticas públicas e corporativas frequentemente negligenciam especificidades do autismo, que é a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neurodivergência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mais estudada na literatura. O paradigma do “cidadão-trabalhador” impõe normas sociais incompatíveis com características do espectro autista</w:t>
      </w:r>
      <w:r w:rsidRPr="0003617F">
        <w:rPr>
          <w:rStyle w:val="Forte"/>
          <w:rFonts w:ascii="Segoe UI" w:hAnsi="Segoe UI" w:cs="Segoe UI"/>
          <w:b w:val="0"/>
          <w:bCs w:val="0"/>
          <w:shd w:val="clear" w:color="auto" w:fill="FFFFFF"/>
        </w:rPr>
        <w:t xml:space="preserve"> </w:t>
      </w:r>
      <w:r w:rsidRPr="0003617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03617F">
        <w:rPr>
          <w:rFonts w:ascii="Times New Roman" w:hAnsi="Times New Roman" w:cs="Times New Roman"/>
          <w:sz w:val="24"/>
          <w:szCs w:val="24"/>
        </w:rPr>
        <w:t>Bunt</w:t>
      </w:r>
      <w:proofErr w:type="spellEnd"/>
      <w:r w:rsidRPr="0003617F">
        <w:rPr>
          <w:rFonts w:ascii="Times New Roman" w:hAnsi="Times New Roman" w:cs="Times New Roman"/>
          <w:sz w:val="24"/>
          <w:szCs w:val="24"/>
        </w:rPr>
        <w:t xml:space="preserve"> </w:t>
      </w:r>
      <w:r w:rsidRPr="0003617F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03617F">
        <w:rPr>
          <w:rFonts w:ascii="Times New Roman" w:hAnsi="Times New Roman" w:cs="Times New Roman"/>
          <w:sz w:val="24"/>
          <w:szCs w:val="24"/>
        </w:rPr>
        <w:t xml:space="preserve">., 2020; Roux </w:t>
      </w:r>
      <w:r w:rsidRPr="0003617F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03617F">
        <w:rPr>
          <w:rFonts w:ascii="Times New Roman" w:hAnsi="Times New Roman" w:cs="Times New Roman"/>
          <w:sz w:val="24"/>
          <w:szCs w:val="24"/>
        </w:rPr>
        <w:t xml:space="preserve">., 2019; De </w:t>
      </w:r>
      <w:proofErr w:type="spellStart"/>
      <w:r w:rsidRPr="0003617F">
        <w:rPr>
          <w:rFonts w:ascii="Times New Roman" w:hAnsi="Times New Roman" w:cs="Times New Roman"/>
          <w:sz w:val="24"/>
          <w:szCs w:val="24"/>
        </w:rPr>
        <w:t>Vries</w:t>
      </w:r>
      <w:proofErr w:type="spellEnd"/>
      <w:r w:rsidRPr="0003617F">
        <w:rPr>
          <w:rFonts w:ascii="Times New Roman" w:hAnsi="Times New Roman" w:cs="Times New Roman"/>
          <w:sz w:val="24"/>
          <w:szCs w:val="24"/>
        </w:rPr>
        <w:t xml:space="preserve">, 2021). </w:t>
      </w:r>
    </w:p>
    <w:p w14:paraId="45009B5F" w14:textId="77777777" w:rsidR="0003617F" w:rsidRPr="009614AC" w:rsidRDefault="0003617F" w:rsidP="0003617F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17F">
        <w:rPr>
          <w:rStyle w:val="Forte"/>
          <w:rFonts w:ascii="Segoe UI" w:hAnsi="Segoe UI" w:cs="Segoe UI"/>
          <w:b w:val="0"/>
          <w:bCs w:val="0"/>
          <w:shd w:val="clear" w:color="auto" w:fill="FFFFFF"/>
        </w:rPr>
        <w:t xml:space="preserve"> </w:t>
      </w:r>
      <w:r w:rsidRPr="0003617F">
        <w:rPr>
          <w:rFonts w:ascii="Times New Roman" w:hAnsi="Times New Roman" w:cs="Times New Roman"/>
          <w:sz w:val="24"/>
          <w:szCs w:val="24"/>
        </w:rPr>
        <w:t xml:space="preserve">Roux </w:t>
      </w:r>
      <w:r w:rsidRPr="0003617F">
        <w:rPr>
          <w:rFonts w:ascii="Times New Roman" w:hAnsi="Times New Roman" w:cs="Times New Roman"/>
          <w:i/>
          <w:sz w:val="24"/>
          <w:szCs w:val="24"/>
        </w:rPr>
        <w:t>et al.</w:t>
      </w:r>
      <w:r w:rsidRPr="0003617F">
        <w:rPr>
          <w:rFonts w:ascii="Times New Roman" w:hAnsi="Times New Roman" w:cs="Times New Roman"/>
          <w:sz w:val="24"/>
          <w:szCs w:val="24"/>
        </w:rPr>
        <w:t xml:space="preserve"> (2019) observam que poucos planos consideram os desafios vocacionais impostos por condições de saúde mental </w:t>
      </w:r>
      <w:proofErr w:type="spellStart"/>
      <w:r w:rsidRPr="0003617F">
        <w:rPr>
          <w:rFonts w:ascii="Times New Roman" w:hAnsi="Times New Roman" w:cs="Times New Roman"/>
          <w:sz w:val="24"/>
          <w:szCs w:val="24"/>
        </w:rPr>
        <w:t>comórbidas</w:t>
      </w:r>
      <w:proofErr w:type="spellEnd"/>
      <w:r w:rsidRPr="0003617F">
        <w:rPr>
          <w:rFonts w:ascii="Times New Roman" w:hAnsi="Times New Roman" w:cs="Times New Roman"/>
          <w:sz w:val="24"/>
          <w:szCs w:val="24"/>
        </w:rPr>
        <w:t>, mais prevalentes do que deficiências visuais, por exemplo, em indivíduos autistas.</w:t>
      </w:r>
      <w:r w:rsidRPr="0003617F">
        <w:rPr>
          <w:rStyle w:val="Forte"/>
          <w:rFonts w:ascii="Segoe UI" w:hAnsi="Segoe UI" w:cs="Segoe UI"/>
          <w:b w:val="0"/>
          <w:bCs w:val="0"/>
          <w:shd w:val="clear" w:color="auto" w:fill="FFFFFF"/>
        </w:rPr>
        <w:t xml:space="preserve"> 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Essa lacuna transfere ao indivíduo o ônus</w:t>
      </w:r>
      <w:r w:rsidRPr="009614AC">
        <w:rPr>
          <w:rStyle w:val="Fort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adaptativo, em detrimento de transformações institucionais (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Tomczak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, Szulc e </w:t>
      </w:r>
      <w:proofErr w:type="spellStart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Szczerska</w:t>
      </w:r>
      <w:proofErr w:type="spellEnd"/>
      <w:r w:rsidRPr="0003617F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, 2021).</w:t>
      </w:r>
    </w:p>
    <w:p w14:paraId="43555B76" w14:textId="77777777" w:rsidR="0003617F" w:rsidRPr="009614AC" w:rsidRDefault="0003617F" w:rsidP="0003617F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Esse cenário apresenta desafios específicos para mulheres autistas de meia-idade, que, conforme </w:t>
      </w:r>
      <w:proofErr w:type="spellStart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Nikolova</w:t>
      </w:r>
      <w:proofErr w:type="spellEnd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-Fontaine e </w:t>
      </w:r>
      <w:proofErr w:type="spellStart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Egilson</w:t>
      </w:r>
      <w:proofErr w:type="spellEnd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(2023), enfrentam a inacessibilidade dos ambientes de trabalho e os julgamentos por comportamentos que divergem das normas sociais, situação frequentemente mitigada apenas após um diagnóstico tardio. Complementando essa perspectiva, </w:t>
      </w:r>
      <w:proofErr w:type="spellStart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Klag</w:t>
      </w:r>
      <w:proofErr w:type="spellEnd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614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et al.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(2021) argumentam que a efetiva inclusão de profissionais autistas excede a implementação de ações isoladas, demandando uma transformação estrutural que englobe: a revisão das atitudes sociais enraizadas e a reformulação das políticas institucionais </w:t>
      </w:r>
      <w:r w:rsidRPr="009614AC">
        <w:rPr>
          <w:rFonts w:ascii="Times New Roman" w:hAnsi="Times New Roman" w:cs="Times New Roman"/>
          <w:sz w:val="24"/>
          <w:szCs w:val="24"/>
        </w:rPr>
        <w:t>que, por vezes, perpetuam a exclusão.</w:t>
      </w:r>
    </w:p>
    <w:p w14:paraId="3CA29070" w14:textId="77777777" w:rsidR="0003617F" w:rsidRPr="009614AC" w:rsidRDefault="0003617F" w:rsidP="000361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14AC">
        <w:rPr>
          <w:rFonts w:ascii="Times New Roman" w:hAnsi="Times New Roman" w:cs="Times New Roman"/>
          <w:sz w:val="24"/>
          <w:szCs w:val="24"/>
        </w:rPr>
        <w:t xml:space="preserve">Na categoria "Abordagens Centradas na Força", o foco desloca-se para o reconhecimento dos talentos e potenciais individuais.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Kersten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9614AC">
        <w:rPr>
          <w:rFonts w:ascii="Times New Roman" w:hAnsi="Times New Roman" w:cs="Times New Roman"/>
          <w:sz w:val="24"/>
          <w:szCs w:val="24"/>
        </w:rPr>
        <w:t xml:space="preserve"> (2024) propõem uma abordagem de Gestão de Pessoas baseada em pontos fortes, analisando como as organizações identificam, utilizam e desenvolvem as habilidades específicas de pessoas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neurodivergentes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8BF8F8" w14:textId="77777777" w:rsidR="0003617F" w:rsidRPr="009614AC" w:rsidRDefault="0003617F" w:rsidP="000361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14AC">
        <w:rPr>
          <w:rFonts w:ascii="Times New Roman" w:hAnsi="Times New Roman" w:cs="Times New Roman"/>
          <w:sz w:val="24"/>
          <w:szCs w:val="24"/>
        </w:rPr>
        <w:t xml:space="preserve">A revisão sistemática de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Bury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9614AC">
        <w:rPr>
          <w:rFonts w:ascii="Times New Roman" w:hAnsi="Times New Roman" w:cs="Times New Roman"/>
          <w:sz w:val="24"/>
          <w:szCs w:val="24"/>
        </w:rPr>
        <w:t xml:space="preserve"> (2020) reforça essa proposta, demonstrando que pessoas autistas apresentam características como atenção a detalhes e tolerância a tarefas repetitivas, que podem ser vantajosas em determinadas funções.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Nouf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-Latif </w:t>
      </w:r>
      <w:r w:rsidRPr="008B4BF2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8B4BF2">
        <w:rPr>
          <w:rFonts w:ascii="Times New Roman" w:hAnsi="Times New Roman" w:cs="Times New Roman"/>
          <w:sz w:val="24"/>
          <w:szCs w:val="24"/>
        </w:rPr>
        <w:t>. (2019)</w:t>
      </w:r>
      <w:r w:rsidRPr="009614AC">
        <w:rPr>
          <w:rFonts w:ascii="Times New Roman" w:hAnsi="Times New Roman" w:cs="Times New Roman"/>
          <w:sz w:val="24"/>
          <w:szCs w:val="24"/>
        </w:rPr>
        <w:t xml:space="preserve"> observam que indivíduos com autismo de alto funcionamento expressam o desejo de serem vistos como recursos e de desenvolverem suas competências vocacionais. </w:t>
      </w:r>
    </w:p>
    <w:p w14:paraId="6BDB2B97" w14:textId="77777777" w:rsidR="0003617F" w:rsidRPr="009614AC" w:rsidRDefault="0003617F" w:rsidP="0003617F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4AC">
        <w:rPr>
          <w:rFonts w:ascii="Times New Roman" w:hAnsi="Times New Roman" w:cs="Times New Roman"/>
          <w:sz w:val="24"/>
          <w:szCs w:val="24"/>
        </w:rPr>
        <w:t>Ashworth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 (2023) destacam a rede </w:t>
      </w:r>
      <w:proofErr w:type="spellStart"/>
      <w:r w:rsidRPr="009614AC">
        <w:rPr>
          <w:rFonts w:ascii="Times New Roman" w:hAnsi="Times New Roman" w:cs="Times New Roman"/>
          <w:i/>
          <w:iCs/>
          <w:sz w:val="24"/>
          <w:szCs w:val="24"/>
        </w:rPr>
        <w:t>Employ</w:t>
      </w:r>
      <w:proofErr w:type="spellEnd"/>
      <w:r w:rsidRPr="009614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614AC">
        <w:rPr>
          <w:rFonts w:ascii="Times New Roman" w:hAnsi="Times New Roman" w:cs="Times New Roman"/>
          <w:i/>
          <w:iCs/>
          <w:sz w:val="24"/>
          <w:szCs w:val="24"/>
        </w:rPr>
        <w:t>Autism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como uma iniciativa voltada ao apoio baseado em pontos fortes, sem uso de intervenções comportamentais, tanto para estagiários quanto para empregadores. Reforçando a importância de intervenções como essa, outros autores ainda abordam sobre a necessidade de: (1) valorizar os pontos fortes de pessoas atípicas (Mallory, 2024;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Nikolova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-Fontaine;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Egilson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>, 2023); (2) fomentar a autodescoberta (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Diener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., 2020;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Nouf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-Latif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>., 2019); e (3) reduzir o estigma social (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Ashworth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., </w:t>
      </w:r>
      <w:r w:rsidRPr="009614AC">
        <w:rPr>
          <w:rFonts w:ascii="Times New Roman" w:hAnsi="Times New Roman" w:cs="Times New Roman"/>
          <w:sz w:val="24"/>
          <w:szCs w:val="24"/>
        </w:rPr>
        <w:lastRenderedPageBreak/>
        <w:t xml:space="preserve">2023; Cage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., 2024;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Kersten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., 2024;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Norstedt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, 2019;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Lomotey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., 2024;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Klag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., 2021;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Bunt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>., 2020).</w:t>
      </w:r>
    </w:p>
    <w:p w14:paraId="52243677" w14:textId="77777777" w:rsidR="0003617F" w:rsidRPr="009614AC" w:rsidRDefault="0003617F" w:rsidP="0003617F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14AC">
        <w:rPr>
          <w:rFonts w:ascii="Times New Roman" w:hAnsi="Times New Roman" w:cs="Times New Roman"/>
          <w:sz w:val="24"/>
          <w:szCs w:val="24"/>
        </w:rPr>
        <w:t xml:space="preserve">A terceira categoria, "Acomodações e Adaptações", refere-se a ajustes nos ambientes, formas de comunicação e rotinas de trabalho. O trabalho remoto surge como uma alternativa relevante: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Lomotey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9614AC">
        <w:rPr>
          <w:rFonts w:ascii="Times New Roman" w:hAnsi="Times New Roman" w:cs="Times New Roman"/>
          <w:sz w:val="24"/>
          <w:szCs w:val="24"/>
        </w:rPr>
        <w:t xml:space="preserve"> (2025) apontam sua utilidade para indivíduos com TDAH que buscam equilíbrio entre vida pessoal e profissional;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Diener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>. (2020) destacam o trabalho em casa como uma forma de acomodação que favorece o “ajuste” para adultos com TEA.</w:t>
      </w:r>
    </w:p>
    <w:p w14:paraId="524A61C0" w14:textId="77777777" w:rsidR="0003617F" w:rsidRPr="009614AC" w:rsidRDefault="0003617F" w:rsidP="0003617F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Tomczak</w:t>
      </w:r>
      <w:proofErr w:type="spellEnd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614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et al.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(2021) demonstram que, para indivíduos com TEA, a comunicação mediada por meios eletrônicos (e-mails, mensagens e plataformas </w:t>
      </w:r>
      <w:r w:rsidRPr="009614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online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) reduz significativamente o estresse e melhora a interação profissional, além de recomendarem a complementação sistemática de instruções verbais com versões escritas para garantir compreensão e acesso contínuo à informação.</w:t>
      </w:r>
    </w:p>
    <w:p w14:paraId="0A94D985" w14:textId="77777777" w:rsidR="0003617F" w:rsidRPr="00FA5A3D" w:rsidRDefault="0003617F" w:rsidP="0003617F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5A3D">
        <w:rPr>
          <w:rFonts w:ascii="Times New Roman" w:hAnsi="Times New Roman" w:cs="Times New Roman"/>
          <w:sz w:val="24"/>
          <w:szCs w:val="24"/>
        </w:rPr>
        <w:t>Diener</w:t>
      </w:r>
      <w:proofErr w:type="spellEnd"/>
      <w:r w:rsidRPr="00FA5A3D">
        <w:rPr>
          <w:rFonts w:ascii="Times New Roman" w:hAnsi="Times New Roman" w:cs="Times New Roman"/>
          <w:sz w:val="24"/>
          <w:szCs w:val="24"/>
        </w:rPr>
        <w:t xml:space="preserve"> </w:t>
      </w:r>
      <w:r w:rsidRPr="002256AE">
        <w:rPr>
          <w:rFonts w:ascii="Times New Roman" w:hAnsi="Times New Roman" w:cs="Times New Roman"/>
          <w:i/>
          <w:sz w:val="24"/>
          <w:szCs w:val="24"/>
        </w:rPr>
        <w:t>et al.</w:t>
      </w:r>
      <w:r w:rsidRPr="00FA5A3D">
        <w:rPr>
          <w:rFonts w:ascii="Times New Roman" w:hAnsi="Times New Roman" w:cs="Times New Roman"/>
          <w:sz w:val="24"/>
          <w:szCs w:val="24"/>
        </w:rPr>
        <w:t xml:space="preserve"> (2020) reforçam a necessidade de clareza comunicacional e da validação do entendimento da mensagem. Mapas visuais são apontados como recursos eficazes por </w:t>
      </w:r>
      <w:proofErr w:type="spellStart"/>
      <w:r w:rsidRPr="00FA5A3D">
        <w:rPr>
          <w:rFonts w:ascii="Times New Roman" w:hAnsi="Times New Roman" w:cs="Times New Roman"/>
          <w:sz w:val="24"/>
          <w:szCs w:val="24"/>
        </w:rPr>
        <w:t>Tomczak</w:t>
      </w:r>
      <w:proofErr w:type="spellEnd"/>
      <w:r w:rsidRPr="00FA5A3D">
        <w:rPr>
          <w:rFonts w:ascii="Times New Roman" w:hAnsi="Times New Roman" w:cs="Times New Roman"/>
          <w:sz w:val="24"/>
          <w:szCs w:val="24"/>
        </w:rPr>
        <w:t xml:space="preserve"> </w:t>
      </w:r>
      <w:r w:rsidRPr="00FA5A3D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FA5A3D">
        <w:rPr>
          <w:rFonts w:ascii="Times New Roman" w:hAnsi="Times New Roman" w:cs="Times New Roman"/>
          <w:sz w:val="24"/>
          <w:szCs w:val="24"/>
        </w:rPr>
        <w:t xml:space="preserve"> (2021) e </w:t>
      </w:r>
      <w:proofErr w:type="spellStart"/>
      <w:r w:rsidRPr="00FA5A3D">
        <w:rPr>
          <w:rFonts w:ascii="Times New Roman" w:hAnsi="Times New Roman" w:cs="Times New Roman"/>
          <w:sz w:val="24"/>
          <w:szCs w:val="24"/>
        </w:rPr>
        <w:t>Diener</w:t>
      </w:r>
      <w:proofErr w:type="spellEnd"/>
      <w:r w:rsidRPr="00FA5A3D">
        <w:rPr>
          <w:rFonts w:ascii="Times New Roman" w:hAnsi="Times New Roman" w:cs="Times New Roman"/>
          <w:sz w:val="24"/>
          <w:szCs w:val="24"/>
        </w:rPr>
        <w:t xml:space="preserve"> </w:t>
      </w:r>
      <w:r w:rsidRPr="00FA5A3D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FA5A3D">
        <w:rPr>
          <w:rFonts w:ascii="Times New Roman" w:hAnsi="Times New Roman" w:cs="Times New Roman"/>
          <w:sz w:val="24"/>
          <w:szCs w:val="24"/>
        </w:rPr>
        <w:t xml:space="preserve"> (2020), assim como testes práticos e abordagens gamificadas em processos seletivos.</w:t>
      </w:r>
    </w:p>
    <w:p w14:paraId="0B6983D5" w14:textId="77777777" w:rsidR="0003617F" w:rsidRPr="009614AC" w:rsidRDefault="0003617F" w:rsidP="000361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5A3D">
        <w:rPr>
          <w:rFonts w:ascii="Times New Roman" w:hAnsi="Times New Roman" w:cs="Times New Roman"/>
          <w:sz w:val="24"/>
          <w:szCs w:val="24"/>
        </w:rPr>
        <w:t xml:space="preserve">No campo das adaptações sensoriais, De </w:t>
      </w:r>
      <w:proofErr w:type="spellStart"/>
      <w:r w:rsidRPr="00FA5A3D">
        <w:rPr>
          <w:rFonts w:ascii="Times New Roman" w:hAnsi="Times New Roman" w:cs="Times New Roman"/>
          <w:sz w:val="24"/>
          <w:szCs w:val="24"/>
        </w:rPr>
        <w:t>Vries</w:t>
      </w:r>
      <w:proofErr w:type="spellEnd"/>
      <w:r w:rsidRPr="00FA5A3D">
        <w:rPr>
          <w:rFonts w:ascii="Times New Roman" w:hAnsi="Times New Roman" w:cs="Times New Roman"/>
          <w:sz w:val="24"/>
          <w:szCs w:val="24"/>
        </w:rPr>
        <w:t xml:space="preserve"> (2021</w:t>
      </w:r>
      <w:r w:rsidRPr="009614AC">
        <w:rPr>
          <w:rFonts w:ascii="Times New Roman" w:hAnsi="Times New Roman" w:cs="Times New Roman"/>
          <w:sz w:val="24"/>
          <w:szCs w:val="24"/>
        </w:rPr>
        <w:t xml:space="preserve">) 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aborda as adaptações sensoriais necessárias em ambientes de trabalho, defendendo tanto os direitos quanto as práticas recomendadas para acomodar a hipersensibilidade autista, incluindo: substituição de iluminação fluorescente por LED, uso de paleta de cores neutras, controle de ruídos ambientais e provisionamento de espaços tranquilos para regulação sensorial (</w:t>
      </w:r>
      <w:r w:rsidRPr="009614AC">
        <w:rPr>
          <w:rFonts w:ascii="Times New Roman" w:hAnsi="Times New Roman" w:cs="Times New Roman"/>
          <w:sz w:val="24"/>
          <w:szCs w:val="24"/>
        </w:rPr>
        <w:t xml:space="preserve">“zonas de tranquilidade”). </w:t>
      </w:r>
    </w:p>
    <w:p w14:paraId="69F344EA" w14:textId="77777777" w:rsidR="0003617F" w:rsidRPr="00BE59D6" w:rsidRDefault="0003617F" w:rsidP="000361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4AC">
        <w:rPr>
          <w:rFonts w:ascii="Times New Roman" w:hAnsi="Times New Roman" w:cs="Times New Roman"/>
          <w:sz w:val="24"/>
          <w:szCs w:val="24"/>
        </w:rPr>
        <w:t>Diener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9614AC">
        <w:rPr>
          <w:rFonts w:ascii="Times New Roman" w:hAnsi="Times New Roman" w:cs="Times New Roman"/>
          <w:sz w:val="24"/>
          <w:szCs w:val="24"/>
        </w:rPr>
        <w:t xml:space="preserve"> (2020) também sugerem o uso de fones de ouvido e espaços silenciosos como medidas eficazes.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Kersten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>. (2024) ampliam essa perspectiva ao sugerirem</w:t>
      </w:r>
      <w:r w:rsidRPr="00FA5A3D">
        <w:rPr>
          <w:rFonts w:ascii="Times New Roman" w:hAnsi="Times New Roman" w:cs="Times New Roman"/>
          <w:sz w:val="24"/>
          <w:szCs w:val="24"/>
        </w:rPr>
        <w:t xml:space="preserve"> o uso de softwares especializados e rearranjos no layout físico dos escritórios para acomodar diferentes necessidades.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5A3D">
        <w:rPr>
          <w:rFonts w:ascii="Times New Roman" w:hAnsi="Times New Roman" w:cs="Times New Roman"/>
          <w:sz w:val="24"/>
          <w:szCs w:val="24"/>
        </w:rPr>
        <w:t>Bury</w:t>
      </w:r>
      <w:proofErr w:type="spellEnd"/>
      <w:r w:rsidRPr="00FA5A3D">
        <w:rPr>
          <w:rFonts w:ascii="Times New Roman" w:hAnsi="Times New Roman" w:cs="Times New Roman"/>
          <w:sz w:val="24"/>
          <w:szCs w:val="24"/>
        </w:rPr>
        <w:t xml:space="preserve"> </w:t>
      </w:r>
      <w:r w:rsidRPr="00FA5A3D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FA5A3D">
        <w:rPr>
          <w:rFonts w:ascii="Times New Roman" w:hAnsi="Times New Roman" w:cs="Times New Roman"/>
          <w:sz w:val="24"/>
          <w:szCs w:val="24"/>
        </w:rPr>
        <w:t xml:space="preserve"> (2020) destacam que a hiper ou </w:t>
      </w:r>
      <w:proofErr w:type="spellStart"/>
      <w:r w:rsidRPr="00FA5A3D">
        <w:rPr>
          <w:rFonts w:ascii="Times New Roman" w:hAnsi="Times New Roman" w:cs="Times New Roman"/>
          <w:sz w:val="24"/>
          <w:szCs w:val="24"/>
        </w:rPr>
        <w:t>hipo-reatividade</w:t>
      </w:r>
      <w:proofErr w:type="spellEnd"/>
      <w:r w:rsidRPr="00FA5A3D">
        <w:rPr>
          <w:rFonts w:ascii="Times New Roman" w:hAnsi="Times New Roman" w:cs="Times New Roman"/>
          <w:sz w:val="24"/>
          <w:szCs w:val="24"/>
        </w:rPr>
        <w:t xml:space="preserve"> sensorial, componente dos Comportamentos Restritos e Repetitivos (</w:t>
      </w:r>
      <w:r w:rsidRPr="00BE59D6">
        <w:rPr>
          <w:rFonts w:ascii="Times New Roman" w:hAnsi="Times New Roman" w:cs="Times New Roman"/>
          <w:sz w:val="24"/>
          <w:szCs w:val="24"/>
        </w:rPr>
        <w:t>CRR</w:t>
      </w:r>
      <w:r w:rsidRPr="00FA5A3D">
        <w:rPr>
          <w:rFonts w:ascii="Times New Roman" w:hAnsi="Times New Roman" w:cs="Times New Roman"/>
          <w:sz w:val="24"/>
          <w:szCs w:val="24"/>
        </w:rPr>
        <w:t xml:space="preserve">), afeta significativamente o funcionamento diário. </w:t>
      </w:r>
    </w:p>
    <w:p w14:paraId="34A7AA3D" w14:textId="77777777" w:rsidR="0003617F" w:rsidRPr="00BE59D6" w:rsidRDefault="0003617F" w:rsidP="0003617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E59D6">
        <w:rPr>
          <w:rFonts w:ascii="Times New Roman" w:hAnsi="Times New Roman" w:cs="Times New Roman"/>
          <w:sz w:val="24"/>
          <w:szCs w:val="24"/>
        </w:rPr>
        <w:t>Partindo para as atividades extracurriculares, embora não seja um "ajuste ambiental" no local de trabalho, sugere-se o uso de atividades fora do currículo principal para o desenvolvimento de habilidades e exploração vocacional (</w:t>
      </w:r>
      <w:proofErr w:type="spellStart"/>
      <w:r w:rsidRPr="00BE59D6">
        <w:rPr>
          <w:rFonts w:ascii="Times New Roman" w:hAnsi="Times New Roman" w:cs="Times New Roman"/>
          <w:sz w:val="24"/>
          <w:szCs w:val="24"/>
        </w:rPr>
        <w:t>Diener</w:t>
      </w:r>
      <w:proofErr w:type="spellEnd"/>
      <w:r w:rsidRPr="00BE59D6">
        <w:rPr>
          <w:rFonts w:ascii="Times New Roman" w:hAnsi="Times New Roman" w:cs="Times New Roman"/>
          <w:sz w:val="24"/>
          <w:szCs w:val="24"/>
        </w:rPr>
        <w:t xml:space="preserve"> </w:t>
      </w:r>
      <w:r w:rsidRPr="00BE59D6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BE59D6">
        <w:rPr>
          <w:rFonts w:ascii="Times New Roman" w:hAnsi="Times New Roman" w:cs="Times New Roman"/>
          <w:sz w:val="24"/>
          <w:szCs w:val="24"/>
        </w:rPr>
        <w:t xml:space="preserve">., 2020; </w:t>
      </w:r>
      <w:proofErr w:type="spellStart"/>
      <w:r w:rsidRPr="00BE59D6">
        <w:rPr>
          <w:rFonts w:ascii="Times New Roman" w:hAnsi="Times New Roman" w:cs="Times New Roman"/>
          <w:sz w:val="24"/>
          <w:szCs w:val="24"/>
        </w:rPr>
        <w:t>Dvir</w:t>
      </w:r>
      <w:proofErr w:type="spellEnd"/>
      <w:r w:rsidRPr="00BE59D6">
        <w:rPr>
          <w:rFonts w:ascii="Times New Roman" w:hAnsi="Times New Roman" w:cs="Times New Roman"/>
          <w:sz w:val="24"/>
          <w:szCs w:val="24"/>
        </w:rPr>
        <w:t xml:space="preserve"> </w:t>
      </w:r>
      <w:r w:rsidRPr="00BE59D6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BE59D6">
        <w:rPr>
          <w:rFonts w:ascii="Times New Roman" w:hAnsi="Times New Roman" w:cs="Times New Roman"/>
          <w:sz w:val="24"/>
          <w:szCs w:val="24"/>
        </w:rPr>
        <w:t xml:space="preserve">., 2024; </w:t>
      </w:r>
      <w:proofErr w:type="spellStart"/>
      <w:r w:rsidRPr="00BE59D6">
        <w:rPr>
          <w:rFonts w:ascii="Times New Roman" w:hAnsi="Times New Roman" w:cs="Times New Roman"/>
          <w:sz w:val="24"/>
          <w:szCs w:val="24"/>
        </w:rPr>
        <w:t>Raj</w:t>
      </w:r>
      <w:proofErr w:type="spellEnd"/>
      <w:r w:rsidRPr="00BE59D6">
        <w:rPr>
          <w:rFonts w:ascii="Times New Roman" w:hAnsi="Times New Roman" w:cs="Times New Roman"/>
          <w:sz w:val="24"/>
          <w:szCs w:val="24"/>
        </w:rPr>
        <w:t xml:space="preserve"> </w:t>
      </w:r>
      <w:r w:rsidRPr="00BE59D6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BE59D6">
        <w:rPr>
          <w:rFonts w:ascii="Times New Roman" w:hAnsi="Times New Roman" w:cs="Times New Roman"/>
          <w:sz w:val="24"/>
          <w:szCs w:val="24"/>
        </w:rPr>
        <w:t>., 2025).</w:t>
      </w:r>
    </w:p>
    <w:p w14:paraId="1F3AA8D9" w14:textId="77777777" w:rsidR="0003617F" w:rsidRPr="009614AC" w:rsidRDefault="0003617F" w:rsidP="0003617F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14AC">
        <w:rPr>
          <w:rFonts w:ascii="Times New Roman" w:hAnsi="Times New Roman" w:cs="Times New Roman"/>
          <w:sz w:val="24"/>
          <w:szCs w:val="24"/>
        </w:rPr>
        <w:lastRenderedPageBreak/>
        <w:t xml:space="preserve">A quarta categoria, "Treinamento e Educação", integra iniciativas de capacitação para pessoas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neurodivergentes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e ações de sensibilização voltadas a gestores e equipes. Griffiths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9614AC">
        <w:rPr>
          <w:rFonts w:ascii="Times New Roman" w:hAnsi="Times New Roman" w:cs="Times New Roman"/>
          <w:sz w:val="24"/>
          <w:szCs w:val="24"/>
        </w:rPr>
        <w:t xml:space="preserve"> (2020) e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Diener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9614AC">
        <w:rPr>
          <w:rFonts w:ascii="Times New Roman" w:hAnsi="Times New Roman" w:cs="Times New Roman"/>
          <w:sz w:val="24"/>
          <w:szCs w:val="24"/>
        </w:rPr>
        <w:t xml:space="preserve"> (2020) enfatizam o papel do conhecimento sobre TEA na empregabilidade. Estudos recentes (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Tomczak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 , 2021;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Kersten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., 2024; Mansour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., 2024) demonstram que programas customizados de sensibilização reduzem estereótipos e valorizam habilidades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neurodiversas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6C59A3" w14:textId="77777777" w:rsidR="0003617F" w:rsidRPr="009614AC" w:rsidRDefault="0003617F" w:rsidP="0003617F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4AC">
        <w:rPr>
          <w:rFonts w:ascii="Times New Roman" w:hAnsi="Times New Roman" w:cs="Times New Roman"/>
          <w:sz w:val="24"/>
          <w:szCs w:val="24"/>
        </w:rPr>
        <w:t>Zwicker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Zaresani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e Emery (2017) evidenciam a eficácia da reabilitação vocacional, que combina capacitação profissional com adaptações laborais, como estratégia facilitadora para a inclusão de indivíduos com TEA e paralisia cerebral, enquanto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Nouf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-Latif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>. (2019) propõem um modelo tripartite de formação profissional, estruturado em: (1) preparação educacional, (2) acompanhamento individualizado, e (3) estágio supervisionado.</w:t>
      </w:r>
    </w:p>
    <w:p w14:paraId="5FB77CA8" w14:textId="77777777" w:rsidR="0003617F" w:rsidRPr="009614AC" w:rsidRDefault="0003617F" w:rsidP="0003617F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4AC">
        <w:rPr>
          <w:rFonts w:ascii="Times New Roman" w:hAnsi="Times New Roman" w:cs="Times New Roman"/>
          <w:sz w:val="24"/>
          <w:szCs w:val="24"/>
        </w:rPr>
        <w:t>Ashworth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9614AC">
        <w:rPr>
          <w:rFonts w:ascii="Times New Roman" w:hAnsi="Times New Roman" w:cs="Times New Roman"/>
          <w:sz w:val="24"/>
          <w:szCs w:val="24"/>
        </w:rPr>
        <w:t xml:space="preserve"> (2024) analisam iniciativas inovadoras de inclusão laboral, destacando: (a) o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Project Search Plus</w:t>
      </w:r>
      <w:r w:rsidRPr="009614AC">
        <w:rPr>
          <w:rFonts w:ascii="Times New Roman" w:hAnsi="Times New Roman" w:cs="Times New Roman"/>
          <w:sz w:val="24"/>
          <w:szCs w:val="24"/>
        </w:rPr>
        <w:t xml:space="preserve"> e o programa TEACCH, que promovem experiências de trabalho aliadas a instrução formal e </w:t>
      </w:r>
      <w:r w:rsidRPr="009614AC">
        <w:rPr>
          <w:rFonts w:ascii="Times New Roman" w:hAnsi="Times New Roman" w:cs="Times New Roman"/>
          <w:i/>
          <w:sz w:val="24"/>
          <w:szCs w:val="24"/>
        </w:rPr>
        <w:t xml:space="preserve">coaching </w:t>
      </w:r>
      <w:r w:rsidRPr="009614AC">
        <w:rPr>
          <w:rFonts w:ascii="Times New Roman" w:hAnsi="Times New Roman" w:cs="Times New Roman"/>
          <w:sz w:val="24"/>
          <w:szCs w:val="24"/>
        </w:rPr>
        <w:t xml:space="preserve">personalizado; (b) a rede </w:t>
      </w:r>
      <w:proofErr w:type="spellStart"/>
      <w:r w:rsidRPr="009614AC">
        <w:rPr>
          <w:rFonts w:ascii="Times New Roman" w:hAnsi="Times New Roman" w:cs="Times New Roman"/>
          <w:i/>
          <w:iCs/>
          <w:sz w:val="24"/>
          <w:szCs w:val="24"/>
        </w:rPr>
        <w:t>Employ</w:t>
      </w:r>
      <w:proofErr w:type="spellEnd"/>
      <w:r w:rsidRPr="009614A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614AC">
        <w:rPr>
          <w:rFonts w:ascii="Times New Roman" w:hAnsi="Times New Roman" w:cs="Times New Roman"/>
          <w:i/>
          <w:iCs/>
          <w:sz w:val="24"/>
          <w:szCs w:val="24"/>
        </w:rPr>
        <w:t>Autism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que promove de experiências remuneradas ancoradas em pontos fortes.</w:t>
      </w:r>
    </w:p>
    <w:p w14:paraId="1D362CF3" w14:textId="77777777" w:rsidR="0003617F" w:rsidRPr="009614AC" w:rsidRDefault="0003617F" w:rsidP="0003617F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614AC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9614AC">
        <w:rPr>
          <w:rFonts w:ascii="Times New Roman" w:hAnsi="Times New Roman" w:cs="Times New Roman"/>
          <w:sz w:val="24"/>
          <w:szCs w:val="24"/>
        </w:rPr>
        <w:t xml:space="preserve"> (2017) e Bross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 (2021) demonstram a eficácia da Modelagem em Vídeo (MV) 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como Prática Baseada em Evidências (PBE) para o desenvolvimento de competências profissionais, destacando suas vantagens econômicas e capacidade de promover autonomia quando comparada a métodos tradicionais dependentes de acompanhamento contínuo por </w:t>
      </w:r>
      <w:proofErr w:type="spellStart"/>
      <w:r w:rsidRPr="009614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job</w:t>
      </w:r>
      <w:proofErr w:type="spellEnd"/>
      <w:r w:rsidRPr="009614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9614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coaches</w:t>
      </w:r>
      <w:proofErr w:type="spellEnd"/>
      <w:r w:rsidRPr="009614AC">
        <w:rPr>
          <w:rFonts w:ascii="Segoe UI" w:hAnsi="Segoe UI" w:cs="Segoe UI"/>
          <w:i/>
          <w:shd w:val="clear" w:color="auto" w:fill="FFFFFF"/>
        </w:rPr>
        <w:t>.</w:t>
      </w:r>
      <w:r w:rsidRPr="009614AC">
        <w:rPr>
          <w:rFonts w:ascii="Segoe UI" w:hAnsi="Segoe UI" w:cs="Segoe UI"/>
          <w:shd w:val="clear" w:color="auto" w:fill="FFFFFF"/>
        </w:rPr>
        <w:t xml:space="preserve"> </w:t>
      </w:r>
      <w:r w:rsidRPr="009614AC">
        <w:rPr>
          <w:rFonts w:ascii="Times New Roman" w:hAnsi="Times New Roman" w:cs="Times New Roman"/>
          <w:sz w:val="24"/>
          <w:szCs w:val="24"/>
        </w:rPr>
        <w:t xml:space="preserve">Smith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 (2024) desenvolveram uma plataforma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online</w:t>
      </w:r>
      <w:r w:rsidRPr="009614AC">
        <w:rPr>
          <w:rFonts w:ascii="Times New Roman" w:hAnsi="Times New Roman" w:cs="Times New Roman"/>
          <w:sz w:val="24"/>
          <w:szCs w:val="24"/>
        </w:rPr>
        <w:t xml:space="preserve"> de preparação para entrevistas que combina módulos de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e-learning</w:t>
      </w:r>
      <w:r w:rsidRPr="009614AC">
        <w:rPr>
          <w:rFonts w:ascii="Times New Roman" w:hAnsi="Times New Roman" w:cs="Times New Roman"/>
          <w:sz w:val="24"/>
          <w:szCs w:val="24"/>
        </w:rPr>
        <w:t xml:space="preserve"> com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feedback</w:t>
      </w:r>
      <w:r w:rsidRPr="009614AC">
        <w:rPr>
          <w:rFonts w:ascii="Times New Roman" w:hAnsi="Times New Roman" w:cs="Times New Roman"/>
          <w:sz w:val="24"/>
          <w:szCs w:val="24"/>
        </w:rPr>
        <w:t xml:space="preserve"> automatizado, obtendo resultados significativos na redução de ansiedade e na melhoria do desempenho de jovens adultos com autismo em processos seletivos.</w:t>
      </w:r>
    </w:p>
    <w:p w14:paraId="426719AE" w14:textId="77777777" w:rsidR="0003617F" w:rsidRPr="009614AC" w:rsidRDefault="0003617F" w:rsidP="0003617F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14AC">
        <w:rPr>
          <w:rFonts w:ascii="Times New Roman" w:hAnsi="Times New Roman" w:cs="Times New Roman"/>
          <w:sz w:val="24"/>
          <w:szCs w:val="24"/>
        </w:rPr>
        <w:t xml:space="preserve">A quinta categoria, "Mentoria e </w:t>
      </w:r>
      <w:r w:rsidRPr="009614AC">
        <w:rPr>
          <w:rFonts w:ascii="Times New Roman" w:hAnsi="Times New Roman" w:cs="Times New Roman"/>
          <w:i/>
          <w:sz w:val="24"/>
          <w:szCs w:val="24"/>
        </w:rPr>
        <w:t>Coaching</w:t>
      </w:r>
      <w:r w:rsidRPr="009614AC">
        <w:rPr>
          <w:rFonts w:ascii="Times New Roman" w:hAnsi="Times New Roman" w:cs="Times New Roman"/>
          <w:sz w:val="24"/>
          <w:szCs w:val="24"/>
        </w:rPr>
        <w:t xml:space="preserve">", foca no suporte individualizado à inclusão.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Diener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 (2020) demonstram que o acompanhamento por especialistas oferece duplo benefício: (a) assegura conformidade legal às organizações e (b) amplia a compreensão empregatícia sobre necessidades de adaptação. Complementando esses achados,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Tomczak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 (2021) evidenciam o impacto positivo de programas de mentoria (com </w:t>
      </w:r>
      <w:proofErr w:type="spellStart"/>
      <w:r w:rsidRPr="009614AC">
        <w:rPr>
          <w:rFonts w:ascii="Times New Roman" w:hAnsi="Times New Roman" w:cs="Times New Roman"/>
          <w:i/>
          <w:iCs/>
          <w:sz w:val="24"/>
          <w:szCs w:val="24"/>
        </w:rPr>
        <w:t>buddies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ou pares experientes) no bem-estar e adaptação de profissionais autistas, enquanto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Diener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., (2020) acrescentam que 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essa mediação especializada melhora a dinâmica coletiva ao promover 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entendimento sobre o espectro autista, reduzindo conflitos interpessoais e aprimorando a comunicação no ambiente de trabalho</w:t>
      </w:r>
      <w:r w:rsidRPr="009614AC">
        <w:rPr>
          <w:rFonts w:ascii="Times New Roman" w:hAnsi="Times New Roman" w:cs="Times New Roman"/>
          <w:sz w:val="24"/>
          <w:szCs w:val="24"/>
        </w:rPr>
        <w:t>.</w:t>
      </w:r>
    </w:p>
    <w:p w14:paraId="0850F2EB" w14:textId="77777777" w:rsidR="0003617F" w:rsidRPr="009614AC" w:rsidRDefault="0003617F" w:rsidP="0003617F">
      <w:pPr>
        <w:spacing w:after="16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9614AC">
        <w:rPr>
          <w:rFonts w:ascii="Times New Roman" w:hAnsi="Times New Roman" w:cs="Times New Roman"/>
          <w:sz w:val="24"/>
          <w:szCs w:val="24"/>
        </w:rPr>
        <w:t xml:space="preserve"> (2017) investigaram a eficácia da combinação entre Modelagem em Vídeo e </w:t>
      </w:r>
      <w:r w:rsidRPr="009614AC">
        <w:rPr>
          <w:rFonts w:ascii="Times New Roman" w:hAnsi="Times New Roman" w:cs="Times New Roman"/>
          <w:i/>
          <w:sz w:val="24"/>
          <w:szCs w:val="24"/>
        </w:rPr>
        <w:t>Feedback</w:t>
      </w:r>
      <w:r w:rsidRPr="009614AC">
        <w:rPr>
          <w:rFonts w:ascii="Times New Roman" w:hAnsi="Times New Roman" w:cs="Times New Roman"/>
          <w:sz w:val="24"/>
          <w:szCs w:val="24"/>
        </w:rPr>
        <w:t xml:space="preserve"> em Vídeo (FBV), técnica que utiliza gravações do desempenho profissional acompanhadas de análises com comentários positivos e corretivos, demonstrando  seu potencial para </w:t>
      </w:r>
      <w:proofErr w:type="spellStart"/>
      <w:r w:rsidRPr="009614AC">
        <w:rPr>
          <w:rFonts w:ascii="Times New Roman" w:hAnsi="Times New Roman" w:cs="Times New Roman"/>
          <w:sz w:val="24"/>
          <w:szCs w:val="24"/>
        </w:rPr>
        <w:t>desenvovimento</w:t>
      </w:r>
      <w:proofErr w:type="spellEnd"/>
      <w:r w:rsidRPr="009614AC">
        <w:rPr>
          <w:rFonts w:ascii="Times New Roman" w:hAnsi="Times New Roman" w:cs="Times New Roman"/>
          <w:sz w:val="24"/>
          <w:szCs w:val="24"/>
        </w:rPr>
        <w:t xml:space="preserve"> de habilidades vocacionais a adultos com TEA. Em complemento, Cage </w:t>
      </w:r>
      <w:r w:rsidRPr="009614AC">
        <w:rPr>
          <w:rFonts w:ascii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hAnsi="Times New Roman" w:cs="Times New Roman"/>
          <w:sz w:val="24"/>
          <w:szCs w:val="24"/>
        </w:rPr>
        <w:t xml:space="preserve">. (2024) destacam que 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 suporte especializado em programas de emprego assistido não apenas fortalece a autoconfiança de estagiários </w:t>
      </w:r>
      <w:proofErr w:type="spellStart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neurodivergentes</w:t>
      </w:r>
      <w:proofErr w:type="spellEnd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, como também se mostra decisivo para sua permanência e progressão no mercado de trabalho.</w:t>
      </w:r>
    </w:p>
    <w:p w14:paraId="2483D885" w14:textId="16B64BD3" w:rsidR="0003617F" w:rsidRPr="009614AC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eastAsia="Times New Roman" w:hAnsi="Times New Roman" w:cs="Times New Roman"/>
          <w:sz w:val="24"/>
          <w:szCs w:val="24"/>
        </w:rPr>
        <w:tab/>
        <w:t xml:space="preserve">As categorias analíticas propostas buscam sistematizar a produção acadêmica sobre a temática, considerando que, conforme Griffiths </w:t>
      </w:r>
      <w:r w:rsidRPr="009614AC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. (2020) e os achados desta pesquisa, a 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literatura sobre práticas de recrutamento e inclusão de profissionais com Transtorno do Espectro Autista (TEA) e outras condições </w:t>
      </w:r>
      <w:proofErr w:type="spellStart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neurodivergentes</w:t>
      </w:r>
      <w:proofErr w:type="spellEnd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ainda apresenta lacunas significativas em termos de volume e abrangência de estudos.</w:t>
      </w:r>
    </w:p>
    <w:p w14:paraId="7116342A" w14:textId="0775EC07" w:rsidR="0003617F" w:rsidRPr="009614AC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eastAsia="Times New Roman" w:hAnsi="Times New Roman" w:cs="Times New Roman"/>
          <w:sz w:val="24"/>
          <w:szCs w:val="24"/>
        </w:rPr>
        <w:tab/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Como principal contribuição prática, este estudo oferece o </w:t>
      </w:r>
      <w:r w:rsidRPr="009614AC">
        <w:rPr>
          <w:rStyle w:val="nfase"/>
          <w:rFonts w:ascii="Times New Roman" w:hAnsi="Times New Roman" w:cs="Times New Roman"/>
          <w:sz w:val="24"/>
          <w:szCs w:val="24"/>
          <w:shd w:val="clear" w:color="auto" w:fill="FFFFFF"/>
        </w:rPr>
        <w:t xml:space="preserve">Manual de Diretrizes para Inclusão de Profissionais </w:t>
      </w:r>
      <w:proofErr w:type="spellStart"/>
      <w:r w:rsidRPr="009614AC">
        <w:rPr>
          <w:rStyle w:val="nfase"/>
          <w:rFonts w:ascii="Times New Roman" w:hAnsi="Times New Roman" w:cs="Times New Roman"/>
          <w:sz w:val="24"/>
          <w:szCs w:val="24"/>
          <w:shd w:val="clear" w:color="auto" w:fill="FFFFFF"/>
        </w:rPr>
        <w:t>Neurodivergentes</w:t>
      </w:r>
      <w:proofErr w:type="spellEnd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 - ferramenta desenvolvida a partir das evidências sistematizadas na revisão, que consolida recomendações fundamentadas e aplicáveis para três públicos-chave: (1) gestores organizacionais, (2) profissionais de RH e (3) formuladores de políticas institucionais, cujos principais eixos serão detalhados a seguir.</w:t>
      </w:r>
    </w:p>
    <w:p w14:paraId="18F392F3" w14:textId="77777777" w:rsid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F45CFF" w14:textId="6D6D661F" w:rsidR="00F06FAA" w:rsidRPr="009614AC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0CDE6" wp14:editId="6892C81E">
                <wp:simplePos x="0" y="0"/>
                <wp:positionH relativeFrom="margin">
                  <wp:align>left</wp:align>
                </wp:positionH>
                <wp:positionV relativeFrom="paragraph">
                  <wp:posOffset>16510</wp:posOffset>
                </wp:positionV>
                <wp:extent cx="5867400" cy="3228975"/>
                <wp:effectExtent l="0" t="0" r="19050" b="28575"/>
                <wp:wrapNone/>
                <wp:docPr id="136128888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32289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116AC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0;margin-top:1.3pt;width:462pt;height:25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" filled="f">
                <w10:wrap anchorx="margin"/>
              </v:shape>
            </w:pict>
          </mc:Fallback>
        </mc:AlternateContent>
      </w:r>
      <w:r w:rsidRPr="009614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Manual de diretrizes para inclusão de profissionais </w:t>
      </w:r>
      <w:proofErr w:type="spellStart"/>
      <w:r w:rsidRPr="009614AC">
        <w:rPr>
          <w:rFonts w:ascii="Times New Roman" w:eastAsia="Times New Roman" w:hAnsi="Times New Roman" w:cs="Times New Roman"/>
          <w:b/>
          <w:bCs/>
          <w:sz w:val="24"/>
          <w:szCs w:val="24"/>
        </w:rPr>
        <w:t>neurodivergentes</w:t>
      </w:r>
      <w:proofErr w:type="spellEnd"/>
      <w:r w:rsidRPr="009614A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no mercado de trabalho</w:t>
      </w:r>
    </w:p>
    <w:p w14:paraId="4BA07CDA" w14:textId="5A6C5B92" w:rsid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E28558" w14:textId="3BFB0B6C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1. POLÍTICAS INSTITUCIONAIS</w:t>
      </w:r>
    </w:p>
    <w:p w14:paraId="1B226C1E" w14:textId="1232A54A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1.1 Normas e Procedimentos:</w:t>
      </w:r>
    </w:p>
    <w:p w14:paraId="129A8B00" w14:textId="583A7CCD" w:rsidR="00F06FAA" w:rsidRPr="005C1FC8" w:rsidRDefault="00F06FAA" w:rsidP="00F06FAA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Formalizar políticas específicas de inclusão </w:t>
      </w:r>
      <w:proofErr w:type="spellStart"/>
      <w:r w:rsidRPr="005C1FC8">
        <w:rPr>
          <w:rFonts w:ascii="Times New Roman" w:eastAsia="Times New Roman" w:hAnsi="Times New Roman" w:cs="Times New Roman"/>
          <w:sz w:val="24"/>
          <w:szCs w:val="24"/>
        </w:rPr>
        <w:t>neurocognitiva</w:t>
      </w:r>
      <w:proofErr w:type="spellEnd"/>
      <w:r w:rsidRPr="005C1FC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DD33925" w14:textId="77777777" w:rsidR="00F06FAA" w:rsidRPr="005C1FC8" w:rsidRDefault="00F06FAA" w:rsidP="00F06FAA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Incorporar cláusulas inclusivas nos códigos de conduta e regulamentos internos.</w:t>
      </w:r>
    </w:p>
    <w:p w14:paraId="3B44187C" w14:textId="7FC0641B" w:rsidR="00F06FAA" w:rsidRDefault="00F06FAA" w:rsidP="00F06FAA">
      <w:pPr>
        <w:pStyle w:val="Pargrafoda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Estabelecer metas de contratação, retenção e promoção de </w:t>
      </w:r>
      <w:proofErr w:type="spellStart"/>
      <w:r w:rsidRPr="005C1FC8">
        <w:rPr>
          <w:rFonts w:ascii="Times New Roman" w:eastAsia="Times New Roman" w:hAnsi="Times New Roman" w:cs="Times New Roman"/>
          <w:sz w:val="24"/>
          <w:szCs w:val="24"/>
        </w:rPr>
        <w:t>neurodivergentes</w:t>
      </w:r>
      <w:proofErr w:type="spellEnd"/>
      <w:r w:rsidRPr="005C1FC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FB77F8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3619EB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1.2 Ações recomendadas:</w:t>
      </w:r>
    </w:p>
    <w:p w14:paraId="5F8D2862" w14:textId="77777777" w:rsidR="00F06FAA" w:rsidRPr="005C1FC8" w:rsidRDefault="00F06FAA" w:rsidP="00F06FAA">
      <w:pPr>
        <w:pStyle w:val="Pargrafoda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Superar o cumprimento formal das cotas legais, adotando ações afirmativas específicas.</w:t>
      </w:r>
    </w:p>
    <w:p w14:paraId="4553138A" w14:textId="77777777" w:rsidR="00F06FAA" w:rsidRPr="005C1FC8" w:rsidRDefault="00F06FAA" w:rsidP="00F06FAA">
      <w:pPr>
        <w:pStyle w:val="Pargrafoda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Garantir acesso a benefícios e condições laborais equitativas.</w:t>
      </w:r>
    </w:p>
    <w:p w14:paraId="1F216A1B" w14:textId="5E68E0A0" w:rsidR="00F06FAA" w:rsidRPr="005C1FC8" w:rsidRDefault="00F06FAA" w:rsidP="00F06FAA">
      <w:pPr>
        <w:pStyle w:val="Pargrafoda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D9CAA5" wp14:editId="2E53D08A">
                <wp:simplePos x="0" y="0"/>
                <wp:positionH relativeFrom="margin">
                  <wp:posOffset>-85725</wp:posOffset>
                </wp:positionH>
                <wp:positionV relativeFrom="paragraph">
                  <wp:posOffset>9525</wp:posOffset>
                </wp:positionV>
                <wp:extent cx="5934075" cy="8620125"/>
                <wp:effectExtent l="0" t="0" r="28575" b="28575"/>
                <wp:wrapNone/>
                <wp:docPr id="26212078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075" cy="8620125"/>
                        </a:xfrm>
                        <a:prstGeom prst="foldedCorner">
                          <a:avLst>
                            <a:gd name="adj" fmla="val 514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D8A86" id="AutoShape 2" o:spid="_x0000_s1026" type="#_x0000_t65" style="position:absolute;margin-left:-6.75pt;margin-top:.75pt;width:467.25pt;height:6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" adj="20489" filled="f">
                <w10:wrap anchorx="margin"/>
              </v:shape>
            </w:pict>
          </mc:Fallback>
        </mc:AlternateContent>
      </w:r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Criar comissões ou núcleos internos voltados à diversidade e inclusão com recorte </w:t>
      </w:r>
      <w:proofErr w:type="spellStart"/>
      <w:r w:rsidRPr="005C1FC8">
        <w:rPr>
          <w:rFonts w:ascii="Times New Roman" w:eastAsia="Times New Roman" w:hAnsi="Times New Roman" w:cs="Times New Roman"/>
          <w:sz w:val="24"/>
          <w:szCs w:val="24"/>
        </w:rPr>
        <w:t>neurocognitivo</w:t>
      </w:r>
      <w:proofErr w:type="spellEnd"/>
      <w:r w:rsidRPr="005C1FC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1BAD66F" w14:textId="19906AF8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440D" w14:textId="4101C437" w:rsid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2. ABORDAGENS CENTRADAS NA FORÇA</w:t>
      </w:r>
    </w:p>
    <w:p w14:paraId="2C5C9DDC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2.1 Avaliação e Desenvolvimento:</w:t>
      </w:r>
    </w:p>
    <w:p w14:paraId="7820D36A" w14:textId="77777777" w:rsidR="00F06FAA" w:rsidRPr="005C1FC8" w:rsidRDefault="00F06FAA" w:rsidP="00F06FAA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Implementar processos de recrutamento baseados em competências.</w:t>
      </w:r>
    </w:p>
    <w:p w14:paraId="1E5B8930" w14:textId="7183377A" w:rsidR="00F06FAA" w:rsidRPr="00AD02CE" w:rsidRDefault="00F06FAA" w:rsidP="00F06FAA">
      <w:pPr>
        <w:pStyle w:val="Pargrafoda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D02CE">
        <w:rPr>
          <w:rFonts w:ascii="Times New Roman" w:eastAsia="Times New Roman" w:hAnsi="Times New Roman" w:cs="Times New Roman"/>
          <w:sz w:val="24"/>
          <w:szCs w:val="24"/>
        </w:rPr>
        <w:t>Realizar mapeamento de pontos fortes dos colaboradores.</w:t>
      </w:r>
    </w:p>
    <w:p w14:paraId="38AABDB2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2.2 Práticas Recomendadas:</w:t>
      </w:r>
    </w:p>
    <w:p w14:paraId="093C258B" w14:textId="06113D4A" w:rsidR="00F06FAA" w:rsidRPr="005C1FC8" w:rsidRDefault="00F06FAA" w:rsidP="00F06FAA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Valorizar atributos como foco, detalhismo e pensamento lógico, conforme perfil individual.</w:t>
      </w:r>
    </w:p>
    <w:p w14:paraId="6378EABC" w14:textId="77777777" w:rsidR="00F06FAA" w:rsidRPr="005C1FC8" w:rsidRDefault="00F06FAA" w:rsidP="00F06FAA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Desenvolver programas de autoconhecimento e orientação vocacional.</w:t>
      </w:r>
    </w:p>
    <w:p w14:paraId="30D212B4" w14:textId="77777777" w:rsidR="00F06FAA" w:rsidRPr="005C1FC8" w:rsidRDefault="00F06FAA" w:rsidP="00F06FAA">
      <w:pPr>
        <w:pStyle w:val="Pargrafoda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Estimular a valorização interna da diversidade de pensamento e formas de execução.</w:t>
      </w:r>
    </w:p>
    <w:p w14:paraId="06244628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A419F0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3. ACOMODAÇÕES E ADAPTAÇÕES</w:t>
      </w:r>
    </w:p>
    <w:p w14:paraId="0A83E8E1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3.1 Infraestrutura e Ambiente:</w:t>
      </w:r>
    </w:p>
    <w:p w14:paraId="0189A74E" w14:textId="77777777" w:rsidR="00F06FAA" w:rsidRPr="005C1FC8" w:rsidRDefault="00F06FAA" w:rsidP="00F06FAA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Oferecer espaços silenciosos e zonas de descompressão.</w:t>
      </w:r>
    </w:p>
    <w:p w14:paraId="18E40B38" w14:textId="77777777" w:rsidR="00F06FAA" w:rsidRPr="005C1FC8" w:rsidRDefault="00F06FAA" w:rsidP="00F06FAA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Evitar iluminação fluorescente; priorizar luz natural ou LED.</w:t>
      </w:r>
    </w:p>
    <w:p w14:paraId="7F8F1971" w14:textId="77777777" w:rsidR="00F06FAA" w:rsidRPr="005C1FC8" w:rsidRDefault="00F06FAA" w:rsidP="00F06FAA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Adotar cores neutras e minimizar estímulos sensoriais nos ambientes.</w:t>
      </w:r>
    </w:p>
    <w:p w14:paraId="2FCFEEF0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E3831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3.2 Recursos Tecnológicos e Comunicação:</w:t>
      </w:r>
    </w:p>
    <w:p w14:paraId="578E82D2" w14:textId="77777777" w:rsidR="00F06FAA" w:rsidRPr="005C1FC8" w:rsidRDefault="00F06FAA" w:rsidP="00F06FAA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Utilizar comunicação escrita e visual como padrão.</w:t>
      </w:r>
    </w:p>
    <w:p w14:paraId="113D9606" w14:textId="77777777" w:rsidR="00F06FAA" w:rsidRPr="005C1FC8" w:rsidRDefault="00F06FAA" w:rsidP="00F06FAA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Fornecer materiais instrucionais com linguagem direta e estruturada.</w:t>
      </w:r>
    </w:p>
    <w:p w14:paraId="02B10E98" w14:textId="77777777" w:rsidR="00F06FAA" w:rsidRPr="005C1FC8" w:rsidRDefault="00F06FAA" w:rsidP="00F06FAA">
      <w:pPr>
        <w:pStyle w:val="Pargrafoda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Adotar plataformas de gestão de tarefas com organização visual.</w:t>
      </w:r>
    </w:p>
    <w:p w14:paraId="5D89895A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671B04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3.3 Processos e Flexibilidade:</w:t>
      </w:r>
    </w:p>
    <w:p w14:paraId="0E84205A" w14:textId="77777777" w:rsidR="00F06FAA" w:rsidRPr="005C1FC8" w:rsidRDefault="00F06FAA" w:rsidP="00F06FAA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Permitir modelos de trabalho remoto ou híbrido.</w:t>
      </w:r>
    </w:p>
    <w:p w14:paraId="7DD9E380" w14:textId="77777777" w:rsidR="00F06FAA" w:rsidRPr="005C1FC8" w:rsidRDefault="00F06FAA" w:rsidP="00F06FAA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Avaliar desempenho por meio de entregas práticas, evitando entrevistas convencionais.</w:t>
      </w:r>
    </w:p>
    <w:p w14:paraId="2AF9A6A9" w14:textId="77777777" w:rsidR="00F06FAA" w:rsidRPr="005C1FC8" w:rsidRDefault="00F06FAA" w:rsidP="00F06FAA">
      <w:pPr>
        <w:pStyle w:val="PargrafodaLista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Flexibilizar prazos e rotinas conforme os estilos de funcionamento cognitivo.</w:t>
      </w:r>
    </w:p>
    <w:p w14:paraId="467B6282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7EE926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4. TREINAMENTO E EDUCAÇÃO</w:t>
      </w:r>
    </w:p>
    <w:p w14:paraId="4DC31B10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4.1 Capacitação Organizacional:</w:t>
      </w:r>
    </w:p>
    <w:p w14:paraId="50F220DC" w14:textId="77777777" w:rsidR="00F06FAA" w:rsidRPr="005C1FC8" w:rsidRDefault="00F06FAA" w:rsidP="00F06FAA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Promover treinamentos periódicos sobre TEA, TDAH, dislexia e outras condições.</w:t>
      </w:r>
    </w:p>
    <w:p w14:paraId="73E36EE9" w14:textId="1E633CEF" w:rsidR="00F06FAA" w:rsidRPr="005C1FC8" w:rsidRDefault="00F06FAA" w:rsidP="00F06FAA">
      <w:pPr>
        <w:pStyle w:val="PargrafodaLista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ED8C0C" wp14:editId="67A6BA25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915025" cy="8601075"/>
                <wp:effectExtent l="0" t="0" r="28575" b="28575"/>
                <wp:wrapNone/>
                <wp:docPr id="199410638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8601075"/>
                        </a:xfrm>
                        <a:prstGeom prst="foldedCorner">
                          <a:avLst>
                            <a:gd name="adj" fmla="val 787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30E5D" id="AutoShape 2" o:spid="_x0000_s1026" type="#_x0000_t65" style="position:absolute;margin-left:0;margin-top:.75pt;width:465.75pt;height:677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" adj="19900" filled="f">
                <w10:wrap anchorx="margin"/>
              </v:shape>
            </w:pict>
          </mc:Fallback>
        </mc:AlternateContent>
      </w:r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Incluir conteúdos de sensibilização sobre </w:t>
      </w:r>
      <w:proofErr w:type="spellStart"/>
      <w:r w:rsidRPr="005C1FC8">
        <w:rPr>
          <w:rFonts w:ascii="Times New Roman" w:eastAsia="Times New Roman" w:hAnsi="Times New Roman" w:cs="Times New Roman"/>
          <w:sz w:val="24"/>
          <w:szCs w:val="24"/>
        </w:rPr>
        <w:t>neurodivergência</w:t>
      </w:r>
      <w:proofErr w:type="spellEnd"/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 nos programas de </w:t>
      </w:r>
      <w:proofErr w:type="spellStart"/>
      <w:r w:rsidRPr="005C1FC8">
        <w:rPr>
          <w:rFonts w:ascii="Times New Roman" w:eastAsia="Times New Roman" w:hAnsi="Times New Roman" w:cs="Times New Roman"/>
          <w:i/>
          <w:iCs/>
          <w:sz w:val="24"/>
          <w:szCs w:val="24"/>
        </w:rPr>
        <w:t>onboarding</w:t>
      </w:r>
      <w:proofErr w:type="spellEnd"/>
      <w:r w:rsidRPr="005C1FC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22DC6C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6F1E23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4.2 Ferramentas de Formação:</w:t>
      </w:r>
    </w:p>
    <w:p w14:paraId="34E3E4C8" w14:textId="77777777" w:rsidR="00F06FAA" w:rsidRPr="005C1FC8" w:rsidRDefault="00F06FAA" w:rsidP="00F06FAA">
      <w:pPr>
        <w:pStyle w:val="Pargrafoda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Utilizar modelagem em vídeo para capacitação de pessoas </w:t>
      </w:r>
      <w:proofErr w:type="spellStart"/>
      <w:r w:rsidRPr="005C1FC8">
        <w:rPr>
          <w:rFonts w:ascii="Times New Roman" w:eastAsia="Times New Roman" w:hAnsi="Times New Roman" w:cs="Times New Roman"/>
          <w:sz w:val="24"/>
          <w:szCs w:val="24"/>
        </w:rPr>
        <w:t>neurodivergentes</w:t>
      </w:r>
      <w:proofErr w:type="spellEnd"/>
      <w:r w:rsidRPr="005C1FC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CC8BBF" w14:textId="77777777" w:rsidR="00F06FAA" w:rsidRPr="005C1FC8" w:rsidRDefault="00F06FAA" w:rsidP="00F06FAA">
      <w:pPr>
        <w:pStyle w:val="Pargrafoda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Desenvolver trilhas de aprendizagem com </w:t>
      </w:r>
      <w:r w:rsidRPr="008A5390">
        <w:rPr>
          <w:rFonts w:ascii="Times New Roman" w:eastAsia="Times New Roman" w:hAnsi="Times New Roman" w:cs="Times New Roman"/>
          <w:i/>
          <w:sz w:val="24"/>
          <w:szCs w:val="24"/>
        </w:rPr>
        <w:t>feedback</w:t>
      </w:r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 visual e recursos interativos.</w:t>
      </w:r>
    </w:p>
    <w:p w14:paraId="3319F5FB" w14:textId="5EB6094B" w:rsidR="00F06FAA" w:rsidRPr="005C1FC8" w:rsidRDefault="00F06FAA" w:rsidP="00F06FAA">
      <w:pPr>
        <w:pStyle w:val="PargrafodaLista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Adaptar treinamentos presenciais com roteiros visuais, mediações facilitadas e pausas programadas.</w:t>
      </w:r>
    </w:p>
    <w:p w14:paraId="05FE5EA0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80DBB2" w14:textId="2185A04C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4.3 Programas Vocacionais:</w:t>
      </w:r>
      <w:r w:rsidRPr="00AD02CE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14:paraId="0C78FEA7" w14:textId="77777777" w:rsidR="00F06FAA" w:rsidRPr="005C1FC8" w:rsidRDefault="00F06FAA" w:rsidP="00F06FAA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Criar parcerias com instituições especializadas para formação prévia.</w:t>
      </w:r>
    </w:p>
    <w:p w14:paraId="18CE0EFB" w14:textId="77777777" w:rsidR="00F06FAA" w:rsidRPr="005C1FC8" w:rsidRDefault="00F06FAA" w:rsidP="00F06FAA">
      <w:pPr>
        <w:pStyle w:val="Pargrafoda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Integrar experiências de estágio supervisionado com apoio específico.</w:t>
      </w:r>
    </w:p>
    <w:p w14:paraId="34218382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EE148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5. MENTORIA, </w:t>
      </w:r>
      <w:r w:rsidRPr="008A5390">
        <w:rPr>
          <w:rFonts w:ascii="Times New Roman" w:eastAsia="Times New Roman" w:hAnsi="Times New Roman" w:cs="Times New Roman"/>
          <w:i/>
          <w:sz w:val="24"/>
          <w:szCs w:val="24"/>
        </w:rPr>
        <w:t>COACHING</w:t>
      </w:r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 E SUPORTE</w:t>
      </w:r>
    </w:p>
    <w:p w14:paraId="29D52C79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17E2F7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5.1 Mentoria Estruturada:</w:t>
      </w:r>
    </w:p>
    <w:p w14:paraId="196B02BD" w14:textId="77777777" w:rsidR="00F06FAA" w:rsidRPr="004C27FF" w:rsidRDefault="00F06FAA" w:rsidP="00F06FAA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7FF">
        <w:rPr>
          <w:rFonts w:ascii="Times New Roman" w:eastAsia="Times New Roman" w:hAnsi="Times New Roman" w:cs="Times New Roman"/>
          <w:sz w:val="24"/>
          <w:szCs w:val="24"/>
        </w:rPr>
        <w:t xml:space="preserve">Designar mentores ou </w:t>
      </w:r>
      <w:proofErr w:type="spellStart"/>
      <w:r w:rsidRPr="004C27FF">
        <w:rPr>
          <w:rFonts w:ascii="Times New Roman" w:eastAsia="Times New Roman" w:hAnsi="Times New Roman" w:cs="Times New Roman"/>
          <w:i/>
          <w:iCs/>
          <w:sz w:val="24"/>
          <w:szCs w:val="24"/>
        </w:rPr>
        <w:t>buddies</w:t>
      </w:r>
      <w:proofErr w:type="spellEnd"/>
      <w:r w:rsidRPr="004C27FF">
        <w:rPr>
          <w:rFonts w:ascii="Times New Roman" w:eastAsia="Times New Roman" w:hAnsi="Times New Roman" w:cs="Times New Roman"/>
          <w:sz w:val="24"/>
          <w:szCs w:val="24"/>
        </w:rPr>
        <w:t xml:space="preserve"> para acompanhamento na integração e desenvolvimento inicial.</w:t>
      </w:r>
    </w:p>
    <w:p w14:paraId="3954BA71" w14:textId="77777777" w:rsidR="00F06FAA" w:rsidRPr="004C27FF" w:rsidRDefault="00F06FAA" w:rsidP="00F06FAA">
      <w:pPr>
        <w:pStyle w:val="Pargrafoda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7FF">
        <w:rPr>
          <w:rFonts w:ascii="Times New Roman" w:eastAsia="Times New Roman" w:hAnsi="Times New Roman" w:cs="Times New Roman"/>
          <w:sz w:val="24"/>
          <w:szCs w:val="24"/>
        </w:rPr>
        <w:t>Garantir que mentores sejam treinados para atuar com empatia, clareza e respeito às diferenças sensoriais.</w:t>
      </w:r>
    </w:p>
    <w:p w14:paraId="02815A38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ECFAA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5.2 Acompanhamento Profissional:</w:t>
      </w:r>
    </w:p>
    <w:p w14:paraId="312184E1" w14:textId="77777777" w:rsidR="00F06FAA" w:rsidRPr="004C27FF" w:rsidRDefault="00F06FAA" w:rsidP="00F06FAA">
      <w:pPr>
        <w:pStyle w:val="Pargrafoda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7FF">
        <w:rPr>
          <w:rFonts w:ascii="Times New Roman" w:eastAsia="Times New Roman" w:hAnsi="Times New Roman" w:cs="Times New Roman"/>
          <w:sz w:val="24"/>
          <w:szCs w:val="24"/>
        </w:rPr>
        <w:t>Oferecer suporte contínuo por especialista em apoio ao emprego, interno ou externo.</w:t>
      </w:r>
    </w:p>
    <w:p w14:paraId="6DF3673B" w14:textId="77777777" w:rsidR="00F06FAA" w:rsidRPr="004C27FF" w:rsidRDefault="00F06FAA" w:rsidP="00F06FAA">
      <w:pPr>
        <w:pStyle w:val="PargrafodaLista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7FF">
        <w:rPr>
          <w:rFonts w:ascii="Times New Roman" w:eastAsia="Times New Roman" w:hAnsi="Times New Roman" w:cs="Times New Roman"/>
          <w:sz w:val="24"/>
          <w:szCs w:val="24"/>
        </w:rPr>
        <w:t>Estabelecer canais acessíveis para escuta e resolução de conflitos interpessoais.</w:t>
      </w:r>
    </w:p>
    <w:p w14:paraId="2DCC24D1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AD2C70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5.3 </w:t>
      </w:r>
      <w:r w:rsidRPr="008A5390">
        <w:rPr>
          <w:rFonts w:ascii="Times New Roman" w:eastAsia="Times New Roman" w:hAnsi="Times New Roman" w:cs="Times New Roman"/>
          <w:i/>
          <w:sz w:val="24"/>
          <w:szCs w:val="24"/>
        </w:rPr>
        <w:t>Feedback</w:t>
      </w:r>
      <w:r w:rsidRPr="005C1FC8">
        <w:rPr>
          <w:rFonts w:ascii="Times New Roman" w:eastAsia="Times New Roman" w:hAnsi="Times New Roman" w:cs="Times New Roman"/>
          <w:sz w:val="24"/>
          <w:szCs w:val="24"/>
        </w:rPr>
        <w:t xml:space="preserve"> e Evolução:</w:t>
      </w:r>
    </w:p>
    <w:p w14:paraId="0D8E753F" w14:textId="77777777" w:rsidR="00F06FAA" w:rsidRPr="004C27FF" w:rsidRDefault="00F06FAA" w:rsidP="00F06FAA">
      <w:pPr>
        <w:pStyle w:val="Pargrafoda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7FF">
        <w:rPr>
          <w:rFonts w:ascii="Times New Roman" w:eastAsia="Times New Roman" w:hAnsi="Times New Roman" w:cs="Times New Roman"/>
          <w:sz w:val="24"/>
          <w:szCs w:val="24"/>
        </w:rPr>
        <w:t xml:space="preserve">Utilizar </w:t>
      </w:r>
      <w:r w:rsidRPr="008A5390">
        <w:rPr>
          <w:rFonts w:ascii="Times New Roman" w:eastAsia="Times New Roman" w:hAnsi="Times New Roman" w:cs="Times New Roman"/>
          <w:i/>
          <w:sz w:val="24"/>
          <w:szCs w:val="24"/>
        </w:rPr>
        <w:t>feedback</w:t>
      </w:r>
      <w:r w:rsidRPr="004C27FF">
        <w:rPr>
          <w:rFonts w:ascii="Times New Roman" w:eastAsia="Times New Roman" w:hAnsi="Times New Roman" w:cs="Times New Roman"/>
          <w:sz w:val="24"/>
          <w:szCs w:val="24"/>
        </w:rPr>
        <w:t xml:space="preserve"> corretivo em formato construtivo e didático.</w:t>
      </w:r>
    </w:p>
    <w:p w14:paraId="2D3499FA" w14:textId="77777777" w:rsidR="00F06FAA" w:rsidRPr="004C27FF" w:rsidRDefault="00F06FAA" w:rsidP="00F06FAA">
      <w:pPr>
        <w:pStyle w:val="PargrafodaLista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7FF">
        <w:rPr>
          <w:rFonts w:ascii="Times New Roman" w:eastAsia="Times New Roman" w:hAnsi="Times New Roman" w:cs="Times New Roman"/>
          <w:sz w:val="24"/>
          <w:szCs w:val="24"/>
        </w:rPr>
        <w:t>Estimular o reconhecimento positivo de conquistas e avanços com foco no fortalecimento da autoconfiança.</w:t>
      </w:r>
    </w:p>
    <w:p w14:paraId="5603C61D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D42C83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6. MONITORAMENTO E MELHORIAS CONTÍNUAS</w:t>
      </w:r>
    </w:p>
    <w:p w14:paraId="0BBC7F99" w14:textId="77777777" w:rsidR="00F06FAA" w:rsidRPr="005C1FC8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6.1 Indicadores de Inclusão:</w:t>
      </w:r>
    </w:p>
    <w:p w14:paraId="5977DA89" w14:textId="1ECF8DD0" w:rsidR="00F06FAA" w:rsidRPr="004C27FF" w:rsidRDefault="00F06FAA" w:rsidP="00F06FAA">
      <w:pPr>
        <w:pStyle w:val="Pargrafoda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FFFF8E" wp14:editId="04689F77">
                <wp:simplePos x="0" y="0"/>
                <wp:positionH relativeFrom="margin">
                  <wp:posOffset>-47625</wp:posOffset>
                </wp:positionH>
                <wp:positionV relativeFrom="paragraph">
                  <wp:posOffset>-1</wp:posOffset>
                </wp:positionV>
                <wp:extent cx="5962650" cy="2238375"/>
                <wp:effectExtent l="0" t="0" r="19050" b="28575"/>
                <wp:wrapNone/>
                <wp:docPr id="16524206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2238375"/>
                        </a:xfrm>
                        <a:prstGeom prst="foldedCorner">
                          <a:avLst>
                            <a:gd name="adj" fmla="val 1612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8ADBE" id="AutoShape 2" o:spid="_x0000_s1026" type="#_x0000_t65" style="position:absolute;margin-left:-3.75pt;margin-top:0;width:469.5pt;height:176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" adj="18118" filled="f">
                <w10:wrap anchorx="margin"/>
              </v:shape>
            </w:pict>
          </mc:Fallback>
        </mc:AlternateContent>
      </w:r>
      <w:r w:rsidRPr="004C27FF">
        <w:rPr>
          <w:rFonts w:ascii="Times New Roman" w:eastAsia="Times New Roman" w:hAnsi="Times New Roman" w:cs="Times New Roman"/>
          <w:sz w:val="24"/>
          <w:szCs w:val="24"/>
        </w:rPr>
        <w:t xml:space="preserve">Monitorar taxas de contratação, permanência e promoção de profissionais </w:t>
      </w:r>
      <w:proofErr w:type="spellStart"/>
      <w:r w:rsidRPr="004C27FF">
        <w:rPr>
          <w:rFonts w:ascii="Times New Roman" w:eastAsia="Times New Roman" w:hAnsi="Times New Roman" w:cs="Times New Roman"/>
          <w:sz w:val="24"/>
          <w:szCs w:val="24"/>
        </w:rPr>
        <w:t>neurodivergentes</w:t>
      </w:r>
      <w:proofErr w:type="spellEnd"/>
      <w:r w:rsidRPr="004C27F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079E52" w14:textId="77777777" w:rsidR="00F06FAA" w:rsidRPr="004C27FF" w:rsidRDefault="00F06FAA" w:rsidP="00F06FAA">
      <w:pPr>
        <w:pStyle w:val="Pargrafoda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7FF">
        <w:rPr>
          <w:rFonts w:ascii="Times New Roman" w:eastAsia="Times New Roman" w:hAnsi="Times New Roman" w:cs="Times New Roman"/>
          <w:sz w:val="24"/>
          <w:szCs w:val="24"/>
        </w:rPr>
        <w:t>Avaliar o nível de satisfação, bem-estar e desempenho com métricas qualitativas e quantitativas.</w:t>
      </w:r>
    </w:p>
    <w:p w14:paraId="4D51A6DA" w14:textId="77777777" w:rsid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1FC8">
        <w:rPr>
          <w:rFonts w:ascii="Times New Roman" w:eastAsia="Times New Roman" w:hAnsi="Times New Roman" w:cs="Times New Roman"/>
          <w:sz w:val="24"/>
          <w:szCs w:val="24"/>
        </w:rPr>
        <w:t>6.2 Revisão de Diretrizes:</w:t>
      </w:r>
    </w:p>
    <w:p w14:paraId="2187440F" w14:textId="507AC4B9" w:rsidR="00F06FAA" w:rsidRPr="005C1FC8" w:rsidRDefault="00F06FAA" w:rsidP="00F06FAA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27FF">
        <w:rPr>
          <w:rFonts w:ascii="Times New Roman" w:eastAsia="Times New Roman" w:hAnsi="Times New Roman" w:cs="Times New Roman"/>
          <w:sz w:val="24"/>
          <w:szCs w:val="24"/>
        </w:rPr>
        <w:t xml:space="preserve">Atualizar anualmente as práticas adotadas, incorporando novos estudos e </w:t>
      </w:r>
      <w:r w:rsidRPr="008A5390">
        <w:rPr>
          <w:rFonts w:ascii="Times New Roman" w:eastAsia="Times New Roman" w:hAnsi="Times New Roman" w:cs="Times New Roman"/>
          <w:i/>
          <w:sz w:val="24"/>
          <w:szCs w:val="24"/>
        </w:rPr>
        <w:t xml:space="preserve">feedbacks </w:t>
      </w:r>
      <w:r w:rsidRPr="004C27FF">
        <w:rPr>
          <w:rFonts w:ascii="Times New Roman" w:eastAsia="Times New Roman" w:hAnsi="Times New Roman" w:cs="Times New Roman"/>
          <w:sz w:val="24"/>
          <w:szCs w:val="24"/>
        </w:rPr>
        <w:t>organizacionais.</w:t>
      </w:r>
    </w:p>
    <w:p w14:paraId="10765062" w14:textId="30230BC0" w:rsidR="0003617F" w:rsidRPr="0003617F" w:rsidRDefault="0003617F" w:rsidP="0003617F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A1E97C" w14:textId="77777777" w:rsidR="00F06FAA" w:rsidRPr="00C3212B" w:rsidRDefault="00F06FAA" w:rsidP="00F06FAA">
      <w:pPr>
        <w:pStyle w:val="PargrafodaLista"/>
        <w:jc w:val="center"/>
        <w:rPr>
          <w:rFonts w:ascii="Times New Roman" w:hAnsi="Times New Roman" w:cs="Times New Roman"/>
          <w:sz w:val="20"/>
        </w:rPr>
      </w:pPr>
      <w:r w:rsidRPr="00C3212B">
        <w:rPr>
          <w:rFonts w:ascii="Times New Roman" w:hAnsi="Times New Roman" w:cs="Times New Roman"/>
          <w:sz w:val="20"/>
        </w:rPr>
        <w:t>Fonte: Elaborado pelos autores (2025)</w:t>
      </w:r>
    </w:p>
    <w:p w14:paraId="185067C1" w14:textId="77777777" w:rsidR="0003617F" w:rsidRDefault="0003617F" w:rsidP="006F452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9E3F851" w14:textId="77777777" w:rsidR="00F06FAA" w:rsidRPr="009614AC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Este manual tem como objetivo auxiliar organizações na criação de ambientes laborais que valorizem a diversidade cognitiva, fundamentado no entendimento de que a inclusão de profissionais </w:t>
      </w:r>
      <w:proofErr w:type="spellStart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neurodivergentes</w:t>
      </w:r>
      <w:proofErr w:type="spellEnd"/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constitui: (1) um imperativo ético-social, (2) um diferencial estratégico para inovação, (3) uma fonte de diversidade intelectual e (4) um fator de sustentabilidade organizacional no longo prazo.</w:t>
      </w:r>
    </w:p>
    <w:p w14:paraId="79BA0839" w14:textId="77777777" w:rsidR="00F06FAA" w:rsidRDefault="00F06FAA" w:rsidP="00F06FAA">
      <w:pPr>
        <w:jc w:val="center"/>
        <w:rPr>
          <w:rFonts w:ascii="Times New Roman" w:hAnsi="Times New Roman" w:cs="Times New Roman"/>
          <w:sz w:val="20"/>
        </w:rPr>
      </w:pPr>
    </w:p>
    <w:p w14:paraId="70DA79E0" w14:textId="77777777" w:rsidR="00F06FAA" w:rsidRPr="009614AC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Após a análise dos resultados e a 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>proposta de um manual d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>e diretrizes para inclusão organizacional, procede-se às considerações finais deste estudo.</w:t>
      </w:r>
      <w:r w:rsidRPr="009614A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8827A4B" w14:textId="77777777" w:rsidR="00F06FAA" w:rsidRPr="009614AC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9A42BA" w14:textId="77777777" w:rsidR="00F06FAA" w:rsidRPr="009614AC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14AC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9614AC">
        <w:rPr>
          <w:rFonts w:ascii="Times New Roman" w:eastAsia="Times New Roman" w:hAnsi="Times New Roman" w:cs="Times New Roman"/>
          <w:b/>
          <w:sz w:val="28"/>
          <w:szCs w:val="28"/>
        </w:rPr>
        <w:tab/>
        <w:t>CONSIDERAÇÕES FINAIS E IMPLICAÇÕES</w:t>
      </w:r>
    </w:p>
    <w:p w14:paraId="08FE84E2" w14:textId="77777777" w:rsidR="00F06FAA" w:rsidRP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5"/>
        <w:jc w:val="both"/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 seguir, apresentam-se as principais contribuições deste estudo, abrangendo suas implicações teóricas e práticas, as limitações identificadas e sugestões para pesquisas futuras.</w:t>
      </w:r>
    </w:p>
    <w:p w14:paraId="273C8521" w14:textId="77777777" w:rsidR="00F06FAA" w:rsidRPr="009614AC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425"/>
        <w:jc w:val="both"/>
        <w:rPr>
          <w:rStyle w:val="Forte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14:paraId="57CC1136" w14:textId="77777777" w:rsidR="00F06FAA" w:rsidRPr="009614AC" w:rsidRDefault="00F06FAA" w:rsidP="00F06FAA">
      <w:pPr>
        <w:pStyle w:val="PargrafodaLista"/>
        <w:numPr>
          <w:ilvl w:val="1"/>
          <w:numId w:val="2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614AC">
        <w:rPr>
          <w:rFonts w:ascii="Times New Roman" w:eastAsia="Times New Roman" w:hAnsi="Times New Roman" w:cs="Times New Roman"/>
          <w:sz w:val="24"/>
          <w:szCs w:val="24"/>
        </w:rPr>
        <w:t>CONTRIBUIÇÃO DO TRABALHO</w:t>
      </w:r>
    </w:p>
    <w:p w14:paraId="4ABD36BC" w14:textId="77777777" w:rsidR="00F06FAA" w:rsidRPr="009614AC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Este estudo parte da constatação de que, embora o debate sobre a inclusão de pessoas </w:t>
      </w:r>
      <w:proofErr w:type="spellStart"/>
      <w:r w:rsidRPr="009614AC">
        <w:rPr>
          <w:rFonts w:ascii="Times New Roman" w:eastAsia="Times New Roman" w:hAnsi="Times New Roman" w:cs="Times New Roman"/>
          <w:sz w:val="24"/>
          <w:szCs w:val="24"/>
        </w:rPr>
        <w:t>neurodivergentes</w:t>
      </w:r>
      <w:proofErr w:type="spellEnd"/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 no contexto organizacional tenha ganhado relevância, persistem desafios estruturais e lacunas teóricas significativas. Ao investigar modelos práticos na literatura, a pesquisa oferece uma sistematização inédita das estratégias de inclusão organizacional, analisando cinco categorias: (1) Políticas; (2) Abordagens Centradas na Força; (3) Acomodações e Adaptações; (4) Treinamento e Educação; e (5) Mentoria e </w:t>
      </w:r>
      <w:r w:rsidRPr="009614AC">
        <w:rPr>
          <w:rFonts w:ascii="Times New Roman" w:eastAsia="Times New Roman" w:hAnsi="Times New Roman" w:cs="Times New Roman"/>
          <w:i/>
          <w:sz w:val="24"/>
          <w:szCs w:val="24"/>
        </w:rPr>
        <w:t>Coaching.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 Essa estrutura supera a fragmentação de abordagens disciplinares isoladas, proporcionando uma compreensão integrada do tema. Como contribuições, a pesquisa não apenas fornece subsídios teóricos e práticos para políticas inclusivas, como também reforça o reconhecimento da </w:t>
      </w:r>
      <w:proofErr w:type="spellStart"/>
      <w:r w:rsidRPr="009614AC">
        <w:rPr>
          <w:rFonts w:ascii="Times New Roman" w:eastAsia="Times New Roman" w:hAnsi="Times New Roman" w:cs="Times New Roman"/>
          <w:sz w:val="24"/>
          <w:szCs w:val="24"/>
        </w:rPr>
        <w:lastRenderedPageBreak/>
        <w:t>neurodivergência</w:t>
      </w:r>
      <w:proofErr w:type="spellEnd"/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 enquanto dimensão legítima da diversidade humana no trabalho, materializado em um manual aplicativo para empresas iniciarem ou aprimorarem suas práticas inclusivas.</w:t>
      </w:r>
    </w:p>
    <w:p w14:paraId="57E99646" w14:textId="77777777" w:rsidR="00F06FAA" w:rsidRPr="009614AC" w:rsidRDefault="00F06FAA" w:rsidP="00F06FA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36DC50" w14:textId="77777777" w:rsidR="00F06FAA" w:rsidRPr="009614AC" w:rsidRDefault="00F06FAA" w:rsidP="00F06FA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5.2 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ab/>
        <w:t>IMPLICAÇÕES TEÓRICAS E PRÁTICAS</w:t>
      </w:r>
    </w:p>
    <w:p w14:paraId="4EAEBD95" w14:textId="77777777" w:rsidR="00F06FAA" w:rsidRP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pesquisa avança o conhecimento ao integrar e sistematizar evidências empíricas de múltiplas áreas, incluindo psicologia, administração e saúde ocupacional. Essa síntese interdisciplinar não apenas revela padrões e lacunas no campo, mas também propõe novas direções para pesquisas futuras, promovendo abordagens mais integradas. As categorias analíticas desenvolvidas oferecem um modelo </w:t>
      </w:r>
      <w:r w:rsidRPr="009614AC">
        <w:rPr>
          <w:rFonts w:ascii="Times New Roman" w:eastAsia="Times New Roman" w:hAnsi="Times New Roman" w:cs="Times New Roman"/>
          <w:sz w:val="24"/>
          <w:szCs w:val="24"/>
        </w:rPr>
        <w:t xml:space="preserve">referencial útil </w:t>
      </w:r>
      <w:r w:rsidRPr="009614A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para investigações posteriores </w:t>
      </w:r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sobre </w:t>
      </w:r>
      <w:proofErr w:type="spellStart"/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neurodivergência</w:t>
      </w:r>
      <w:proofErr w:type="spellEnd"/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 contexto laboral.</w:t>
      </w:r>
    </w:p>
    <w:p w14:paraId="20ABD2C6" w14:textId="77777777" w:rsidR="00F06FAA" w:rsidRP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No âmbito prático, os achados oferecem um guia estratégico para organizações, apresentando desde políticas institucionais de inclusão até práticas específicas de gestão de pessoas e programas de formação e sensibilização. Todas essas práticas são testáveis e adaptáveis a diversos contextos organizacionais. As estratégias mapeadas não apenas demonstram viabilidade operacional, mas também</w:t>
      </w:r>
      <w:r w:rsidRPr="00F06FAA">
        <w:rPr>
          <w:rStyle w:val="Forte"/>
          <w:rFonts w:ascii="Segoe UI" w:hAnsi="Segoe UI" w:cs="Segoe UI"/>
          <w:b w:val="0"/>
          <w:bCs w:val="0"/>
          <w:shd w:val="clear" w:color="auto" w:fill="FFFFFF"/>
        </w:rPr>
        <w:t xml:space="preserve"> </w:t>
      </w:r>
      <w:r w:rsidRPr="00F06FAA">
        <w:rPr>
          <w:rFonts w:ascii="Times New Roman" w:eastAsia="Times New Roman" w:hAnsi="Times New Roman" w:cs="Times New Roman"/>
          <w:sz w:val="24"/>
          <w:szCs w:val="24"/>
        </w:rPr>
        <w:t>oportunidades para a criação de ambientes mais equitativos e produtivos.</w:t>
      </w:r>
    </w:p>
    <w:p w14:paraId="7AC1C101" w14:textId="77777777" w:rsidR="00F06FAA" w:rsidRPr="009614AC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1643B6" w14:textId="77777777" w:rsidR="00F06FAA" w:rsidRPr="009614AC" w:rsidRDefault="00F06FAA" w:rsidP="00F06FAA">
      <w:pPr>
        <w:spacing w:line="360" w:lineRule="auto"/>
        <w:ind w:lef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4AC">
        <w:rPr>
          <w:rFonts w:ascii="Times New Roman" w:eastAsia="Times New Roman" w:hAnsi="Times New Roman" w:cs="Times New Roman"/>
          <w:sz w:val="24"/>
          <w:szCs w:val="24"/>
        </w:rPr>
        <w:t>5.3.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614AC">
        <w:rPr>
          <w:rFonts w:ascii="Times New Roman" w:eastAsia="Times New Roman" w:hAnsi="Times New Roman" w:cs="Times New Roman"/>
          <w:sz w:val="24"/>
          <w:szCs w:val="24"/>
        </w:rPr>
        <w:t>IMPLICAÇÕES GERENCIAIS</w:t>
      </w:r>
    </w:p>
    <w:p w14:paraId="4F30A32A" w14:textId="77777777" w:rsidR="00F06FAA" w:rsidRP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Com base nas evidências sistematizadas, gestores e profissionais de Recursos Humanos podem ampliar sua atuação no âmbito da inclusão.</w:t>
      </w:r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 As categorias identificadas neste estudo oferecem </w:t>
      </w: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um conjunto de práticas adaptáveis</w:t>
      </w:r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 à realidade organizacional, que abrangem desde ajustes físicos e comunicacionais até modelos de mentoria e programas de capacitação. </w:t>
      </w: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Mais do que isso, os resultados propõem uma mudança de paradigma:</w:t>
      </w:r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 em vez de demandar a adaptação do indivíduo à cultura dominante, </w:t>
      </w: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defende-se a transformação do ambiente organizacional</w:t>
      </w:r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 para acolher diferentes formas de funcionamento cognitivo, </w:t>
      </w: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reafirmando a diversidade como um pilar estratégico.</w:t>
      </w:r>
    </w:p>
    <w:p w14:paraId="17F05A74" w14:textId="77777777" w:rsidR="00F06FAA" w:rsidRP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ABF99" w14:textId="77777777" w:rsidR="00F06FAA" w:rsidRPr="00F06FAA" w:rsidRDefault="00F06FAA" w:rsidP="00F06FAA">
      <w:pPr>
        <w:spacing w:line="360" w:lineRule="auto"/>
        <w:ind w:left="1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FAA">
        <w:rPr>
          <w:rFonts w:ascii="Times New Roman" w:eastAsia="Times New Roman" w:hAnsi="Times New Roman" w:cs="Times New Roman"/>
          <w:sz w:val="24"/>
          <w:szCs w:val="24"/>
        </w:rPr>
        <w:t>5.4</w:t>
      </w:r>
      <w:r w:rsidRPr="00F06FAA">
        <w:rPr>
          <w:rFonts w:ascii="Times New Roman" w:eastAsia="Times New Roman" w:hAnsi="Times New Roman" w:cs="Times New Roman"/>
          <w:sz w:val="24"/>
          <w:szCs w:val="24"/>
        </w:rPr>
        <w:tab/>
        <w:t>LIMITAÇÕES DA PESQUISA E ESTUDOS FUTUROS</w:t>
      </w:r>
    </w:p>
    <w:p w14:paraId="4F2537E8" w14:textId="77777777" w:rsidR="00F06FAA" w:rsidRP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FAA">
        <w:rPr>
          <w:rFonts w:ascii="Times New Roman" w:eastAsia="Times New Roman" w:hAnsi="Times New Roman" w:cs="Times New Roman"/>
          <w:sz w:val="24"/>
          <w:szCs w:val="24"/>
        </w:rPr>
        <w:t xml:space="preserve">Entre as limitações do estudo, destaca-se o foco excessivo da literatura no TEA, em detrimento de outras condições </w:t>
      </w:r>
      <w:proofErr w:type="spellStart"/>
      <w:r w:rsidRPr="00F06FAA">
        <w:rPr>
          <w:rFonts w:ascii="Times New Roman" w:eastAsia="Times New Roman" w:hAnsi="Times New Roman" w:cs="Times New Roman"/>
          <w:sz w:val="24"/>
          <w:szCs w:val="24"/>
        </w:rPr>
        <w:t>neurodivergentes</w:t>
      </w:r>
      <w:proofErr w:type="spellEnd"/>
      <w:r w:rsidRPr="00F06FAA">
        <w:rPr>
          <w:rFonts w:ascii="Times New Roman" w:eastAsia="Times New Roman" w:hAnsi="Times New Roman" w:cs="Times New Roman"/>
          <w:sz w:val="24"/>
          <w:szCs w:val="24"/>
        </w:rPr>
        <w:t>, como dislexia, TDAH e transtornos do processamento sensorial.</w:t>
      </w:r>
      <w:r w:rsidRPr="00F06FAA">
        <w:rPr>
          <w:rFonts w:ascii="Segoe UI" w:hAnsi="Segoe UI" w:cs="Segoe UI"/>
          <w:shd w:val="clear" w:color="auto" w:fill="FFFFFF"/>
        </w:rPr>
        <w:t xml:space="preserve"> </w:t>
      </w:r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Essa </w:t>
      </w: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ênfase desequilibrada</w:t>
      </w:r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 restringe a generalização dos achados e </w:t>
      </w: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evidencia</w:t>
      </w:r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 a necessidade de investigações que </w:t>
      </w: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abranjam</w:t>
      </w:r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a pluralidade das </w:t>
      </w:r>
      <w:proofErr w:type="spellStart"/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neurodivergências</w:t>
      </w:r>
      <w:proofErr w:type="spellEnd"/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1DEABB3" w14:textId="77777777" w:rsidR="00F06FAA" w:rsidRP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lastRenderedPageBreak/>
        <w:t>Do ponto de vista metodológico</w:t>
      </w:r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, o uso exclusivo de publicações de acesso aberto </w:t>
      </w: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pode ter restringido</w:t>
      </w:r>
      <w:r w:rsidRPr="00F06FAA">
        <w:rPr>
          <w:rFonts w:ascii="Times New Roman" w:hAnsi="Times New Roman" w:cs="Times New Roman"/>
          <w:sz w:val="24"/>
          <w:szCs w:val="24"/>
          <w:shd w:val="clear" w:color="auto" w:fill="FFFFFF"/>
        </w:rPr>
        <w:t> o alcance da revisão.</w:t>
      </w:r>
    </w:p>
    <w:p w14:paraId="366DEBDD" w14:textId="77777777" w:rsidR="00F06FAA" w:rsidRP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Para estudos futuros, recomenda-se aprofundar a análise de experiências organizacionais reais por meio de pesquisas empíricas, bem como investigar indicadores de impacto das práticas inclusivas, como produtividade, bem-estar e retenção de profissionais </w:t>
      </w:r>
      <w:proofErr w:type="spellStart"/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neurodivergentes</w:t>
      </w:r>
      <w:proofErr w:type="spellEnd"/>
      <w:r w:rsidRPr="00F06FAA">
        <w:rPr>
          <w:rStyle w:val="Forte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, no contexto corporativo.</w:t>
      </w:r>
    </w:p>
    <w:p w14:paraId="7F995F25" w14:textId="77777777" w:rsidR="00F06FAA" w:rsidRPr="00F06FAA" w:rsidRDefault="00F06FAA" w:rsidP="006F452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17C3574" w14:textId="77777777" w:rsidR="00F06FAA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REFERÊNCIAS</w:t>
      </w:r>
    </w:p>
    <w:p w14:paraId="651B5C62" w14:textId="77777777" w:rsidR="00F06FAA" w:rsidRDefault="00F06FAA" w:rsidP="00F06FAA">
      <w:pPr>
        <w:rPr>
          <w:color w:val="FF0000"/>
        </w:rPr>
      </w:pPr>
    </w:p>
    <w:p w14:paraId="65B4131C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AKPEKE,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Mawulorm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; AGBEMAVI, Wonder; ADDE, Kenneth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Setorwu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Factors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that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inhibit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social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involvement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children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with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perspectives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parents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Cape Coast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metropolis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BMC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pediatrics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24, n. 1, p. 825, 2024.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Acesso em: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25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Jun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2025.</w:t>
      </w:r>
    </w:p>
    <w:p w14:paraId="484E0E82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758F7C4C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ANKER, Espen; BENDIKSEN,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Bothild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; HEIR,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Trond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Comorbid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psychiatric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disorders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clinical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sample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adults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with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ADHD,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associations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with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education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social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characteristics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cross-sectional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study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BMJ open</w:t>
      </w: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8, n. 3, p. e019700, 2018.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Acesso em: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25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Jun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2025.</w:t>
      </w:r>
    </w:p>
    <w:p w14:paraId="1CA05F1B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6D4D13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ASHWORTH, Maria </w:t>
      </w:r>
      <w:r w:rsidRPr="008B4BF2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Evaluating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a new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supported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employment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internship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programme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autistic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young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adults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without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intellectual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disability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B4BF2">
        <w:rPr>
          <w:rFonts w:ascii="Times New Roman" w:eastAsia="Times New Roman" w:hAnsi="Times New Roman" w:cs="Times New Roman"/>
          <w:b/>
          <w:sz w:val="24"/>
          <w:szCs w:val="24"/>
        </w:rPr>
        <w:t>Autism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>, v. 28, n. 8, p. 1934-1946, 2024.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Acesso em: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25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Jun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2025.</w:t>
      </w:r>
    </w:p>
    <w:p w14:paraId="2F32A992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A00D72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BARDIN, Laurence. </w:t>
      </w:r>
      <w:r w:rsidRPr="008B4BF2">
        <w:rPr>
          <w:rFonts w:ascii="Times New Roman" w:eastAsia="Times New Roman" w:hAnsi="Times New Roman" w:cs="Times New Roman"/>
          <w:b/>
          <w:sz w:val="24"/>
          <w:szCs w:val="24"/>
        </w:rPr>
        <w:t>Análise de conteúdo</w:t>
      </w:r>
      <w:r w:rsidRPr="008B4BF2">
        <w:rPr>
          <w:rFonts w:ascii="Times New Roman" w:eastAsia="Times New Roman" w:hAnsi="Times New Roman" w:cs="Times New Roman"/>
          <w:sz w:val="24"/>
          <w:szCs w:val="24"/>
        </w:rPr>
        <w:t>. Lisboa: Edições 70, 1977.</w:t>
      </w:r>
    </w:p>
    <w:p w14:paraId="2830AC3A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4BF06E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BLACKBURN, Blandina.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Managing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neurodiversity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workplaces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B4BF2">
        <w:rPr>
          <w:rFonts w:ascii="Times New Roman" w:eastAsia="Times New Roman" w:hAnsi="Times New Roman" w:cs="Times New Roman"/>
          <w:b/>
          <w:sz w:val="24"/>
          <w:szCs w:val="24"/>
        </w:rPr>
        <w:t>Occupational</w:t>
      </w:r>
      <w:proofErr w:type="spellEnd"/>
      <w:r w:rsidRPr="008B4BF2">
        <w:rPr>
          <w:rFonts w:ascii="Times New Roman" w:eastAsia="Times New Roman" w:hAnsi="Times New Roman" w:cs="Times New Roman"/>
          <w:b/>
          <w:sz w:val="24"/>
          <w:szCs w:val="24"/>
        </w:rPr>
        <w:t xml:space="preserve"> Medicine</w:t>
      </w:r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, v. 73, n. 2, p. 57-58, 2023. Disponível em: </w:t>
      </w:r>
      <w:hyperlink r:id="rId11" w:history="1">
        <w:r w:rsidRPr="008B4BF2">
          <w:rPr>
            <w:rStyle w:val="Hyperlink"/>
            <w:rFonts w:ascii="Times New Roman" w:hAnsi="Times New Roman" w:cs="Times New Roman"/>
            <w:color w:val="006FB7"/>
            <w:sz w:val="24"/>
            <w:szCs w:val="24"/>
            <w:bdr w:val="none" w:sz="0" w:space="0" w:color="auto" w:frame="1"/>
            <w:shd w:val="clear" w:color="auto" w:fill="FFFFFF"/>
          </w:rPr>
          <w:t>https://doi.org/10.1093/occmed/kqac142</w:t>
        </w:r>
      </w:hyperlink>
      <w:r w:rsidRPr="008B4BF2">
        <w:rPr>
          <w:rFonts w:ascii="Times New Roman" w:eastAsia="Times New Roman" w:hAnsi="Times New Roman" w:cs="Times New Roman"/>
          <w:sz w:val="24"/>
          <w:szCs w:val="24"/>
        </w:rPr>
        <w:t>. Acesso em: 04 ago. 2025.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Acesso em: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25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Jun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2025.</w:t>
      </w:r>
    </w:p>
    <w:p w14:paraId="7253911D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F2E7C5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BUNT, Danielle et al. Quotas,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anti‐discrimination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policies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relating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autism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EU: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scoping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review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policy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mapping in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Germany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, France, Netherlands, United Kingdom,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Slovakia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Poland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Romania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Autism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>, v. 13, n. 8, p. 1397-1417, 2020.</w:t>
      </w:r>
    </w:p>
    <w:p w14:paraId="23B22924" w14:textId="77777777" w:rsidR="00F06FAA" w:rsidRPr="008B4BF2" w:rsidRDefault="00F06FAA" w:rsidP="00F06FAA">
      <w:pPr>
        <w:pStyle w:val="PargrafodaLista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66"/>
        <w:rPr>
          <w:rFonts w:ascii="Times New Roman" w:eastAsia="Times New Roman" w:hAnsi="Times New Roman" w:cs="Times New Roman"/>
          <w:sz w:val="24"/>
          <w:szCs w:val="24"/>
        </w:rPr>
      </w:pPr>
    </w:p>
    <w:p w14:paraId="04E102E1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BROSS, Leslie Ann </w:t>
      </w:r>
      <w:r w:rsidRPr="008B4BF2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08B4BF2">
        <w:rPr>
          <w:rFonts w:ascii="Times New Roman" w:eastAsia="Times New Roman" w:hAnsi="Times New Roman" w:cs="Times New Roman"/>
          <w:sz w:val="24"/>
          <w:szCs w:val="24"/>
        </w:rPr>
        <w:t>. A meta-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analysis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video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modeling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interventions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enhance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job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skills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autistic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adolescents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adults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>. </w:t>
      </w:r>
      <w:proofErr w:type="spellStart"/>
      <w:r w:rsidRPr="008B4BF2">
        <w:rPr>
          <w:rFonts w:ascii="Times New Roman" w:eastAsia="Times New Roman" w:hAnsi="Times New Roman" w:cs="Times New Roman"/>
          <w:b/>
          <w:bCs/>
          <w:sz w:val="24"/>
          <w:szCs w:val="24"/>
        </w:rPr>
        <w:t>Autism</w:t>
      </w:r>
      <w:proofErr w:type="spellEnd"/>
      <w:r w:rsidRPr="008B4B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8B4BF2">
        <w:rPr>
          <w:rFonts w:ascii="Times New Roman" w:eastAsia="Times New Roman" w:hAnsi="Times New Roman" w:cs="Times New Roman"/>
          <w:b/>
          <w:bCs/>
          <w:sz w:val="24"/>
          <w:szCs w:val="24"/>
        </w:rPr>
        <w:t>Adulthood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>, v. 3, n. 4, p. 356-369, 2021.</w:t>
      </w:r>
    </w:p>
    <w:p w14:paraId="47381913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E26D59A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BURY, Simon M. et al. The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advantage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critical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systematic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review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current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evidence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Research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Developmental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Disabilities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105, p. 103750, 2020.</w:t>
      </w:r>
    </w:p>
    <w:p w14:paraId="42DD5DC5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632CD4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CAGE,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Eilidh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B4BF2">
        <w:rPr>
          <w:rFonts w:ascii="Times New Roman" w:eastAsia="Times New Roman" w:hAnsi="Times New Roman" w:cs="Times New Roman"/>
          <w:i/>
          <w:iCs/>
          <w:sz w:val="24"/>
          <w:szCs w:val="24"/>
        </w:rPr>
        <w:t>et al</w:t>
      </w:r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What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are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autism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research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priorities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autistic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adults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in Scotland? </w:t>
      </w:r>
      <w:proofErr w:type="spellStart"/>
      <w:r w:rsidRPr="008B4BF2">
        <w:rPr>
          <w:rFonts w:ascii="Times New Roman" w:eastAsia="Times New Roman" w:hAnsi="Times New Roman" w:cs="Times New Roman"/>
          <w:b/>
          <w:bCs/>
          <w:sz w:val="24"/>
          <w:szCs w:val="24"/>
        </w:rPr>
        <w:t>Autism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>, v. 28, n. 9, p. 2179-2190, 2024.</w:t>
      </w:r>
    </w:p>
    <w:p w14:paraId="14BB87D3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567613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sz w:val="24"/>
          <w:szCs w:val="24"/>
        </w:rPr>
        <w:t xml:space="preserve">COPLAN, J., CROCKER, L., LANDIN, J., e STENN, T. Building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Supportive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, Inclusive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Workplaces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Where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Neurodivergent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Thinkers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Thrive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: Approaches in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Managing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Diversity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Inclusion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Building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Entrepreneurship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Workplace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>. </w:t>
      </w:r>
      <w:hyperlink r:id="rId12" w:tgtFrame="_blank" w:history="1">
        <w:r w:rsidRPr="008B4BF2">
          <w:rPr>
            <w:rStyle w:val="Hyperlink"/>
            <w:rFonts w:ascii="Times New Roman" w:hAnsi="Times New Roman" w:cs="Times New Roman"/>
            <w:sz w:val="24"/>
            <w:szCs w:val="24"/>
          </w:rPr>
          <w:t>https://doi.org/10.52770/xtbm1097</w:t>
        </w:r>
      </w:hyperlink>
      <w:r>
        <w:t xml:space="preserve"> 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Acesso em: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25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Jun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2025.</w:t>
      </w:r>
    </w:p>
    <w:p w14:paraId="04FCC199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9BC672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COTTINGHAM, Marianne; SPEAR, Talia.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Embracing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Neurodivergence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Essential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considerations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family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law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practice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Family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Court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Review</w:t>
      </w: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63, n. 1, p. 71-85, 2025.</w:t>
      </w:r>
    </w:p>
    <w:p w14:paraId="461908A3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222222"/>
          <w:sz w:val="24"/>
          <w:szCs w:val="24"/>
          <w:highlight w:val="yellow"/>
          <w:shd w:val="clear" w:color="auto" w:fill="FFFFFF"/>
        </w:rPr>
      </w:pPr>
      <w:bookmarkStart w:id="4" w:name="_Hlk205044871"/>
    </w:p>
    <w:p w14:paraId="496D2D8E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BF2">
        <w:rPr>
          <w:rFonts w:ascii="Times New Roman" w:eastAsia="Times New Roman" w:hAnsi="Times New Roman" w:cs="Times New Roman"/>
          <w:sz w:val="24"/>
          <w:szCs w:val="24"/>
        </w:rPr>
        <w:t>DE VRIES</w:t>
      </w:r>
      <w:bookmarkEnd w:id="4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Bouke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Autism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right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hypersensitivity-friendly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workspace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>. </w:t>
      </w:r>
      <w:proofErr w:type="spellStart"/>
      <w:r w:rsidRPr="008B4BF2">
        <w:rPr>
          <w:rFonts w:ascii="Times New Roman" w:eastAsia="Times New Roman" w:hAnsi="Times New Roman" w:cs="Times New Roman"/>
          <w:b/>
          <w:bCs/>
          <w:sz w:val="24"/>
          <w:szCs w:val="24"/>
        </w:rPr>
        <w:t>Public</w:t>
      </w:r>
      <w:proofErr w:type="spellEnd"/>
      <w:r w:rsidRPr="008B4BF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Health </w:t>
      </w:r>
      <w:proofErr w:type="spellStart"/>
      <w:r w:rsidRPr="008B4BF2">
        <w:rPr>
          <w:rFonts w:ascii="Times New Roman" w:eastAsia="Times New Roman" w:hAnsi="Times New Roman" w:cs="Times New Roman"/>
          <w:b/>
          <w:bCs/>
          <w:sz w:val="24"/>
          <w:szCs w:val="24"/>
        </w:rPr>
        <w:t>Ethics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>, v. 14, n. 3, p. 281-287, 2021.</w:t>
      </w:r>
    </w:p>
    <w:p w14:paraId="7C798057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3D8F0D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DIENER, Marissa L. et al. Dual perspectives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spectrum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disorders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employment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Toward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better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fit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workplace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Work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67, n. 1, p. 223-237, 2020.</w:t>
      </w:r>
    </w:p>
    <w:p w14:paraId="40A5D2E5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498679F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DRESCH, Aline; LACERDA, Daniel Pacheco; ANTUNES JR, J. </w:t>
      </w:r>
      <w:proofErr w:type="spellStart"/>
      <w:r w:rsidRPr="008B4BF2">
        <w:rPr>
          <w:rFonts w:ascii="Times New Roman" w:eastAsia="Times New Roman" w:hAnsi="Times New Roman" w:cs="Times New Roman"/>
          <w:sz w:val="24"/>
          <w:szCs w:val="24"/>
        </w:rPr>
        <w:t>Antonio</w:t>
      </w:r>
      <w:proofErr w:type="spellEnd"/>
      <w:r w:rsidRPr="008B4BF2">
        <w:rPr>
          <w:rFonts w:ascii="Times New Roman" w:eastAsia="Times New Roman" w:hAnsi="Times New Roman" w:cs="Times New Roman"/>
          <w:sz w:val="24"/>
          <w:szCs w:val="24"/>
        </w:rPr>
        <w:t xml:space="preserve"> Valle. </w:t>
      </w:r>
      <w:r w:rsidRPr="008B4BF2">
        <w:rPr>
          <w:rFonts w:ascii="Times New Roman" w:eastAsia="Times New Roman" w:hAnsi="Times New Roman" w:cs="Times New Roman"/>
          <w:b/>
          <w:sz w:val="24"/>
          <w:szCs w:val="24"/>
        </w:rPr>
        <w:t xml:space="preserve">Design </w:t>
      </w:r>
      <w:proofErr w:type="spellStart"/>
      <w:r w:rsidRPr="008B4BF2">
        <w:rPr>
          <w:rFonts w:ascii="Times New Roman" w:eastAsia="Times New Roman" w:hAnsi="Times New Roman" w:cs="Times New Roman"/>
          <w:b/>
          <w:sz w:val="24"/>
          <w:szCs w:val="24"/>
        </w:rPr>
        <w:t>science</w:t>
      </w:r>
      <w:proofErr w:type="spellEnd"/>
      <w:r w:rsidRPr="008B4BF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Times New Roman" w:hAnsi="Times New Roman" w:cs="Times New Roman"/>
          <w:b/>
          <w:sz w:val="24"/>
          <w:szCs w:val="24"/>
        </w:rPr>
        <w:t>research</w:t>
      </w:r>
      <w:proofErr w:type="spellEnd"/>
      <w:r w:rsidRPr="008B4BF2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Pr="008B4BF2">
        <w:rPr>
          <w:rFonts w:ascii="Times New Roman" w:eastAsia="Times New Roman" w:hAnsi="Times New Roman" w:cs="Times New Roman"/>
          <w:sz w:val="24"/>
          <w:szCs w:val="24"/>
        </w:rPr>
        <w:t>método de pesquisa para avanço da ciência e tecnologia. Bookman Editora, 2015.</w:t>
      </w:r>
    </w:p>
    <w:p w14:paraId="55CBFCBA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DAB4DBB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DVIR, Tamar; RABINOWITCH, Tal-Chen; ELEFANT,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Cochavit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The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effectiveness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group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interpersonal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synchrony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young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autistic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adults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’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environment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mixed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methods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RCT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study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protocol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Plos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one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19, n. 7, p. e0307956, 2024.</w:t>
      </w:r>
    </w:p>
    <w:p w14:paraId="7FD1B075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6B7B2E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ENGLISH, Derek L. </w:t>
      </w:r>
      <w:r w:rsidRPr="008B4BF2">
        <w:rPr>
          <w:rFonts w:ascii="Times New Roman" w:eastAsia="Calibri" w:hAnsi="Times New Roman" w:cs="Times New Roman"/>
          <w:i/>
          <w:iCs/>
          <w:sz w:val="24"/>
          <w:szCs w:val="24"/>
        </w:rPr>
        <w:t>et al.</w:t>
      </w:r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Effects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video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modeling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video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feedback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on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vocational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skills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adults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autism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spectrum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disorder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>. </w:t>
      </w:r>
      <w:proofErr w:type="spellStart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>Developmental</w:t>
      </w:r>
      <w:proofErr w:type="spellEnd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>neurorehabilitation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>, v. 20, n. 8, p. 511-524, 2017.</w:t>
      </w:r>
    </w:p>
    <w:p w14:paraId="78616528" w14:textId="77777777" w:rsidR="00F06FAA" w:rsidRPr="008B4BF2" w:rsidRDefault="00F06FAA" w:rsidP="00F06FAA">
      <w:pPr>
        <w:pStyle w:val="PargrafodaLista"/>
        <w:spacing w:line="240" w:lineRule="auto"/>
        <w:ind w:left="466"/>
        <w:rPr>
          <w:rFonts w:ascii="Times New Roman" w:eastAsia="Calibri" w:hAnsi="Times New Roman" w:cs="Times New Roman"/>
          <w:sz w:val="24"/>
          <w:szCs w:val="24"/>
        </w:rPr>
      </w:pPr>
    </w:p>
    <w:p w14:paraId="4B729A61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bookmarkStart w:id="5" w:name="_Hlk205065374"/>
      <w:bookmarkStart w:id="6" w:name="_Hlk205050867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GIRI,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Abhrajit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Lived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experience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social model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disability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conflicted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inter‐dependent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ambitions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employment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people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with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learning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disability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their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family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carers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British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Journal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Learning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Disabilities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50, n. 1, p. 98-106, 2022.</w:t>
      </w:r>
    </w:p>
    <w:p w14:paraId="069955FB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3843063" w14:textId="77777777" w:rsidR="00F06FAA" w:rsidRPr="008B4BF2" w:rsidRDefault="00F06FAA" w:rsidP="00F06FA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GOTTARDELLO, Debora; STEFFAN, Belinda. Fundamental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intersectionality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menopause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neurodivergence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experiences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Maturitas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189, p. 108107, 2024.</w:t>
      </w:r>
    </w:p>
    <w:p w14:paraId="41411444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8B3476C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eastAsia="Calibri" w:hAnsi="Times New Roman" w:cs="Times New Roman"/>
          <w:sz w:val="24"/>
          <w:szCs w:val="24"/>
        </w:rPr>
        <w:t>GRIFFITHS</w:t>
      </w:r>
      <w:bookmarkEnd w:id="5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, Amy Jane </w:t>
      </w:r>
      <w:r w:rsidRPr="008B4BF2">
        <w:rPr>
          <w:rFonts w:ascii="Times New Roman" w:eastAsia="Calibri" w:hAnsi="Times New Roman" w:cs="Times New Roman"/>
          <w:i/>
          <w:iCs/>
          <w:sz w:val="24"/>
          <w:szCs w:val="24"/>
        </w:rPr>
        <w:t>et al</w:t>
      </w:r>
      <w:bookmarkEnd w:id="6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Developing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employment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environments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where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individuals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ASD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thrive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Using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machine learning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explore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employer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policies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practices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Brain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Sciences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>, v. 10, n. 9, p. 632, 2020.</w:t>
      </w:r>
    </w:p>
    <w:p w14:paraId="10C7E875" w14:textId="77777777" w:rsidR="00F06FAA" w:rsidRPr="008B4BF2" w:rsidRDefault="00F06FAA" w:rsidP="00F06FAA">
      <w:pPr>
        <w:pStyle w:val="PargrafodaLista"/>
        <w:spacing w:line="240" w:lineRule="auto"/>
        <w:ind w:left="466"/>
        <w:rPr>
          <w:rFonts w:ascii="Times New Roman" w:eastAsia="Calibri" w:hAnsi="Times New Roman" w:cs="Times New Roman"/>
          <w:sz w:val="24"/>
          <w:szCs w:val="24"/>
        </w:rPr>
      </w:pPr>
    </w:p>
    <w:p w14:paraId="602D8B79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HALL,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Kaely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Designing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strengths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Opportunities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support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neurodiversity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workplace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In: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Proceedings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2024 CHI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Conference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on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Human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Factors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Computing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Systems</w:t>
      </w: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2024. p. 1-14.</w:t>
      </w:r>
    </w:p>
    <w:p w14:paraId="4E4C78EC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6C7D903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HAYAKAWA,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Norika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high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job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control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risk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factor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poor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quality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life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workers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with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high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spectrum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tendencies?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cross-sectional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survey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factory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Japan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Journal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occupational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health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57, n. 5, p. 419-426, 2015.</w:t>
      </w:r>
    </w:p>
    <w:p w14:paraId="1BDD3BC8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14B2C85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HOFFMAN, Kelly.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Neurodivergence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Personal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Knowledge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Management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Across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Life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Domains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Including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Disability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3, p. 67-89, 2023.</w:t>
      </w:r>
    </w:p>
    <w:p w14:paraId="0BF79B06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502EB34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KERSTEN, Amber et al.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strengths‐based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human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resource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management approach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neurodiversity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multi‐actor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qualitative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study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Human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Resource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Management</w:t>
      </w: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64, n. 1, p. 229-245, 2025.</w:t>
      </w:r>
    </w:p>
    <w:p w14:paraId="4C06024E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D935111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KHALIQUE,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Fehmina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Diverse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Minds,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Infinite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Potential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Navigating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Neurodiversity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Today's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Workplace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In: </w:t>
      </w:r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Global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Practices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on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Effective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Talent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Acquisition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Retention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IGI Global, 2024. p. 96-108.</w:t>
      </w:r>
    </w:p>
    <w:p w14:paraId="3799ADC7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1DAC7267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KLAG, Malvina; NICHOLAS, David; METAYER, Solene.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Creating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resilient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ecosystem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employment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autistic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individuals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From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understanding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action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Families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in Society</w:t>
      </w: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102, n. 4, p. 485-503, 2021.</w:t>
      </w:r>
    </w:p>
    <w:p w14:paraId="7BAD9B5A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E2DC5E7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KOSHERBAYEVA,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Lyazzat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Effects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spectrum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disorder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parents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labour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market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Productivity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loss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policy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evaluation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Kazakhstan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29, n. 1, p. 169-181, 2025.</w:t>
      </w:r>
    </w:p>
    <w:p w14:paraId="4D0E12A6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FEE3B14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LEFEVRE-LEVY, Rose et al.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Neurodiversity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workplace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considering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neuroatypicality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as a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form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diversity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Industrial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and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Organizational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Psychology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>, v. 16, n. 1, p. 1-19, 2023. Disponível em: https://doi.org/10.1017/iop.2022.86. Acesso em: 22 Jun. 2025.</w:t>
      </w:r>
    </w:p>
    <w:p w14:paraId="615D40C3" w14:textId="77777777" w:rsidR="00F06FAA" w:rsidRPr="008B4BF2" w:rsidRDefault="00F06FAA" w:rsidP="00F06FAA">
      <w:pPr>
        <w:rPr>
          <w:rFonts w:ascii="Times New Roman" w:hAnsi="Times New Roman" w:cs="Times New Roman"/>
          <w:sz w:val="24"/>
          <w:szCs w:val="24"/>
        </w:rPr>
      </w:pPr>
    </w:p>
    <w:p w14:paraId="518A5227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LEGAULT,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Mylène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; BOURDON, Jean-Nicolas; POIRIER, Pierre.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From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neurodiversity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neurodivergence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The role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epistemic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cognitive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marginalization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Synthese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199, n. 5, p. 12843-12868, 2021.</w:t>
      </w:r>
    </w:p>
    <w:p w14:paraId="427E8FCA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0C5F0843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sz w:val="24"/>
          <w:szCs w:val="24"/>
        </w:rPr>
        <w:t xml:space="preserve">LIMA, Leandro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Cearenço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; DE MORAIS,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Stephania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Joyce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Lentz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>; PEREIRA, Frederico César Mafra. PLATAFORMAS DIGITAIS COMO AMBIENTE DE CONTEXTO CAPACITANTE PARA MÃES DE CRIANÇAS AUTISTAS. </w:t>
      </w:r>
      <w:r w:rsidRPr="008B4BF2">
        <w:rPr>
          <w:rFonts w:ascii="Times New Roman" w:hAnsi="Times New Roman" w:cs="Times New Roman"/>
          <w:b/>
          <w:bCs/>
          <w:sz w:val="24"/>
          <w:szCs w:val="24"/>
        </w:rPr>
        <w:t xml:space="preserve">Revista de Administração FACES </w:t>
      </w:r>
      <w:proofErr w:type="spellStart"/>
      <w:r w:rsidRPr="008B4BF2">
        <w:rPr>
          <w:rFonts w:ascii="Times New Roman" w:hAnsi="Times New Roman" w:cs="Times New Roman"/>
          <w:b/>
          <w:bCs/>
          <w:sz w:val="24"/>
          <w:szCs w:val="24"/>
        </w:rPr>
        <w:t>Journal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, 2024. Disponível em: </w:t>
      </w:r>
      <w:hyperlink r:id="rId13" w:history="1">
        <w:r w:rsidRPr="00DE1245">
          <w:rPr>
            <w:rStyle w:val="Hyperlink"/>
            <w:rFonts w:ascii="Times New Roman" w:hAnsi="Times New Roman" w:cs="Times New Roman"/>
            <w:sz w:val="24"/>
            <w:szCs w:val="24"/>
          </w:rPr>
          <w:t>https://revista.fumec.br/index.php/facesp/article/view/10469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Acesso em: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25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Jun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2025.</w:t>
      </w:r>
    </w:p>
    <w:p w14:paraId="34CC9795" w14:textId="77777777" w:rsidR="00F06FAA" w:rsidRPr="008B4BF2" w:rsidRDefault="00F06FAA" w:rsidP="00F06FAA">
      <w:pPr>
        <w:spacing w:line="240" w:lineRule="auto"/>
        <w:ind w:firstLine="720"/>
        <w:rPr>
          <w:rFonts w:ascii="Times New Roman" w:eastAsia="Calibri" w:hAnsi="Times New Roman" w:cs="Times New Roman"/>
          <w:sz w:val="24"/>
          <w:szCs w:val="24"/>
        </w:rPr>
      </w:pPr>
    </w:p>
    <w:p w14:paraId="27DFED2C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7" w:name="_Hlk205048121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LOMOTEY, Richard K. </w:t>
      </w:r>
      <w:r w:rsidRPr="008B4BF2">
        <w:rPr>
          <w:rFonts w:ascii="Times New Roman" w:eastAsia="Calibri" w:hAnsi="Times New Roman" w:cs="Times New Roman"/>
          <w:i/>
          <w:iCs/>
          <w:sz w:val="24"/>
          <w:szCs w:val="24"/>
        </w:rPr>
        <w:t>et al</w:t>
      </w:r>
      <w:bookmarkEnd w:id="7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. Voices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People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Disabilities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Integrating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Topic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Modeling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Sentiment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Analysis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Study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Disability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Discourse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on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Social Media. </w:t>
      </w:r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>IEEE Access</w:t>
      </w:r>
      <w:r w:rsidRPr="008B4BF2">
        <w:rPr>
          <w:rFonts w:ascii="Times New Roman" w:eastAsia="Calibri" w:hAnsi="Times New Roman" w:cs="Times New Roman"/>
          <w:sz w:val="24"/>
          <w:szCs w:val="24"/>
        </w:rPr>
        <w:t>, 2025.</w:t>
      </w:r>
    </w:p>
    <w:p w14:paraId="549A73BF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4573A28" w14:textId="77777777" w:rsidR="00F06FAA" w:rsidRPr="008B4BF2" w:rsidRDefault="00F06FAA" w:rsidP="00F06FA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MALLORY, Drew B. “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Capable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much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more”: The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effects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vocational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training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caregiver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expectations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neurodivergent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dependents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Thailand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Plos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one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19, n. 7, p. e0306141, 2024.</w:t>
      </w:r>
    </w:p>
    <w:p w14:paraId="615EED37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1BF4B46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MANGINA, E.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Neurodivergence‐informed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therapy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>. </w:t>
      </w:r>
      <w:proofErr w:type="spellStart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>Developmental</w:t>
      </w:r>
      <w:proofErr w:type="spellEnd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Medicine &amp; </w:t>
      </w:r>
      <w:proofErr w:type="spellStart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>Child</w:t>
      </w:r>
      <w:proofErr w:type="spellEnd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>Neurology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, v. 65, n. 3, p. 310-317, 2022. </w:t>
      </w:r>
    </w:p>
    <w:p w14:paraId="72B76C4E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1C2EF2A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MANSOUR, Hassan et al. ‘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It’s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designed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someone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who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not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me’: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reflexive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thematic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analysis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unmet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healthcare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support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needs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UK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autistic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adults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aged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65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years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over.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29, n. 3, p. 754-765, 2025.</w:t>
      </w:r>
    </w:p>
    <w:p w14:paraId="2E5DD76E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11E6124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MASCARENHAS, S. A. </w:t>
      </w:r>
      <w:r w:rsidRPr="008B4BF2">
        <w:rPr>
          <w:rFonts w:ascii="Times New Roman" w:eastAsia="Calibri" w:hAnsi="Times New Roman" w:cs="Times New Roman"/>
          <w:b/>
          <w:sz w:val="24"/>
          <w:szCs w:val="24"/>
        </w:rPr>
        <w:t>Metodologia científica</w:t>
      </w:r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. Pearson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Education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do Brasil, 2012.</w:t>
      </w:r>
    </w:p>
    <w:p w14:paraId="65818C2D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5EB7BFB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MCEVILLY, Miranda; WICKS, Susanne; DALMAN, Christina. Sick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leave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participation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among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parents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children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with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spectrum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disorder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Stockholm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youth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cohort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register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linkage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study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Stockholm,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Sweden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Journal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developmental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disorders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45, n. 7, p. 2157-2167, 2015.</w:t>
      </w:r>
    </w:p>
    <w:p w14:paraId="260019A9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CE53B30" w14:textId="77777777" w:rsidR="00F06FAA" w:rsidRPr="008B4BF2" w:rsidRDefault="00F06FAA" w:rsidP="00F06FAA">
      <w:pPr>
        <w:spacing w:line="240" w:lineRule="auto"/>
        <w:rPr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MCGOWAN, Jessie </w:t>
      </w:r>
      <w:r w:rsidRPr="008B4BF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et al</w:t>
      </w: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PRESS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peer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review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electronic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search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strategies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2015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guideline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statement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Journal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clinical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epidemiology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75, p. 40-46, 2016.</w:t>
      </w:r>
    </w:p>
    <w:p w14:paraId="311C95A0" w14:textId="77777777" w:rsidR="00F06FAA" w:rsidRPr="008B4BF2" w:rsidRDefault="00F06FAA" w:rsidP="00F06FAA">
      <w:pPr>
        <w:pStyle w:val="PargrafodaLista"/>
        <w:spacing w:line="240" w:lineRule="auto"/>
        <w:ind w:left="466"/>
        <w:rPr>
          <w:color w:val="222222"/>
          <w:sz w:val="24"/>
          <w:szCs w:val="24"/>
          <w:shd w:val="clear" w:color="auto" w:fill="FFFFFF"/>
        </w:rPr>
      </w:pPr>
    </w:p>
    <w:p w14:paraId="30A4F843" w14:textId="77777777" w:rsidR="00F06FAA" w:rsidRPr="008B4BF2" w:rsidRDefault="00F06FAA" w:rsidP="00F06FA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MCINTYRE, Roger S. et al. The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prevalence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clinical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characteristics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associated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with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Diagnostic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Statistical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Manual Version-5-defined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anxious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distress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specifier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adults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with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major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depressive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disorder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results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from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International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Mood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Disorders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Collaborative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Project.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Therapeutic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advances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chronic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disease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7, n. 3, p. 153-159, 2016.</w:t>
      </w:r>
    </w:p>
    <w:p w14:paraId="43D4F3B6" w14:textId="77777777" w:rsidR="00F06FAA" w:rsidRPr="008B4BF2" w:rsidRDefault="00F06FAA" w:rsidP="00F06FAA">
      <w:pPr>
        <w:pStyle w:val="PargrafodaLista"/>
        <w:spacing w:line="240" w:lineRule="auto"/>
        <w:ind w:left="466"/>
        <w:rPr>
          <w:color w:val="222222"/>
          <w:sz w:val="24"/>
          <w:szCs w:val="24"/>
          <w:shd w:val="clear" w:color="auto" w:fill="FFFFFF"/>
        </w:rPr>
      </w:pPr>
    </w:p>
    <w:p w14:paraId="5B9670FF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NIKOLOVA-FONTAINE,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Kremena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; EGILSON,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Snæfríður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Þóra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. ‘Even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Way I Make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My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Coffee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Autistic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’: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Meaning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Autism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Lives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Middle-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Aged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Women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prior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After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their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Diagnoses.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Scandinavian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Journal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Disability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Research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>, v. 25, n. 1, 2023.</w:t>
      </w:r>
    </w:p>
    <w:p w14:paraId="3579C559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B94B197" w14:textId="77777777" w:rsidR="00F06FAA" w:rsidRPr="008B4BF2" w:rsidRDefault="00F06FAA" w:rsidP="00F06FAA">
      <w:pPr>
        <w:rPr>
          <w:rFonts w:ascii="Times New Roman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sz w:val="24"/>
          <w:szCs w:val="24"/>
        </w:rPr>
        <w:t xml:space="preserve">NISHITH, S., </w:t>
      </w:r>
      <w:r w:rsidRPr="008B4BF2">
        <w:rPr>
          <w:rFonts w:ascii="Times New Roman" w:hAnsi="Times New Roman" w:cs="Times New Roman"/>
          <w:i/>
          <w:iCs/>
          <w:sz w:val="24"/>
          <w:szCs w:val="24"/>
        </w:rPr>
        <w:t>et al.</w:t>
      </w:r>
      <w:r w:rsidRPr="008B4BF2">
        <w:rPr>
          <w:rFonts w:ascii="Times New Roman" w:hAnsi="Times New Roman" w:cs="Times New Roman"/>
          <w:sz w:val="24"/>
          <w:szCs w:val="24"/>
        </w:rPr>
        <w:t xml:space="preserve"> (2024).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Improving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Neurodivergent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Experiences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Workplace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Identifying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Barriers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Facilitators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Employment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Autistic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>. </w:t>
      </w:r>
      <w:hyperlink r:id="rId14" w:tgtFrame="_blank" w:history="1">
        <w:r w:rsidRPr="008B4BF2">
          <w:rPr>
            <w:rStyle w:val="Hyperlink"/>
            <w:rFonts w:ascii="Times New Roman" w:hAnsi="Times New Roman" w:cs="Times New Roman"/>
            <w:sz w:val="24"/>
            <w:szCs w:val="24"/>
          </w:rPr>
          <w:t>https://doi.org/10.31219/osf.io/d24hw</w:t>
        </w:r>
      </w:hyperlink>
    </w:p>
    <w:p w14:paraId="326DA18F" w14:textId="77777777" w:rsidR="00F06FAA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2DBAB2A" w14:textId="77777777" w:rsidR="00F06FAA" w:rsidRPr="008B4BF2" w:rsidRDefault="00F06FAA" w:rsidP="00F06FAA">
      <w:pPr>
        <w:rPr>
          <w:rFonts w:ascii="Times New Roman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sz w:val="24"/>
          <w:szCs w:val="24"/>
        </w:rPr>
        <w:t xml:space="preserve">NOUF-LATIF, Faten; ANDERSSON, Katarina; MARKSTRÖM, Urban.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Encouraging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real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make-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believe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citizen-workers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?.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Narratives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self-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realization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versus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disabling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support-to-work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contexts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High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Functioning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sz w:val="24"/>
          <w:szCs w:val="24"/>
        </w:rPr>
        <w:t>Autism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>. </w:t>
      </w:r>
      <w:r w:rsidRPr="008B4BF2">
        <w:rPr>
          <w:rFonts w:ascii="Times New Roman" w:hAnsi="Times New Roman" w:cs="Times New Roman"/>
          <w:b/>
          <w:bCs/>
          <w:sz w:val="24"/>
          <w:szCs w:val="24"/>
        </w:rPr>
        <w:t xml:space="preserve">Alter. </w:t>
      </w:r>
      <w:proofErr w:type="spellStart"/>
      <w:r w:rsidRPr="008B4BF2">
        <w:rPr>
          <w:rFonts w:ascii="Times New Roman" w:hAnsi="Times New Roman" w:cs="Times New Roman"/>
          <w:b/>
          <w:bCs/>
          <w:sz w:val="24"/>
          <w:szCs w:val="24"/>
        </w:rPr>
        <w:t>European</w:t>
      </w:r>
      <w:proofErr w:type="spellEnd"/>
      <w:r w:rsidRPr="008B4B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sz w:val="24"/>
          <w:szCs w:val="24"/>
        </w:rPr>
        <w:t>Journal</w:t>
      </w:r>
      <w:proofErr w:type="spellEnd"/>
      <w:r w:rsidRPr="008B4B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8B4B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sz w:val="24"/>
          <w:szCs w:val="24"/>
        </w:rPr>
        <w:t>Disability</w:t>
      </w:r>
      <w:proofErr w:type="spellEnd"/>
      <w:r w:rsidRPr="008B4B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sz w:val="24"/>
          <w:szCs w:val="24"/>
        </w:rPr>
        <w:t>Research</w:t>
      </w:r>
      <w:proofErr w:type="spellEnd"/>
      <w:r w:rsidRPr="008B4BF2">
        <w:rPr>
          <w:rFonts w:ascii="Times New Roman" w:hAnsi="Times New Roman" w:cs="Times New Roman"/>
          <w:sz w:val="24"/>
          <w:szCs w:val="24"/>
        </w:rPr>
        <w:t>, n. 13-2, p. 126-140, 2019.</w:t>
      </w:r>
    </w:p>
    <w:p w14:paraId="30423749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74FBADE" w14:textId="77777777" w:rsidR="00F06FAA" w:rsidRPr="008B4BF2" w:rsidRDefault="00F06FAA" w:rsidP="00F06FAA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NORRIS, Jade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Eloise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et al.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Disclosing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diagnosis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improves ratings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candidate performance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employment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interviews.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28, n. 4, p. 1045-1050, 2024.</w:t>
      </w:r>
    </w:p>
    <w:p w14:paraId="48C0BE33" w14:textId="77777777" w:rsidR="00F06FAA" w:rsidRPr="008B4BF2" w:rsidRDefault="00F06FAA" w:rsidP="00F06FAA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54D8591" w14:textId="77777777" w:rsidR="00F06FAA" w:rsidRPr="008B4BF2" w:rsidRDefault="00F06FAA" w:rsidP="00F06FAA">
      <w:pPr>
        <w:rPr>
          <w:rFonts w:ascii="Times New Roman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NORSTEDT, Maria.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invisible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disabilities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Practices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experiences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understandings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nondisclosure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Scandinavian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Journal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Disability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Research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21, n. 1, p. 14-24, 2019.</w:t>
      </w:r>
    </w:p>
    <w:p w14:paraId="2A09D9C1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56F37EEE" w14:textId="77777777" w:rsidR="00F06FAA" w:rsidRPr="008B4BF2" w:rsidRDefault="00F06FAA" w:rsidP="00F06FAA">
      <w:pPr>
        <w:pStyle w:val="Normal1"/>
        <w:spacing w:line="240" w:lineRule="auto"/>
        <w:ind w:firstLine="0"/>
        <w:jc w:val="left"/>
        <w:rPr>
          <w:rFonts w:ascii="Times New Roman" w:hAnsi="Times New Roman" w:cs="Times New Roman"/>
          <w:highlight w:val="white"/>
        </w:rPr>
      </w:pPr>
      <w:r w:rsidRPr="008B4BF2">
        <w:rPr>
          <w:rFonts w:ascii="Times New Roman" w:hAnsi="Times New Roman" w:cs="Times New Roman"/>
          <w:highlight w:val="white"/>
        </w:rPr>
        <w:t xml:space="preserve">PAGE, Matthew J. et al. The PRISMA 2020 </w:t>
      </w:r>
      <w:proofErr w:type="spellStart"/>
      <w:r w:rsidRPr="008B4BF2">
        <w:rPr>
          <w:rFonts w:ascii="Times New Roman" w:hAnsi="Times New Roman" w:cs="Times New Roman"/>
          <w:highlight w:val="white"/>
        </w:rPr>
        <w:t>statement</w:t>
      </w:r>
      <w:proofErr w:type="spellEnd"/>
      <w:r w:rsidRPr="008B4BF2">
        <w:rPr>
          <w:rFonts w:ascii="Times New Roman" w:hAnsi="Times New Roman" w:cs="Times New Roman"/>
          <w:highlight w:val="white"/>
        </w:rPr>
        <w:t xml:space="preserve">: </w:t>
      </w:r>
      <w:proofErr w:type="spellStart"/>
      <w:r w:rsidRPr="008B4BF2">
        <w:rPr>
          <w:rFonts w:ascii="Times New Roman" w:hAnsi="Times New Roman" w:cs="Times New Roman"/>
          <w:highlight w:val="white"/>
        </w:rPr>
        <w:t>an</w:t>
      </w:r>
      <w:proofErr w:type="spellEnd"/>
      <w:r w:rsidRPr="008B4BF2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8B4BF2">
        <w:rPr>
          <w:rFonts w:ascii="Times New Roman" w:hAnsi="Times New Roman" w:cs="Times New Roman"/>
          <w:highlight w:val="white"/>
        </w:rPr>
        <w:t>updated</w:t>
      </w:r>
      <w:proofErr w:type="spellEnd"/>
      <w:r w:rsidRPr="008B4BF2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8B4BF2">
        <w:rPr>
          <w:rFonts w:ascii="Times New Roman" w:hAnsi="Times New Roman" w:cs="Times New Roman"/>
          <w:highlight w:val="white"/>
        </w:rPr>
        <w:t>guideline</w:t>
      </w:r>
      <w:proofErr w:type="spellEnd"/>
      <w:r w:rsidRPr="008B4BF2">
        <w:rPr>
          <w:rFonts w:ascii="Times New Roman" w:hAnsi="Times New Roman" w:cs="Times New Roman"/>
          <w:highlight w:val="white"/>
        </w:rPr>
        <w:t xml:space="preserve"> for </w:t>
      </w:r>
      <w:proofErr w:type="spellStart"/>
      <w:r w:rsidRPr="008B4BF2">
        <w:rPr>
          <w:rFonts w:ascii="Times New Roman" w:hAnsi="Times New Roman" w:cs="Times New Roman"/>
          <w:highlight w:val="white"/>
        </w:rPr>
        <w:t>reporting</w:t>
      </w:r>
      <w:proofErr w:type="spellEnd"/>
      <w:r w:rsidRPr="008B4BF2">
        <w:rPr>
          <w:rFonts w:ascii="Times New Roman" w:hAnsi="Times New Roman" w:cs="Times New Roman"/>
          <w:highlight w:val="white"/>
        </w:rPr>
        <w:t xml:space="preserve"> </w:t>
      </w:r>
      <w:proofErr w:type="spellStart"/>
      <w:r w:rsidRPr="008B4BF2">
        <w:rPr>
          <w:rFonts w:ascii="Times New Roman" w:hAnsi="Times New Roman" w:cs="Times New Roman"/>
          <w:highlight w:val="white"/>
        </w:rPr>
        <w:t>systematic</w:t>
      </w:r>
      <w:proofErr w:type="spellEnd"/>
      <w:r w:rsidRPr="008B4BF2">
        <w:rPr>
          <w:rFonts w:ascii="Times New Roman" w:hAnsi="Times New Roman" w:cs="Times New Roman"/>
          <w:highlight w:val="white"/>
        </w:rPr>
        <w:t xml:space="preserve"> reviews. </w:t>
      </w:r>
      <w:proofErr w:type="spellStart"/>
      <w:r w:rsidRPr="008B4BF2">
        <w:rPr>
          <w:rFonts w:ascii="Times New Roman" w:hAnsi="Times New Roman" w:cs="Times New Roman"/>
          <w:b/>
          <w:highlight w:val="white"/>
        </w:rPr>
        <w:t>International</w:t>
      </w:r>
      <w:proofErr w:type="spellEnd"/>
      <w:r w:rsidRPr="008B4BF2">
        <w:rPr>
          <w:rFonts w:ascii="Times New Roman" w:hAnsi="Times New Roman" w:cs="Times New Roman"/>
          <w:b/>
          <w:highlight w:val="white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highlight w:val="white"/>
        </w:rPr>
        <w:t>journal</w:t>
      </w:r>
      <w:proofErr w:type="spellEnd"/>
      <w:r w:rsidRPr="008B4BF2">
        <w:rPr>
          <w:rFonts w:ascii="Times New Roman" w:hAnsi="Times New Roman" w:cs="Times New Roman"/>
          <w:b/>
          <w:highlight w:val="white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highlight w:val="white"/>
        </w:rPr>
        <w:t>of</w:t>
      </w:r>
      <w:proofErr w:type="spellEnd"/>
      <w:r w:rsidRPr="008B4BF2">
        <w:rPr>
          <w:rFonts w:ascii="Times New Roman" w:hAnsi="Times New Roman" w:cs="Times New Roman"/>
          <w:b/>
          <w:highlight w:val="white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highlight w:val="white"/>
        </w:rPr>
        <w:t>surgery</w:t>
      </w:r>
      <w:proofErr w:type="spellEnd"/>
      <w:r w:rsidRPr="008B4BF2">
        <w:rPr>
          <w:rFonts w:ascii="Times New Roman" w:hAnsi="Times New Roman" w:cs="Times New Roman"/>
          <w:highlight w:val="white"/>
        </w:rPr>
        <w:t>, v. 88, p. 105906, 2021.</w:t>
      </w:r>
    </w:p>
    <w:p w14:paraId="565944AE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39ACA758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PELLICANO, Elizabeth; HALL, Gabrielle; YING CAI, Ru.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Autistic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adults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’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experiences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financial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wellbeing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Part II.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v. 28, n. 5, p. 1090-1106, 2024. </w:t>
      </w:r>
    </w:p>
    <w:p w14:paraId="2F9CB688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2A1357E6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PETTICREW, Mark; ROBERTS, Helen.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Systematic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reviews in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social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sciences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: </w:t>
      </w:r>
      <w:r w:rsidRPr="008B4BF2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A </w:t>
      </w:r>
      <w:proofErr w:type="spellStart"/>
      <w:r w:rsidRPr="008B4BF2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practical</w:t>
      </w:r>
      <w:proofErr w:type="spellEnd"/>
      <w:r w:rsidRPr="008B4BF2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guide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2006.</w:t>
      </w:r>
    </w:p>
    <w:p w14:paraId="431FD9E3" w14:textId="77777777" w:rsidR="00F06FAA" w:rsidRPr="008B4BF2" w:rsidRDefault="00F06FAA" w:rsidP="00F06FAA">
      <w:pPr>
        <w:pStyle w:val="PargrafodaLista"/>
        <w:spacing w:line="240" w:lineRule="auto"/>
        <w:ind w:left="466"/>
        <w:rPr>
          <w:rFonts w:ascii="Times New Roman" w:eastAsia="Calibri" w:hAnsi="Times New Roman" w:cs="Times New Roman"/>
          <w:sz w:val="24"/>
          <w:szCs w:val="24"/>
        </w:rPr>
      </w:pPr>
    </w:p>
    <w:p w14:paraId="37F6B04F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  <w:highlight w:val="yellow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RAJ,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Satya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; JEMI, Merlin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Thanka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; MAMMEN,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Priya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Clinical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practice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guidelines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cognitive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impairment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spectrum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disorder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–Assessment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management. </w:t>
      </w:r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Indian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Journal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Psychiatry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67, n. 1, p. 117-127, 2025.</w:t>
      </w:r>
    </w:p>
    <w:p w14:paraId="0DD68E2F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  <w:highlight w:val="yellow"/>
        </w:rPr>
      </w:pPr>
    </w:p>
    <w:p w14:paraId="7B195F7C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ROUX, Anne M.; GARFIELD, Tamara; SHATTUCK, Paul T.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Employment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policy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autism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Analysis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state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Workforce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Innovation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Opportunity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Act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(WIOA)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implementation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plans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Journal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Vocational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Rehabilitation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51, n. 3, p. 285-298, 2019.</w:t>
      </w:r>
    </w:p>
    <w:p w14:paraId="17712404" w14:textId="77777777" w:rsidR="00F06FAA" w:rsidRPr="008B4BF2" w:rsidRDefault="00F06FAA" w:rsidP="00F06FAA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A7F6C9E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 xml:space="preserve">SILVA, Rosemeire de Souza Vieira </w:t>
      </w:r>
      <w:r w:rsidRPr="008B4BF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et al</w:t>
      </w: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Capacidades digitais aplicáveis ao setor educacional. </w:t>
      </w:r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Administração: </w:t>
      </w:r>
      <w:r w:rsidRPr="008B4BF2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Ensino e Pesquisa</w:t>
      </w: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23, n. 1, 2022.</w:t>
      </w:r>
    </w:p>
    <w:p w14:paraId="3576C7F5" w14:textId="77777777" w:rsidR="00F06FAA" w:rsidRPr="008B4BF2" w:rsidRDefault="00F06FAA" w:rsidP="00F06FAA">
      <w:pPr>
        <w:pStyle w:val="PargrafodaLista"/>
        <w:spacing w:line="240" w:lineRule="auto"/>
        <w:ind w:left="466"/>
        <w:rPr>
          <w:rFonts w:ascii="Times New Roman" w:eastAsia="Calibri" w:hAnsi="Times New Roman" w:cs="Times New Roman"/>
          <w:sz w:val="24"/>
          <w:szCs w:val="24"/>
        </w:rPr>
      </w:pPr>
    </w:p>
    <w:p w14:paraId="28E1E4B0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SINHA,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Sachin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; SINHA,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Deepti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Neurodiversity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workplace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The new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paradigm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talent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acquisition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retention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In: </w:t>
      </w:r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Global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Practices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on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Effective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Talent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Acquisition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Retention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IGI Global, 2024. p. 333-348.</w:t>
      </w:r>
    </w:p>
    <w:p w14:paraId="7D0EEFE0" w14:textId="77777777" w:rsidR="00F06FAA" w:rsidRPr="008B4BF2" w:rsidRDefault="00F06FAA" w:rsidP="00F06FAA">
      <w:pPr>
        <w:pStyle w:val="PargrafodaLista"/>
        <w:spacing w:line="240" w:lineRule="auto"/>
        <w:ind w:left="466"/>
        <w:rPr>
          <w:rFonts w:ascii="Times New Roman" w:eastAsia="Calibri" w:hAnsi="Times New Roman" w:cs="Times New Roman"/>
          <w:sz w:val="24"/>
          <w:szCs w:val="24"/>
        </w:rPr>
      </w:pPr>
    </w:p>
    <w:p w14:paraId="41157091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SMITH, Matthew J. </w:t>
      </w:r>
      <w:r w:rsidRPr="008B4BF2">
        <w:rPr>
          <w:rFonts w:ascii="Times New Roman" w:eastAsia="Calibri" w:hAnsi="Times New Roman" w:cs="Times New Roman"/>
          <w:i/>
          <w:iCs/>
          <w:sz w:val="24"/>
          <w:szCs w:val="24"/>
        </w:rPr>
        <w:t>et al</w:t>
      </w:r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. A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type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1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hybrid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multi-site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randomized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controlled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trial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protocol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for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evaluating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virtual interview training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among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autistic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transition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-age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youth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>. </w:t>
      </w:r>
      <w:proofErr w:type="spellStart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>Contemporary</w:t>
      </w:r>
      <w:proofErr w:type="spellEnd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Clinical </w:t>
      </w:r>
      <w:proofErr w:type="spellStart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>Trials</w:t>
      </w:r>
      <w:proofErr w:type="spellEnd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Communications</w:t>
      </w:r>
      <w:r w:rsidRPr="008B4BF2">
        <w:rPr>
          <w:rFonts w:ascii="Times New Roman" w:eastAsia="Calibri" w:hAnsi="Times New Roman" w:cs="Times New Roman"/>
          <w:sz w:val="24"/>
          <w:szCs w:val="24"/>
        </w:rPr>
        <w:t>, v. 42, p. 101384, 2024.</w:t>
      </w:r>
    </w:p>
    <w:p w14:paraId="6E8C3ED1" w14:textId="77777777" w:rsidR="00F06FAA" w:rsidRPr="008B4BF2" w:rsidRDefault="00F06FAA" w:rsidP="00F06FAA">
      <w:pPr>
        <w:pStyle w:val="PargrafodaLista"/>
        <w:spacing w:line="240" w:lineRule="auto"/>
        <w:ind w:left="466"/>
        <w:rPr>
          <w:rFonts w:ascii="Times New Roman" w:eastAsia="Calibri" w:hAnsi="Times New Roman" w:cs="Times New Roman"/>
          <w:sz w:val="24"/>
          <w:szCs w:val="24"/>
        </w:rPr>
      </w:pPr>
    </w:p>
    <w:p w14:paraId="1552D775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SOUZA, Amanda Damasceno </w:t>
      </w:r>
      <w:r w:rsidRPr="008B4BF2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et al.</w:t>
      </w: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Ferramentas para gestão da informação em revisões de literatura. </w:t>
      </w:r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Perspectivas em Gestão &amp; Conhecimento</w:t>
      </w: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12, n. 3, p. 299-313, 2022.</w:t>
      </w:r>
    </w:p>
    <w:p w14:paraId="26205CFA" w14:textId="77777777" w:rsidR="00F06FAA" w:rsidRPr="008B4BF2" w:rsidRDefault="00F06FAA" w:rsidP="00F06FAA">
      <w:pPr>
        <w:pStyle w:val="PargrafodaLista"/>
        <w:spacing w:line="240" w:lineRule="auto"/>
        <w:ind w:left="466"/>
        <w:rPr>
          <w:rFonts w:ascii="Times New Roman" w:eastAsia="Calibri" w:hAnsi="Times New Roman" w:cs="Times New Roman"/>
          <w:sz w:val="24"/>
          <w:szCs w:val="24"/>
        </w:rPr>
      </w:pPr>
    </w:p>
    <w:p w14:paraId="429BA282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TAYLOR, Amy Ria; MILLER, Suzanne; DAVIES,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Lorna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Neurodivergence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among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healthcare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professionals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implications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midwifery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: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literature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review. </w:t>
      </w:r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New Zealand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College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Midwives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Journal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v. 60, 2024. Disponível em: </w:t>
      </w:r>
      <w:hyperlink r:id="rId15" w:history="1">
        <w:r w:rsidRPr="008B4BF2">
          <w:rPr>
            <w:rStyle w:val="Hyperlink"/>
            <w:rFonts w:ascii="Times New Roman" w:hAnsi="Times New Roman" w:cs="Times New Roman"/>
            <w:sz w:val="24"/>
            <w:szCs w:val="24"/>
            <w:shd w:val="clear" w:color="auto" w:fill="FFFFFF"/>
          </w:rPr>
          <w:t>https://www.midwife.org.nz/wp-content/uploads/2024/08/2024-Article-6-neurodivergence-246006.pdf</w:t>
        </w:r>
      </w:hyperlink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Acesso em: 04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jul.</w:t>
      </w:r>
      <w:r w:rsidRPr="002744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2025.</w:t>
      </w:r>
    </w:p>
    <w:p w14:paraId="67B63E33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57D16B9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TOMCZAK,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Michał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T.; SZULC, Joanna Maria; SZCZERSKA,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Małgorzata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. Inclusive communication model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supporting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employment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cycle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individuals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autism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spectrum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disorders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>. 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International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journal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of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environmental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research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and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public</w:t>
      </w:r>
      <w:proofErr w:type="spellEnd"/>
      <w:r w:rsidRPr="008B4BF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sz w:val="24"/>
          <w:szCs w:val="24"/>
        </w:rPr>
        <w:t>health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>, v. 18, n. 9, p. 4696, 2021.</w:t>
      </w:r>
    </w:p>
    <w:p w14:paraId="3ADD9C23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2BBB7E4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TRIVIÑOS, Augusto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Nibaldo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Silva. </w:t>
      </w:r>
      <w:r w:rsidRPr="008B4BF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Três enfoques na pesquisa em ciências sociais</w:t>
      </w:r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: o positivismo, a fenomenologia e o marxismo. 1987.</w:t>
      </w:r>
    </w:p>
    <w:p w14:paraId="568A831D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AD4CED9" w14:textId="77777777" w:rsidR="00F06FAA" w:rsidRPr="008B4BF2" w:rsidRDefault="00F06FAA" w:rsidP="00F06FA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8" w:name="_Hlk205051932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VAN WIJK, Charles; FIRFIREY,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Nazneen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A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brief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screen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for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attention-deficit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/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hyperactivity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disorder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South African </w:t>
      </w:r>
      <w:proofErr w:type="spellStart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workplace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 </w:t>
      </w:r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South African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Journal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of</w:t>
      </w:r>
      <w:proofErr w:type="spellEnd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8B4BF2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Psychiatry</w:t>
      </w:r>
      <w:proofErr w:type="spellEnd"/>
      <w:r w:rsidRPr="008B4BF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v. 26, 2020.</w:t>
      </w:r>
    </w:p>
    <w:p w14:paraId="7110101A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46BB45" w14:textId="77777777" w:rsidR="00F06FAA" w:rsidRPr="008B4BF2" w:rsidRDefault="00F06FAA" w:rsidP="00F06FAA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ZWICKER, Jennifer; ZARESANI,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Arezou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>; EMERY</w:t>
      </w:r>
      <w:bookmarkEnd w:id="8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, JC Herb.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Describing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heterogeneity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unmet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needs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among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adults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developmental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disability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An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examination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2012 Canadian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Survey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on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sz w:val="24"/>
          <w:szCs w:val="24"/>
        </w:rPr>
        <w:t>Disability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>. </w:t>
      </w:r>
      <w:proofErr w:type="spellStart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>Research</w:t>
      </w:r>
      <w:proofErr w:type="spellEnd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in </w:t>
      </w:r>
      <w:proofErr w:type="spellStart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>developmental</w:t>
      </w:r>
      <w:proofErr w:type="spellEnd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B4BF2">
        <w:rPr>
          <w:rFonts w:ascii="Times New Roman" w:eastAsia="Calibri" w:hAnsi="Times New Roman" w:cs="Times New Roman"/>
          <w:b/>
          <w:bCs/>
          <w:sz w:val="24"/>
          <w:szCs w:val="24"/>
        </w:rPr>
        <w:t>disabilities</w:t>
      </w:r>
      <w:proofErr w:type="spellEnd"/>
      <w:r w:rsidRPr="008B4BF2">
        <w:rPr>
          <w:rFonts w:ascii="Times New Roman" w:eastAsia="Calibri" w:hAnsi="Times New Roman" w:cs="Times New Roman"/>
          <w:sz w:val="24"/>
          <w:szCs w:val="24"/>
        </w:rPr>
        <w:t>, v. 65, p. 1-11, 2017.</w:t>
      </w:r>
    </w:p>
    <w:p w14:paraId="048B096E" w14:textId="77777777" w:rsidR="00F06FAA" w:rsidRPr="000D0164" w:rsidRDefault="00F06FAA" w:rsidP="00F06FAA">
      <w:pPr>
        <w:rPr>
          <w:rFonts w:ascii="Times New Roman" w:eastAsia="Calibri" w:hAnsi="Times New Roman" w:cs="Times New Roman"/>
          <w:sz w:val="24"/>
          <w:szCs w:val="24"/>
        </w:rPr>
      </w:pPr>
    </w:p>
    <w:p w14:paraId="33B4A761" w14:textId="77777777" w:rsidR="006F452E" w:rsidRPr="00F06FAA" w:rsidRDefault="006F452E" w:rsidP="006F452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43F8DD2" w14:textId="77777777" w:rsidR="0003617F" w:rsidRPr="00F06FAA" w:rsidRDefault="0003617F" w:rsidP="006F452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0A81C1D" w14:textId="77777777" w:rsidR="0003617F" w:rsidRDefault="0003617F" w:rsidP="006F452E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03617F" w:rsidSect="00B009E4">
      <w:headerReference w:type="default" r:id="rId16"/>
      <w:footerReference w:type="default" r:id="rId17"/>
      <w:headerReference w:type="first" r:id="rId18"/>
      <w:pgSz w:w="11909" w:h="16834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E8C01" w14:textId="77777777" w:rsidR="00D66822" w:rsidRDefault="00D66822">
      <w:pPr>
        <w:spacing w:line="240" w:lineRule="auto"/>
      </w:pPr>
      <w:r>
        <w:separator/>
      </w:r>
    </w:p>
  </w:endnote>
  <w:endnote w:type="continuationSeparator" w:id="0">
    <w:p w14:paraId="5BB7EC0E" w14:textId="77777777" w:rsidR="00D66822" w:rsidRDefault="00D668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3D94C7-FDBD-4373-BEF5-D9BBA553CCA1}"/>
    <w:embedBold r:id="rId2" w:fontKey="{1D32BAA2-5CD8-4897-B3F8-DD39D7308CB3}"/>
    <w:embedItalic r:id="rId3" w:fontKey="{0DACF461-9BC7-4ECB-9050-74F88D529730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4" w:fontKey="{207F6709-9EA9-4C0C-9DF2-8665A91D27C1}"/>
  </w:font>
  <w:font w:name="Noto Sans Symbols">
    <w:altName w:val="Times New Roman"/>
    <w:charset w:val="00"/>
    <w:family w:val="auto"/>
    <w:pitch w:val="default"/>
    <w:embedRegular r:id="rId5" w:fontKey="{66A22407-A9C9-42FD-8EDC-7FC290A9F5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0210C4C-5AC8-4708-BD35-F672043962DC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11FC29A-F7AB-4502-81E2-B312B3267D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78CF183-79D2-4928-8AD3-F2353DD37820}"/>
    <w:embedItalic r:id="rId9" w:fontKey="{F2C8AD03-B80B-4E00-A184-3573C9F39A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BADF531-7A86-4CBB-B308-B0AAC36C18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1B0B7" w14:textId="77777777" w:rsidR="006F452E" w:rsidRPr="00B009E4" w:rsidRDefault="006F452E" w:rsidP="006F45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Times New Roman" w:eastAsia="Times New Roman" w:hAnsi="Times New Roman" w:cs="Times New Roman"/>
        <w:color w:val="1F497D" w:themeColor="text2"/>
      </w:rPr>
    </w:pPr>
    <w:r w:rsidRPr="00B009E4">
      <w:rPr>
        <w:rFonts w:ascii="Times New Roman" w:eastAsia="Times New Roman" w:hAnsi="Times New Roman" w:cs="Times New Roman"/>
        <w:color w:val="1F497D" w:themeColor="text2"/>
      </w:rPr>
      <w:t>SBGC – Sociedade Brasileira de Gestão do Conhecimento – sbgc.org.br</w:t>
    </w:r>
  </w:p>
  <w:p w14:paraId="2E83D7AB" w14:textId="7A199FCD" w:rsidR="00D8471E" w:rsidRDefault="006F452E" w:rsidP="006F45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rFonts w:ascii="Times New Roman" w:eastAsia="Times New Roman" w:hAnsi="Times New Roman" w:cs="Times New Roman"/>
        <w:color w:val="000000"/>
      </w:rPr>
    </w:pPr>
    <w:r w:rsidRPr="00B009E4">
      <w:rPr>
        <w:rFonts w:ascii="Times New Roman" w:eastAsia="Times New Roman" w:hAnsi="Times New Roman" w:cs="Times New Roman"/>
        <w:color w:val="1F497D" w:themeColor="text2"/>
      </w:rPr>
      <w:t xml:space="preserve">KM Brasil 2025 - 20º Congresso Brasileiro de Gestão do Conhecimento – kmbrasil.org                      </w:t>
    </w:r>
    <w:r w:rsidRPr="00B009E4">
      <w:rPr>
        <w:rFonts w:ascii="Times New Roman" w:eastAsia="Times New Roman" w:hAnsi="Times New Roman" w:cs="Times New Roman"/>
        <w:color w:val="1F497D" w:themeColor="text2"/>
      </w:rPr>
      <w:fldChar w:fldCharType="begin"/>
    </w:r>
    <w:r w:rsidRPr="00B009E4">
      <w:rPr>
        <w:rFonts w:ascii="Times New Roman" w:eastAsia="Times New Roman" w:hAnsi="Times New Roman" w:cs="Times New Roman"/>
        <w:color w:val="1F497D" w:themeColor="text2"/>
      </w:rPr>
      <w:instrText>PAGE</w:instrText>
    </w:r>
    <w:r w:rsidRPr="00B009E4">
      <w:rPr>
        <w:rFonts w:ascii="Times New Roman" w:eastAsia="Times New Roman" w:hAnsi="Times New Roman" w:cs="Times New Roman"/>
        <w:color w:val="1F497D" w:themeColor="text2"/>
      </w:rPr>
      <w:fldChar w:fldCharType="separate"/>
    </w:r>
    <w:r w:rsidR="00421B29" w:rsidRPr="00B009E4">
      <w:rPr>
        <w:rFonts w:ascii="Times New Roman" w:eastAsia="Times New Roman" w:hAnsi="Times New Roman" w:cs="Times New Roman"/>
        <w:noProof/>
        <w:color w:val="1F497D" w:themeColor="text2"/>
      </w:rPr>
      <w:t>1</w:t>
    </w:r>
    <w:r w:rsidRPr="00B009E4">
      <w:rPr>
        <w:rFonts w:ascii="Times New Roman" w:eastAsia="Times New Roman" w:hAnsi="Times New Roman" w:cs="Times New Roman"/>
        <w:color w:val="1F497D" w:themeColor="text2"/>
      </w:rPr>
      <w:fldChar w:fldCharType="end"/>
    </w:r>
  </w:p>
  <w:p w14:paraId="12F598DC" w14:textId="77777777" w:rsidR="00D8471E" w:rsidRDefault="00D847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356FFC" w14:textId="77777777" w:rsidR="00D66822" w:rsidRDefault="00D66822">
      <w:pPr>
        <w:spacing w:line="240" w:lineRule="auto"/>
      </w:pPr>
      <w:r>
        <w:separator/>
      </w:r>
    </w:p>
  </w:footnote>
  <w:footnote w:type="continuationSeparator" w:id="0">
    <w:p w14:paraId="562CBDB7" w14:textId="77777777" w:rsidR="00D66822" w:rsidRDefault="00D668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AE08E" w14:textId="6CEA9C00" w:rsidR="00D8471E" w:rsidRDefault="00136729" w:rsidP="001367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both"/>
      <w:rPr>
        <w:color w:val="000000"/>
      </w:rPr>
    </w:pPr>
    <w:r>
      <w:rPr>
        <w:noProof/>
      </w:rPr>
      <w:drawing>
        <wp:inline distT="0" distB="0" distL="0" distR="0" wp14:anchorId="66525D89" wp14:editId="00DB3627">
          <wp:extent cx="1126957" cy="360000"/>
          <wp:effectExtent l="0" t="0" r="0" b="2540"/>
          <wp:docPr id="203747436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794546" name="Imagem 1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957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</w:t>
    </w:r>
    <w:r>
      <w:rPr>
        <w:noProof/>
      </w:rPr>
      <w:drawing>
        <wp:inline distT="0" distB="0" distL="0" distR="0" wp14:anchorId="1784989F" wp14:editId="54DFB772">
          <wp:extent cx="1191818" cy="360000"/>
          <wp:effectExtent l="0" t="0" r="0" b="2540"/>
          <wp:docPr id="36435748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599476" name="Imagem 2" descr="Logotip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18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CCC41" w14:textId="488E232C" w:rsidR="00136729" w:rsidRDefault="00136729">
    <w:pPr>
      <w:pStyle w:val="Cabealho"/>
    </w:pPr>
    <w:r>
      <w:rPr>
        <w:noProof/>
      </w:rPr>
      <w:drawing>
        <wp:inline distT="0" distB="0" distL="0" distR="0" wp14:anchorId="70ED366B" wp14:editId="78F09767">
          <wp:extent cx="1126957" cy="360000"/>
          <wp:effectExtent l="0" t="0" r="0" b="2540"/>
          <wp:docPr id="127079454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957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</w:t>
    </w:r>
    <w:r>
      <w:rPr>
        <w:noProof/>
      </w:rPr>
      <w:drawing>
        <wp:inline distT="0" distB="0" distL="0" distR="0" wp14:anchorId="6A79E5C0" wp14:editId="180DC618">
          <wp:extent cx="1191818" cy="360000"/>
          <wp:effectExtent l="0" t="0" r="0" b="2540"/>
          <wp:docPr id="143359947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18" cy="36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F77A256" w14:textId="3EDE407D" w:rsidR="00D8471E" w:rsidRDefault="00D8471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921BE"/>
    <w:multiLevelType w:val="hybridMultilevel"/>
    <w:tmpl w:val="44C843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C0428"/>
    <w:multiLevelType w:val="hybridMultilevel"/>
    <w:tmpl w:val="3B441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26506"/>
    <w:multiLevelType w:val="hybridMultilevel"/>
    <w:tmpl w:val="E0026E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A6A28"/>
    <w:multiLevelType w:val="hybridMultilevel"/>
    <w:tmpl w:val="B7002D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110A9E"/>
    <w:multiLevelType w:val="hybridMultilevel"/>
    <w:tmpl w:val="F5E275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B0227"/>
    <w:multiLevelType w:val="multilevel"/>
    <w:tmpl w:val="3FBA25D6"/>
    <w:lvl w:ilvl="0">
      <w:start w:val="1"/>
      <w:numFmt w:val="decimal"/>
      <w:lvlText w:val="%1."/>
      <w:lvlJc w:val="left"/>
      <w:pPr>
        <w:ind w:left="466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1.%2"/>
      <w:lvlJc w:val="right"/>
      <w:pPr>
        <w:ind w:left="52" w:firstLine="89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1.%2.%3"/>
      <w:lvlJc w:val="right"/>
      <w:pPr>
        <w:ind w:left="7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1.%2.%3.%4"/>
      <w:lvlJc w:val="right"/>
      <w:pPr>
        <w:ind w:left="149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right"/>
      <w:pPr>
        <w:ind w:left="221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right"/>
      <w:pPr>
        <w:ind w:left="293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right"/>
      <w:pPr>
        <w:ind w:left="365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right"/>
      <w:pPr>
        <w:ind w:left="43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right"/>
      <w:pPr>
        <w:ind w:left="5092" w:hanging="36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6" w15:restartNumberingAfterBreak="0">
    <w:nsid w:val="213069DD"/>
    <w:multiLevelType w:val="hybridMultilevel"/>
    <w:tmpl w:val="451805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87"/>
    <w:multiLevelType w:val="hybridMultilevel"/>
    <w:tmpl w:val="43DE17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76780"/>
    <w:multiLevelType w:val="multilevel"/>
    <w:tmpl w:val="EBCEC6B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9" w15:restartNumberingAfterBreak="0">
    <w:nsid w:val="30CA6E25"/>
    <w:multiLevelType w:val="hybridMultilevel"/>
    <w:tmpl w:val="88083D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B588A"/>
    <w:multiLevelType w:val="hybridMultilevel"/>
    <w:tmpl w:val="EB769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C648D"/>
    <w:multiLevelType w:val="multilevel"/>
    <w:tmpl w:val="0DE8FB4C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C8B469F"/>
    <w:multiLevelType w:val="hybridMultilevel"/>
    <w:tmpl w:val="16228A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D65773"/>
    <w:multiLevelType w:val="multilevel"/>
    <w:tmpl w:val="432AF41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4" w15:restartNumberingAfterBreak="0">
    <w:nsid w:val="55060324"/>
    <w:multiLevelType w:val="multilevel"/>
    <w:tmpl w:val="413E6E3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8B146F2"/>
    <w:multiLevelType w:val="hybridMultilevel"/>
    <w:tmpl w:val="008A2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7E05AC"/>
    <w:multiLevelType w:val="hybridMultilevel"/>
    <w:tmpl w:val="92DA53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83DDD"/>
    <w:multiLevelType w:val="multilevel"/>
    <w:tmpl w:val="CFE63A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EE36FE6"/>
    <w:multiLevelType w:val="multilevel"/>
    <w:tmpl w:val="4F003D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6243082"/>
    <w:multiLevelType w:val="hybridMultilevel"/>
    <w:tmpl w:val="5896F8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B2D22"/>
    <w:multiLevelType w:val="hybridMultilevel"/>
    <w:tmpl w:val="3E0A70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10066D"/>
    <w:multiLevelType w:val="multilevel"/>
    <w:tmpl w:val="7A6E4324"/>
    <w:lvl w:ilvl="0">
      <w:start w:val="1"/>
      <w:numFmt w:val="decimal"/>
      <w:lvlText w:val="%1"/>
      <w:lvlJc w:val="right"/>
      <w:pPr>
        <w:ind w:left="466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1">
      <w:start w:val="1"/>
      <w:numFmt w:val="decimal"/>
      <w:lvlText w:val="%1.%2"/>
      <w:lvlJc w:val="right"/>
      <w:pPr>
        <w:ind w:left="52" w:firstLine="89"/>
      </w:pPr>
      <w:rPr>
        <w:smallCaps w:val="0"/>
        <w:strike w:val="0"/>
        <w:color w:val="000000"/>
        <w:shd w:val="clear" w:color="auto" w:fill="auto"/>
        <w:vertAlign w:val="baseline"/>
      </w:rPr>
    </w:lvl>
    <w:lvl w:ilvl="2">
      <w:start w:val="1"/>
      <w:numFmt w:val="decimal"/>
      <w:lvlText w:val="%1.%2.%3"/>
      <w:lvlJc w:val="right"/>
      <w:pPr>
        <w:ind w:left="7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3">
      <w:start w:val="1"/>
      <w:numFmt w:val="decimal"/>
      <w:lvlText w:val="%1.%2.%3.%4"/>
      <w:lvlJc w:val="right"/>
      <w:pPr>
        <w:ind w:left="149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right"/>
      <w:pPr>
        <w:ind w:left="221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right"/>
      <w:pPr>
        <w:ind w:left="293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right"/>
      <w:pPr>
        <w:ind w:left="365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right"/>
      <w:pPr>
        <w:ind w:left="4372" w:hanging="360"/>
      </w:pPr>
      <w:rPr>
        <w:smallCaps w:val="0"/>
        <w:strike w:val="0"/>
        <w:color w:val="00000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right"/>
      <w:pPr>
        <w:ind w:left="5092" w:hanging="360"/>
      </w:pPr>
      <w:rPr>
        <w:smallCaps w:val="0"/>
        <w:strike w:val="0"/>
        <w:color w:val="000000"/>
        <w:shd w:val="clear" w:color="auto" w:fill="auto"/>
        <w:vertAlign w:val="baseline"/>
      </w:rPr>
    </w:lvl>
  </w:abstractNum>
  <w:abstractNum w:abstractNumId="22" w15:restartNumberingAfterBreak="0">
    <w:nsid w:val="759E0985"/>
    <w:multiLevelType w:val="hybridMultilevel"/>
    <w:tmpl w:val="A70C28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571A8A"/>
    <w:multiLevelType w:val="hybridMultilevel"/>
    <w:tmpl w:val="E692FEB2"/>
    <w:lvl w:ilvl="0" w:tplc="D5A829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323819">
    <w:abstractNumId w:val="17"/>
  </w:num>
  <w:num w:numId="2" w16cid:durableId="691417632">
    <w:abstractNumId w:val="13"/>
  </w:num>
  <w:num w:numId="3" w16cid:durableId="754589262">
    <w:abstractNumId w:val="5"/>
  </w:num>
  <w:num w:numId="4" w16cid:durableId="1327708678">
    <w:abstractNumId w:val="18"/>
  </w:num>
  <w:num w:numId="5" w16cid:durableId="1731423611">
    <w:abstractNumId w:val="8"/>
  </w:num>
  <w:num w:numId="6" w16cid:durableId="277370596">
    <w:abstractNumId w:val="21"/>
  </w:num>
  <w:num w:numId="7" w16cid:durableId="602806074">
    <w:abstractNumId w:val="9"/>
  </w:num>
  <w:num w:numId="8" w16cid:durableId="1007825265">
    <w:abstractNumId w:val="1"/>
  </w:num>
  <w:num w:numId="9" w16cid:durableId="653526946">
    <w:abstractNumId w:val="4"/>
  </w:num>
  <w:num w:numId="10" w16cid:durableId="721293065">
    <w:abstractNumId w:val="22"/>
  </w:num>
  <w:num w:numId="11" w16cid:durableId="435903215">
    <w:abstractNumId w:val="10"/>
  </w:num>
  <w:num w:numId="12" w16cid:durableId="1028137284">
    <w:abstractNumId w:val="19"/>
  </w:num>
  <w:num w:numId="13" w16cid:durableId="1017779455">
    <w:abstractNumId w:val="20"/>
  </w:num>
  <w:num w:numId="14" w16cid:durableId="223570805">
    <w:abstractNumId w:val="0"/>
  </w:num>
  <w:num w:numId="15" w16cid:durableId="527449151">
    <w:abstractNumId w:val="7"/>
  </w:num>
  <w:num w:numId="16" w16cid:durableId="1268584712">
    <w:abstractNumId w:val="2"/>
  </w:num>
  <w:num w:numId="17" w16cid:durableId="955601426">
    <w:abstractNumId w:val="16"/>
  </w:num>
  <w:num w:numId="18" w16cid:durableId="510098594">
    <w:abstractNumId w:val="12"/>
  </w:num>
  <w:num w:numId="19" w16cid:durableId="280109719">
    <w:abstractNumId w:val="15"/>
  </w:num>
  <w:num w:numId="20" w16cid:durableId="1236547467">
    <w:abstractNumId w:val="6"/>
  </w:num>
  <w:num w:numId="21" w16cid:durableId="933781715">
    <w:abstractNumId w:val="3"/>
  </w:num>
  <w:num w:numId="22" w16cid:durableId="1544827356">
    <w:abstractNumId w:val="23"/>
  </w:num>
  <w:num w:numId="23" w16cid:durableId="535578868">
    <w:abstractNumId w:val="11"/>
  </w:num>
  <w:num w:numId="24" w16cid:durableId="7009778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71E"/>
    <w:rsid w:val="0003617F"/>
    <w:rsid w:val="000C4740"/>
    <w:rsid w:val="00136729"/>
    <w:rsid w:val="00175D35"/>
    <w:rsid w:val="00421B29"/>
    <w:rsid w:val="00512D7C"/>
    <w:rsid w:val="006A4F8D"/>
    <w:rsid w:val="006F452E"/>
    <w:rsid w:val="0092081D"/>
    <w:rsid w:val="00A36362"/>
    <w:rsid w:val="00AB7504"/>
    <w:rsid w:val="00B009E4"/>
    <w:rsid w:val="00B21B5E"/>
    <w:rsid w:val="00B72C81"/>
    <w:rsid w:val="00D66822"/>
    <w:rsid w:val="00D8471E"/>
    <w:rsid w:val="00DA377B"/>
    <w:rsid w:val="00DB2754"/>
    <w:rsid w:val="00DD1E49"/>
    <w:rsid w:val="00F06FAA"/>
    <w:rsid w:val="00F72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3E5D92"/>
  <w15:docId w15:val="{55CBF3C4-6FD1-459E-91DC-227376480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5D35"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70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708A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08A4"/>
  </w:style>
  <w:style w:type="paragraph" w:styleId="Rodap">
    <w:name w:val="footer"/>
    <w:basedOn w:val="Normal"/>
    <w:link w:val="RodapChar"/>
    <w:uiPriority w:val="99"/>
    <w:unhideWhenUsed/>
    <w:rsid w:val="008708A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08A4"/>
  </w:style>
  <w:style w:type="paragraph" w:customStyle="1" w:styleId="Corpo">
    <w:name w:val="Corpo"/>
    <w:rsid w:val="008708A4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styleId="nfase">
    <w:name w:val="Emphasis"/>
    <w:basedOn w:val="Fontepargpadro"/>
    <w:uiPriority w:val="20"/>
    <w:qFormat/>
    <w:rsid w:val="009210C0"/>
    <w:rPr>
      <w:i/>
      <w:iCs/>
    </w:rPr>
  </w:style>
  <w:style w:type="paragraph" w:styleId="PargrafodaLista">
    <w:name w:val="List Paragraph"/>
    <w:basedOn w:val="Normal"/>
    <w:uiPriority w:val="34"/>
    <w:qFormat/>
    <w:rsid w:val="006A4EDB"/>
    <w:pPr>
      <w:ind w:left="720"/>
      <w:contextualSpacing/>
    </w:p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A726EA"/>
  </w:style>
  <w:style w:type="character" w:styleId="Hyperlink">
    <w:name w:val="Hyperlink"/>
    <w:uiPriority w:val="99"/>
    <w:unhideWhenUsed/>
    <w:rsid w:val="00C5226B"/>
    <w:rPr>
      <w:color w:val="0000FF"/>
      <w:u w:val="single"/>
    </w:rPr>
  </w:style>
  <w:style w:type="table" w:customStyle="1" w:styleId="a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03617F"/>
    <w:rPr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3617F"/>
    <w:rPr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3617F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3617F"/>
    <w:rPr>
      <w:color w:val="666666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3617F"/>
    <w:rPr>
      <w:color w:val="66666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3617F"/>
    <w:rPr>
      <w:i/>
      <w:color w:val="666666"/>
    </w:rPr>
  </w:style>
  <w:style w:type="character" w:customStyle="1" w:styleId="TtuloChar">
    <w:name w:val="Título Char"/>
    <w:basedOn w:val="Fontepargpadro"/>
    <w:link w:val="Ttulo"/>
    <w:uiPriority w:val="10"/>
    <w:rsid w:val="0003617F"/>
    <w:rPr>
      <w:sz w:val="52"/>
      <w:szCs w:val="52"/>
    </w:rPr>
  </w:style>
  <w:style w:type="table" w:customStyle="1" w:styleId="TableNormal60">
    <w:name w:val="Table Normal6"/>
    <w:rsid w:val="0003617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rsid w:val="0003617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rsid w:val="0003617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rsid w:val="0003617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03617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rsid w:val="0003617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ubttuloChar">
    <w:name w:val="Subtítulo Char"/>
    <w:basedOn w:val="Fontepargpadro"/>
    <w:link w:val="Subttulo"/>
    <w:uiPriority w:val="11"/>
    <w:rsid w:val="0003617F"/>
    <w:rPr>
      <w:color w:val="666666"/>
      <w:sz w:val="30"/>
      <w:szCs w:val="30"/>
    </w:rPr>
  </w:style>
  <w:style w:type="table" w:customStyle="1" w:styleId="14">
    <w:name w:val="14"/>
    <w:basedOn w:val="TableNormal10"/>
    <w:rsid w:val="0003617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10"/>
    <w:rsid w:val="0003617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2">
    <w:name w:val="12"/>
    <w:basedOn w:val="TableNormal10"/>
    <w:rsid w:val="0003617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1">
    <w:name w:val="11"/>
    <w:basedOn w:val="TableNormal10"/>
    <w:rsid w:val="0003617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0"/>
    <w:basedOn w:val="TableNormal10"/>
    <w:rsid w:val="0003617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9">
    <w:name w:val="9"/>
    <w:basedOn w:val="TableNormal10"/>
    <w:rsid w:val="0003617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">
    <w:name w:val="8"/>
    <w:basedOn w:val="TableNormal30"/>
    <w:rsid w:val="0003617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7">
    <w:name w:val="7"/>
    <w:basedOn w:val="TableNormal30"/>
    <w:rsid w:val="0003617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6">
    <w:name w:val="6"/>
    <w:basedOn w:val="TableNormal50"/>
    <w:rsid w:val="0003617F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">
    <w:name w:val="5"/>
    <w:basedOn w:val="TableNormal50"/>
    <w:rsid w:val="0003617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4">
    <w:name w:val="4"/>
    <w:basedOn w:val="TableNormal50"/>
    <w:rsid w:val="0003617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3">
    <w:name w:val="3"/>
    <w:basedOn w:val="TableNormal50"/>
    <w:rsid w:val="0003617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50"/>
    <w:rsid w:val="0003617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50"/>
    <w:rsid w:val="0003617F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comgrade">
    <w:name w:val="Table Grid"/>
    <w:basedOn w:val="Tabelanormal"/>
    <w:uiPriority w:val="39"/>
    <w:rsid w:val="0003617F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03617F"/>
    <w:rPr>
      <w:b/>
      <w:bCs/>
    </w:rPr>
  </w:style>
  <w:style w:type="paragraph" w:customStyle="1" w:styleId="ds-markdown-paragraph">
    <w:name w:val="ds-markdown-paragraph"/>
    <w:basedOn w:val="Normal"/>
    <w:rsid w:val="00036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361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617F"/>
    <w:rPr>
      <w:rFonts w:ascii="Tahoma" w:hAnsi="Tahoma" w:cs="Tahoma"/>
      <w:sz w:val="16"/>
      <w:szCs w:val="16"/>
    </w:rPr>
  </w:style>
  <w:style w:type="character" w:customStyle="1" w:styleId="button-link-text">
    <w:name w:val="button-link-text"/>
    <w:basedOn w:val="Fontepargpadro"/>
    <w:rsid w:val="0003617F"/>
  </w:style>
  <w:style w:type="character" w:customStyle="1" w:styleId="react-xocs-alternative-link">
    <w:name w:val="react-xocs-alternative-link"/>
    <w:basedOn w:val="Fontepargpadro"/>
    <w:rsid w:val="0003617F"/>
  </w:style>
  <w:style w:type="character" w:customStyle="1" w:styleId="given-name">
    <w:name w:val="given-name"/>
    <w:basedOn w:val="Fontepargpadro"/>
    <w:rsid w:val="0003617F"/>
  </w:style>
  <w:style w:type="character" w:customStyle="1" w:styleId="text">
    <w:name w:val="text"/>
    <w:basedOn w:val="Fontepargpadro"/>
    <w:rsid w:val="0003617F"/>
  </w:style>
  <w:style w:type="character" w:customStyle="1" w:styleId="author-ref">
    <w:name w:val="author-ref"/>
    <w:basedOn w:val="Fontepargpadro"/>
    <w:rsid w:val="0003617F"/>
  </w:style>
  <w:style w:type="paragraph" w:customStyle="1" w:styleId="Normal1">
    <w:name w:val="Normal1"/>
    <w:rsid w:val="0003617F"/>
    <w:pPr>
      <w:spacing w:line="360" w:lineRule="auto"/>
      <w:ind w:firstLine="709"/>
      <w:jc w:val="both"/>
    </w:pPr>
    <w:rPr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036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evista.fumec.br/index.php/facesp/article/view/10469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doi.org/10.52770/xtbm1097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i.org/10.1093/occmed/kqac142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midwife.org.nz/wp-content/uploads/2024/08/2024-Article-6-neurodivergence-246006.pdf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oi.org/10.31219/osf.io/d24hw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htM3Pl6tH8ume8n61uR96lHE9w==">CgMxLjA4AHIhMWJNOUR0VWhSdGhrV01xNndrdnVkTXo4NmJWMHFkSHdL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5C5C1AC-3AD9-4E7F-A010-88E8547057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7533</Words>
  <Characters>40682</Characters>
  <Application>Microsoft Office Word</Application>
  <DocSecurity>0</DocSecurity>
  <Lines>339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Fabiana Furtado</dc:creator>
  <cp:lastModifiedBy>Fabiana Furtado</cp:lastModifiedBy>
  <cp:revision>5</cp:revision>
  <dcterms:created xsi:type="dcterms:W3CDTF">2025-09-05T00:43:00Z</dcterms:created>
  <dcterms:modified xsi:type="dcterms:W3CDTF">2025-09-05T15:16:00Z</dcterms:modified>
</cp:coreProperties>
</file>