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FECHAMENTO DE COMUNICAÇÃO BUCO-SINUSAL UTILIZANDO A BOLA DE BICHAT: RELATO DE CASO¹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Clailson Morais de SOUSA²</w:t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  <w:t xml:space="preserve">Leonardo Davi Rodrigues SANTOS³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 Ian José Sousa da FONSÊCA⁴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 Cezar Henrique Fonseca PIO⁵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 Éwerton Daniel Rocha RODRIGUES⁶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RESUMO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INTRODUÇÃO:</w:t>
      </w:r>
      <w:r w:rsidDel="00000000" w:rsidR="00000000" w:rsidRPr="00000000">
        <w:rPr>
          <w:rFonts w:ascii="Arial" w:cs="Arial" w:eastAsia="Arial" w:hAnsi="Arial"/>
          <w:rtl w:val="0"/>
        </w:rPr>
        <w:t xml:space="preserve"> A comunicação buco-sinusal (CBS) é uma condição patológica caracterizada pela abertura anormal entre a cavidade oral e o seio maxilar. Trata-se de uma complicação pós-cirúrgica relativamente comum, especialmente após exodontias de molares superiores, em virtude da estreita relação anatômica entre os ápices das raízes desses dentes e o assoalho do seio maxilar. O tratamento da CBS deve considerar a localização, etiologia e extensão da comunicação. O diagnóstico deve ser precoce e envolve exames clínicos e radiográficos. Quando não tratada adequadamente, a CBS pode evoluir para uma fístula buco-sinusal, caracterizada pela epitelização da mucosa, tornando a comunicação permanente e de difícil resolução.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RELATO DE CASO: </w:t>
      </w:r>
      <w:r w:rsidDel="00000000" w:rsidR="00000000" w:rsidRPr="00000000">
        <w:rPr>
          <w:rFonts w:ascii="Arial" w:cs="Arial" w:eastAsia="Arial" w:hAnsi="Arial"/>
          <w:rtl w:val="0"/>
        </w:rPr>
        <w:t xml:space="preserve">Paciente V.A.P., leucoderma, sexo masculino, 32 anos, compareceu à clínica odontológica universitária queixando-se de dor na região do seio maxilar e dificuldade para se alimentar e ingerir líquidos. Ao exame clínico, foi observada continuidade entre o seio maxilar e o alvéolo de um molar superior previamente extraído. Após o diagnóstico de CBS e o tratamento da sinusite associada, indicou-se o fechamento da comunicação com a utilização do corpo adiposo bucal (bola de Bichat). O procedimento foi realizado sob anestesia local, com tração do tecido adiposo até a área da comunicação e sutura adequada.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CONSIDERAÇÕES FINAIS: </w:t>
      </w:r>
      <w:r w:rsidDel="00000000" w:rsidR="00000000" w:rsidRPr="00000000">
        <w:rPr>
          <w:rFonts w:ascii="Arial" w:cs="Arial" w:eastAsia="Arial" w:hAnsi="Arial"/>
          <w:rtl w:val="0"/>
        </w:rPr>
        <w:t xml:space="preserve">A técnica cirúrgica utilizando a bola de Bichat demonstrou-se eficaz para o fechamento da CBS, promovendo cicatrização adequada e ausência de recidiva durante o acompanhamento pós-operatório de três meses. Trata-se de uma abordagem segura e funcional, com baixa morbidade.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Rule="auto"/>
        <w:ind w:right="66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Descritores</w:t>
      </w:r>
      <w:r w:rsidDel="00000000" w:rsidR="00000000" w:rsidRPr="00000000">
        <w:rPr>
          <w:rFonts w:ascii="Arial" w:cs="Arial" w:eastAsia="Arial" w:hAnsi="Arial"/>
          <w:rtl w:val="0"/>
        </w:rPr>
        <w:t xml:space="preserve">: Cirurgia Maxilofacial Exodontia; Cirurgia Bucal; Seio Maxilar.</w:t>
      </w:r>
    </w:p>
    <w:p w:rsidR="00000000" w:rsidDel="00000000" w:rsidP="00000000" w:rsidRDefault="00000000" w:rsidRPr="00000000" w14:paraId="0000000D">
      <w:pPr>
        <w:spacing w:after="120" w:lineRule="auto"/>
        <w:ind w:right="66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40" w:w="11907" w:orient="portrait"/>
      <w:pgMar w:bottom="851" w:top="1134" w:left="1418" w:right="1275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pPr w:leftFromText="187" w:rightFromText="187" w:topFromText="0" w:bottomFromText="0" w:vertAnchor="text" w:horzAnchor="text" w:tblpX="0" w:tblpY="0"/>
      <w:tblW w:w="9214.0" w:type="dxa"/>
      <w:jc w:val="left"/>
      <w:tblLayout w:type="fixed"/>
      <w:tblLook w:val="0400"/>
    </w:tblPr>
    <w:tblGrid>
      <w:gridCol w:w="7371"/>
      <w:gridCol w:w="1843"/>
      <w:tblGridChange w:id="0">
        <w:tblGrid>
          <w:gridCol w:w="7371"/>
          <w:gridCol w:w="1843"/>
        </w:tblGrid>
      </w:tblGridChange>
    </w:tblGrid>
    <w:tr>
      <w:trPr>
        <w:cantSplit w:val="0"/>
        <w:trHeight w:val="727" w:hRule="atLeast"/>
        <w:tblHeader w:val="0"/>
      </w:trPr>
      <w:tc>
        <w:tcPr>
          <w:tcBorders>
            <w:right w:color="4f81bd" w:space="0" w:sz="4" w:val="single"/>
          </w:tcBorders>
        </w:tcPr>
        <w:p w:rsidR="00000000" w:rsidDel="00000000" w:rsidP="00000000" w:rsidRDefault="00000000" w:rsidRPr="00000000" w14:paraId="0000001E">
          <w:pPr>
            <w:tabs>
              <w:tab w:val="left" w:leader="none" w:pos="620"/>
              <w:tab w:val="center" w:leader="none" w:pos="4320"/>
            </w:tabs>
            <w:jc w:val="right"/>
            <w:rPr>
              <w:rFonts w:ascii="Calibri" w:cs="Calibri" w:eastAsia="Calibri" w:hAnsi="Calibri"/>
              <w:b w:val="1"/>
              <w:color w:val="17365d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4f81bd" w:space="0" w:sz="4" w:val="single"/>
          </w:tcBorders>
        </w:tcPr>
        <w:p w:rsidR="00000000" w:rsidDel="00000000" w:rsidP="00000000" w:rsidRDefault="00000000" w:rsidRPr="00000000" w14:paraId="0000001F">
          <w:pPr>
            <w:tabs>
              <w:tab w:val="left" w:leader="none" w:pos="1490"/>
            </w:tabs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1">
      <w:pPr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Trabalho apresentado na V Jornada Acadêmica de Odontologia (JAO), promovida pelo Centro Universitário Santo Agostinho, nos dias 29 e 30 de maio de 2025. ²Autor. Estudante do curso de graduação em Odontologia no Centro Universitário Santo Agostinho (UNIFSA). ³Autor. Estudante do curso de graduação em Odontologia no Centro Universitário Santo Agostinho (UNIFSA). ⁴Autor. Estudante do curso de graduação em Odontologia no Centro Universitário Santo Agostinho (UNIFSA). ⁵Autor. Estudante do curso de graduação em Odontologia no Centro Universitário Santo Agostinho (UNIFSA). </w:t>
      </w:r>
      <w:r w:rsidDel="00000000" w:rsidR="00000000" w:rsidRPr="00000000">
        <w:rPr>
          <w:rtl w:val="0"/>
        </w:rPr>
        <w:t xml:space="preserve">⁶</w:t>
      </w:r>
      <w:r w:rsidDel="00000000" w:rsidR="00000000" w:rsidRPr="00000000">
        <w:rPr>
          <w:sz w:val="22"/>
          <w:szCs w:val="22"/>
          <w:rtl w:val="0"/>
        </w:rPr>
        <w:t xml:space="preserve">Mestre e Doutor em Odontologia (UFPI) e Professor de graduação em Odontologia (UNIFSA). Orientador da Pesquisa.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-662304</wp:posOffset>
          </wp:positionH>
          <wp:positionV relativeFrom="paragraph">
            <wp:posOffset>-307206</wp:posOffset>
          </wp:positionV>
          <wp:extent cx="7248500" cy="148441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366091" w:val="clear"/>
      <w:tabs>
        <w:tab w:val="center" w:leader="none" w:pos="4252"/>
        <w:tab w:val="right" w:leader="none" w:pos="8504"/>
      </w:tabs>
      <w:spacing w:after="0" w:before="0" w:line="240" w:lineRule="auto"/>
      <w:ind w:left="-284" w:right="-284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  <w:rtl w:val="0"/>
      </w:rPr>
      <w:t xml:space="preserve">ANAIS 5º JAO UNIFSA 2025 | 29 e 30 de maio de 2025 | Centro Universitário Santo Agostinho - Teresina – PI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60" w:lineRule="auto"/>
      <w:jc w:val="center"/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