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1" w:hanging="3"/>
        <w:jc w:val="center"/>
        <w:rPr>
          <w:rFonts w:ascii="Arial" w:cs="Arial" w:eastAsia="Arial" w:hAnsi="Arial"/>
          <w:color w:val="000000"/>
          <w:sz w:val="28"/>
          <w:szCs w:val="28"/>
        </w:rPr>
      </w:pPr>
      <w:r w:rsidDel="00000000" w:rsidR="00000000" w:rsidRPr="00000000">
        <w:rPr>
          <w:rFonts w:ascii="Arial" w:cs="Arial" w:eastAsia="Arial" w:hAnsi="Arial"/>
          <w:b w:val="1"/>
          <w:sz w:val="28"/>
          <w:szCs w:val="28"/>
          <w:rtl w:val="0"/>
        </w:rPr>
        <w:t xml:space="preserve">FUNDAMENTOS DA NUTRIÇÃO NA PRIMEIRA INFÂNCIA: </w:t>
      </w:r>
      <w:r w:rsidDel="00000000" w:rsidR="00000000" w:rsidRPr="00000000">
        <w:rPr>
          <w:rFonts w:ascii="Arial" w:cs="Arial" w:eastAsia="Arial" w:hAnsi="Arial"/>
          <w:sz w:val="28"/>
          <w:szCs w:val="28"/>
          <w:rtl w:val="0"/>
        </w:rPr>
        <w:t xml:space="preserve">O IMPACTO DE UMA ALIMENTAÇÃO EQUILIBRADA NO DESENVOLVIMENTO FÍSICO E COGNITIVO DAS CRIANÇAS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center"/>
        <w:rPr>
          <w:rFonts w:ascii="Arial" w:cs="Arial" w:eastAsia="Arial" w:hAnsi="Arial"/>
          <w:color w:val="000000"/>
        </w:rPr>
      </w:pPr>
      <w:r w:rsidDel="00000000" w:rsidR="00000000" w:rsidRPr="00000000">
        <w:rPr>
          <w:rFonts w:ascii="Arial" w:cs="Arial" w:eastAsia="Arial" w:hAnsi="Arial"/>
          <w:rtl w:val="0"/>
        </w:rPr>
        <w:t xml:space="preserve">Danton Lummiere Miguel Dantas Batista de Araújo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center"/>
        <w:rPr/>
      </w:pPr>
      <w:r w:rsidDel="00000000" w:rsidR="00000000" w:rsidRPr="00000000">
        <w:rPr>
          <w:rFonts w:ascii="Arial" w:cs="Arial" w:eastAsia="Arial" w:hAnsi="Arial"/>
          <w:sz w:val="20"/>
          <w:szCs w:val="20"/>
          <w:rtl w:val="0"/>
        </w:rPr>
        <w:t xml:space="preserve">Centro Universitário de Patos</w:t>
      </w:r>
      <w:r w:rsidDel="00000000" w:rsidR="00000000" w:rsidRPr="00000000">
        <w:rPr>
          <w:rFonts w:ascii="Arial" w:cs="Arial" w:eastAsia="Arial" w:hAnsi="Arial"/>
          <w:color w:val="000000"/>
          <w:sz w:val="20"/>
          <w:szCs w:val="20"/>
          <w:rtl w:val="0"/>
        </w:rPr>
        <w:t xml:space="preserve"> - </w:t>
      </w:r>
      <w:r w:rsidDel="00000000" w:rsidR="00000000" w:rsidRPr="00000000">
        <w:rPr>
          <w:rFonts w:ascii="Arial" w:cs="Arial" w:eastAsia="Arial" w:hAnsi="Arial"/>
          <w:sz w:val="20"/>
          <w:szCs w:val="20"/>
          <w:rtl w:val="0"/>
        </w:rPr>
        <w:t xml:space="preserve">UNIFIP</w:t>
      </w:r>
      <w:r w:rsidDel="00000000" w:rsidR="00000000" w:rsidRPr="00000000">
        <w:rPr>
          <w:rFonts w:ascii="Arial" w:cs="Arial" w:eastAsia="Arial" w:hAnsi="Arial"/>
          <w:color w:val="000000"/>
          <w:sz w:val="20"/>
          <w:szCs w:val="20"/>
          <w:rtl w:val="0"/>
        </w:rPr>
        <w:t xml:space="preserve"> – </w:t>
      </w:r>
      <w:hyperlink r:id="rId7">
        <w:r w:rsidDel="00000000" w:rsidR="00000000" w:rsidRPr="00000000">
          <w:rPr>
            <w:rFonts w:ascii="Arial" w:cs="Arial" w:eastAsia="Arial" w:hAnsi="Arial"/>
            <w:color w:val="0000ff"/>
            <w:sz w:val="20"/>
            <w:szCs w:val="20"/>
            <w:u w:val="single"/>
            <w:rtl w:val="0"/>
          </w:rPr>
          <w:t xml:space="preserve">danton.lummiere@hotmail.com</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center"/>
        <w:rPr>
          <w:rFonts w:ascii="Arial" w:cs="Arial" w:eastAsia="Arial" w:hAnsi="Arial"/>
          <w:color w:val="000000"/>
        </w:rPr>
      </w:pPr>
      <w:r w:rsidDel="00000000" w:rsidR="00000000" w:rsidRPr="00000000">
        <w:rPr>
          <w:rFonts w:ascii="Arial" w:cs="Arial" w:eastAsia="Arial" w:hAnsi="Arial"/>
          <w:rtl w:val="0"/>
        </w:rPr>
        <w:t xml:space="preserve">Letícia Hevilin da Silva Araújo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Centro Universitário de Patos</w:t>
      </w:r>
      <w:r w:rsidDel="00000000" w:rsidR="00000000" w:rsidRPr="00000000">
        <w:rPr>
          <w:rFonts w:ascii="Arial" w:cs="Arial" w:eastAsia="Arial" w:hAnsi="Arial"/>
          <w:color w:val="000000"/>
          <w:sz w:val="20"/>
          <w:szCs w:val="20"/>
          <w:rtl w:val="0"/>
        </w:rPr>
        <w:t xml:space="preserve"> - </w:t>
      </w:r>
      <w:r w:rsidDel="00000000" w:rsidR="00000000" w:rsidRPr="00000000">
        <w:rPr>
          <w:rFonts w:ascii="Arial" w:cs="Arial" w:eastAsia="Arial" w:hAnsi="Arial"/>
          <w:sz w:val="20"/>
          <w:szCs w:val="20"/>
          <w:rtl w:val="0"/>
        </w:rPr>
        <w:t xml:space="preserve">UNIFIP</w:t>
      </w:r>
      <w:r w:rsidDel="00000000" w:rsidR="00000000" w:rsidRPr="00000000">
        <w:rPr>
          <w:rFonts w:ascii="Arial" w:cs="Arial" w:eastAsia="Arial" w:hAnsi="Arial"/>
          <w:color w:val="000000"/>
          <w:sz w:val="20"/>
          <w:szCs w:val="20"/>
          <w:rtl w:val="0"/>
        </w:rPr>
        <w:t xml:space="preserve"> – </w:t>
      </w:r>
      <w:hyperlink r:id="rId8">
        <w:r w:rsidDel="00000000" w:rsidR="00000000" w:rsidRPr="00000000">
          <w:rPr>
            <w:rFonts w:ascii="Arial" w:cs="Arial" w:eastAsia="Arial" w:hAnsi="Arial"/>
            <w:color w:val="0000ff"/>
            <w:sz w:val="20"/>
            <w:szCs w:val="20"/>
            <w:u w:val="single"/>
            <w:rtl w:val="0"/>
          </w:rPr>
          <w:t xml:space="preserve">leticiahevilin12@gmail.com</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hanging="2"/>
        <w:jc w:val="center"/>
        <w:rPr>
          <w:rFonts w:ascii="Arial" w:cs="Arial" w:eastAsia="Arial" w:hAnsi="Arial"/>
          <w:color w:val="000000"/>
        </w:rPr>
      </w:pPr>
      <w:r w:rsidDel="00000000" w:rsidR="00000000" w:rsidRPr="00000000">
        <w:rPr>
          <w:rFonts w:ascii="Arial" w:cs="Arial" w:eastAsia="Arial" w:hAnsi="Arial"/>
          <w:rtl w:val="0"/>
        </w:rPr>
        <w:t xml:space="preserve">Luzia Vitória Paiva Alves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Centro Universitário de Patos </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UNIFIP</w:t>
      </w:r>
      <w:r w:rsidDel="00000000" w:rsidR="00000000" w:rsidRPr="00000000">
        <w:rPr>
          <w:rFonts w:ascii="Arial" w:cs="Arial" w:eastAsia="Arial" w:hAnsi="Arial"/>
          <w:color w:val="000000"/>
          <w:sz w:val="20"/>
          <w:szCs w:val="20"/>
          <w:rtl w:val="0"/>
        </w:rPr>
        <w:t xml:space="preserve">–</w:t>
      </w:r>
      <w:hyperlink r:id="rId9">
        <w:r w:rsidDel="00000000" w:rsidR="00000000" w:rsidRPr="00000000">
          <w:rPr>
            <w:rFonts w:ascii="Arial" w:cs="Arial" w:eastAsia="Arial" w:hAnsi="Arial"/>
            <w:color w:val="0000ff"/>
            <w:sz w:val="20"/>
            <w:szCs w:val="20"/>
            <w:u w:val="single"/>
            <w:rtl w:val="0"/>
          </w:rPr>
          <w:t xml:space="preserve">luziavitoriapaiva@hotmail.com</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ind w:hanging="2"/>
        <w:jc w:val="center"/>
        <w:rPr>
          <w:rFonts w:ascii="Arial" w:cs="Arial" w:eastAsia="Arial" w:hAnsi="Arial"/>
        </w:rPr>
      </w:pPr>
      <w:r w:rsidDel="00000000" w:rsidR="00000000" w:rsidRPr="00000000">
        <w:rPr>
          <w:rFonts w:ascii="Arial" w:cs="Arial" w:eastAsia="Arial" w:hAnsi="Arial"/>
          <w:rtl w:val="0"/>
        </w:rPr>
        <w:t xml:space="preserve">Vanessa Maria Monteiro Silva </w:t>
      </w:r>
    </w:p>
    <w:p w:rsidR="00000000" w:rsidDel="00000000" w:rsidP="00000000" w:rsidRDefault="00000000" w:rsidRPr="00000000" w14:paraId="0000000E">
      <w:pPr>
        <w:ind w:hanging="2"/>
        <w:jc w:val="center"/>
        <w:rPr>
          <w:rFonts w:ascii="Arial" w:cs="Arial" w:eastAsia="Arial" w:hAnsi="Arial"/>
        </w:rPr>
      </w:pPr>
      <w:r w:rsidDel="00000000" w:rsidR="00000000" w:rsidRPr="00000000">
        <w:rPr>
          <w:rFonts w:ascii="Arial" w:cs="Arial" w:eastAsia="Arial" w:hAnsi="Arial"/>
          <w:sz w:val="20"/>
          <w:szCs w:val="20"/>
          <w:rtl w:val="0"/>
        </w:rPr>
        <w:t xml:space="preserve">Centro Universitário de Patos - UNIFIP - </w:t>
      </w:r>
      <w:hyperlink r:id="rId10">
        <w:r w:rsidDel="00000000" w:rsidR="00000000" w:rsidRPr="00000000">
          <w:rPr>
            <w:rFonts w:ascii="Arial" w:cs="Arial" w:eastAsia="Arial" w:hAnsi="Arial"/>
            <w:color w:val="1155cc"/>
            <w:sz w:val="20"/>
            <w:szCs w:val="20"/>
            <w:u w:val="single"/>
            <w:rtl w:val="0"/>
          </w:rPr>
          <w:t xml:space="preserve">vanessasilva@enf.fiponline.edu.br</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ind w:hanging="2"/>
        <w:jc w:val="center"/>
        <w:rPr>
          <w:rFonts w:ascii="Arial" w:cs="Arial" w:eastAsia="Arial" w:hAnsi="Arial"/>
        </w:rPr>
      </w:pPr>
      <w:r w:rsidDel="00000000" w:rsidR="00000000" w:rsidRPr="00000000">
        <w:rPr>
          <w:rFonts w:ascii="Arial" w:cs="Arial" w:eastAsia="Arial" w:hAnsi="Arial"/>
          <w:rtl w:val="0"/>
        </w:rPr>
        <w:t xml:space="preserve">Thallita Albuquerque da Silva</w:t>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Centro Universitário de Patos - UNIFIP - </w:t>
      </w:r>
      <w:hyperlink r:id="rId11">
        <w:r w:rsidDel="00000000" w:rsidR="00000000" w:rsidRPr="00000000">
          <w:rPr>
            <w:rFonts w:ascii="Arial" w:cs="Arial" w:eastAsia="Arial" w:hAnsi="Arial"/>
            <w:color w:val="0000ff"/>
            <w:sz w:val="20"/>
            <w:szCs w:val="20"/>
            <w:u w:val="single"/>
            <w:rtl w:val="0"/>
          </w:rPr>
          <w:t xml:space="preserve">thallitaalbuquerque16@gmail.com</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jc w:val="center"/>
        <w:rPr>
          <w:rFonts w:ascii="Arial" w:cs="Arial" w:eastAsia="Arial" w:hAnsi="Arial"/>
          <w:color w:val="000000"/>
        </w:rPr>
      </w:pPr>
      <w:r w:rsidDel="00000000" w:rsidR="00000000" w:rsidRPr="00000000">
        <w:rPr>
          <w:rFonts w:ascii="Arial" w:cs="Arial" w:eastAsia="Arial" w:hAnsi="Arial"/>
          <w:color w:val="000000"/>
          <w:rtl w:val="0"/>
        </w:rPr>
        <w:t xml:space="preserve">Juliane de Oliveira Costa</w:t>
      </w:r>
    </w:p>
    <w:p w:rsidR="00000000" w:rsidDel="00000000" w:rsidP="00000000" w:rsidRDefault="00000000" w:rsidRPr="00000000" w14:paraId="00000014">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Centro Universitário de Patos – UNIFIP - </w:t>
      </w:r>
      <w:hyperlink r:id="rId12">
        <w:r w:rsidDel="00000000" w:rsidR="00000000" w:rsidRPr="00000000">
          <w:rPr>
            <w:rFonts w:ascii="Arial" w:cs="Arial" w:eastAsia="Arial" w:hAnsi="Arial"/>
            <w:color w:val="1155cc"/>
            <w:sz w:val="20"/>
            <w:szCs w:val="20"/>
            <w:u w:val="single"/>
            <w:rtl w:val="0"/>
          </w:rPr>
          <w:t xml:space="preserve">julianecosta@fiponline.edu.br</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ind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hanging="2"/>
        <w:jc w:val="center"/>
        <w:rPr>
          <w:rFonts w:ascii="Arial" w:cs="Arial" w:eastAsia="Arial" w:hAnsi="Arial"/>
          <w:b w:val="1"/>
        </w:rPr>
      </w:pPr>
      <w:r w:rsidDel="00000000" w:rsidR="00000000" w:rsidRPr="00000000">
        <w:rPr>
          <w:rFonts w:ascii="Arial" w:cs="Arial" w:eastAsia="Arial" w:hAnsi="Arial"/>
          <w:b w:val="1"/>
          <w:color w:val="000000"/>
          <w:rtl w:val="0"/>
        </w:rPr>
        <w:t xml:space="preserve">Resumo</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hanging="2"/>
        <w:jc w:val="both"/>
        <w:rPr>
          <w:rFonts w:ascii="Arial" w:cs="Arial" w:eastAsia="Arial" w:hAnsi="Arial"/>
        </w:rPr>
      </w:pPr>
      <w:r w:rsidDel="00000000" w:rsidR="00000000" w:rsidRPr="00000000">
        <w:rPr>
          <w:rFonts w:ascii="Arial" w:cs="Arial" w:eastAsia="Arial" w:hAnsi="Arial"/>
          <w:b w:val="1"/>
          <w:rtl w:val="0"/>
        </w:rPr>
        <w:t xml:space="preserve">Introdução:</w:t>
      </w:r>
      <w:r w:rsidDel="00000000" w:rsidR="00000000" w:rsidRPr="00000000">
        <w:rPr>
          <w:rFonts w:ascii="Arial" w:cs="Arial" w:eastAsia="Arial" w:hAnsi="Arial"/>
          <w:rtl w:val="0"/>
        </w:rPr>
        <w:t xml:space="preserve"> A importância do desenvolvimento humano sobre a primeira infância de vida inicia-se através do processo de novos hábitos alimentares que são construídos no período estimado de 2 a 6 anos de vida. Com isso, a adoção de práticas educacional nutricional influencia diretamente no eixo psico-cognitivo das crianças, atingindo diretamente a sua mudança comportamental no período do seu crescimento. </w:t>
      </w:r>
      <w:r w:rsidDel="00000000" w:rsidR="00000000" w:rsidRPr="00000000">
        <w:rPr>
          <w:rFonts w:ascii="Arial" w:cs="Arial" w:eastAsia="Arial" w:hAnsi="Arial"/>
          <w:b w:val="1"/>
          <w:rtl w:val="0"/>
        </w:rPr>
        <w:t xml:space="preserve">Metodologia:</w:t>
      </w:r>
      <w:r w:rsidDel="00000000" w:rsidR="00000000" w:rsidRPr="00000000">
        <w:rPr>
          <w:rFonts w:ascii="Arial" w:cs="Arial" w:eastAsia="Arial" w:hAnsi="Arial"/>
          <w:rtl w:val="0"/>
        </w:rPr>
        <w:t xml:space="preserve"> Para o estudo foi conduzida uma revisão integrativa de literatura, com o objetivo de analisar os fundamentos da nutrição na primeira infância e os impactos de uma alimentação equilibrada no desenvolvimento físico e cognitivo infantil. </w:t>
      </w:r>
      <w:r w:rsidDel="00000000" w:rsidR="00000000" w:rsidRPr="00000000">
        <w:rPr>
          <w:rFonts w:ascii="Arial" w:cs="Arial" w:eastAsia="Arial" w:hAnsi="Arial"/>
          <w:b w:val="1"/>
          <w:rtl w:val="0"/>
        </w:rPr>
        <w:t xml:space="preserve">Resultados e Discussão:</w:t>
      </w:r>
      <w:r w:rsidDel="00000000" w:rsidR="00000000" w:rsidRPr="00000000">
        <w:rPr>
          <w:rFonts w:ascii="Arial" w:cs="Arial" w:eastAsia="Arial" w:hAnsi="Arial"/>
          <w:rtl w:val="0"/>
        </w:rPr>
        <w:t xml:space="preserve"> A alimentação saudável, sobremodo na primeira infância, impacta positivamente no crescimento, no desenvolvimento e no estado nutricional das crianças, sendo fundamental, a longo prazo, para mitigar o aparecimento de doenças não transmissíveis, como a obesidade, o diabetes e as doenças cardiovasculares tanto na infância quanto na vida adulta desse indivíduo. </w:t>
      </w:r>
      <w:r w:rsidDel="00000000" w:rsidR="00000000" w:rsidRPr="00000000">
        <w:rPr>
          <w:rFonts w:ascii="Arial" w:cs="Arial" w:eastAsia="Arial" w:hAnsi="Arial"/>
          <w:b w:val="1"/>
          <w:rtl w:val="0"/>
        </w:rPr>
        <w:t xml:space="preserve">Conclusão: </w:t>
      </w:r>
      <w:r w:rsidDel="00000000" w:rsidR="00000000" w:rsidRPr="00000000">
        <w:rPr>
          <w:rFonts w:ascii="Arial" w:cs="Arial" w:eastAsia="Arial" w:hAnsi="Arial"/>
          <w:rtl w:val="0"/>
        </w:rPr>
        <w:t xml:space="preserve">O aconselhamento em realizar uma intervenção nutricional deve ser manifestado desde o acompanhamento durante a gestação até a primeira infância . Além disso, a promoção da alimentação saudável, especialmente por meio de políticas públicas como o PNAE e campanhas educativas, é uma estratégia fundamental para combater desigualdades sociais e garantir a equidade no acesso a alimentos nutritivos.</w:t>
      </w:r>
    </w:p>
    <w:p w:rsidR="00000000" w:rsidDel="00000000" w:rsidP="00000000" w:rsidRDefault="00000000" w:rsidRPr="00000000" w14:paraId="00000019">
      <w:pPr>
        <w:pBdr>
          <w:top w:space="0" w:sz="0" w:val="nil"/>
          <w:left w:space="0" w:sz="0" w:val="nil"/>
          <w:bottom w:space="0" w:sz="0" w:val="nil"/>
          <w:right w:space="0" w:sz="0" w:val="nil"/>
          <w:between w:space="0" w:sz="0" w:val="nil"/>
        </w:pBdr>
        <w:ind w:hanging="2"/>
        <w:jc w:val="both"/>
        <w:rPr>
          <w:rFonts w:ascii="Arial" w:cs="Arial" w:eastAsia="Arial" w:hAnsi="Arial"/>
        </w:rPr>
      </w:pPr>
      <w:r w:rsidDel="00000000" w:rsidR="00000000" w:rsidRPr="00000000">
        <w:rPr>
          <w:rFonts w:ascii="Arial" w:cs="Arial" w:eastAsia="Arial" w:hAnsi="Arial"/>
          <w:b w:val="1"/>
          <w:color w:val="000000"/>
          <w:rtl w:val="0"/>
        </w:rPr>
        <w:t xml:space="preserve">Descritores: </w:t>
      </w:r>
      <w:r w:rsidDel="00000000" w:rsidR="00000000" w:rsidRPr="00000000">
        <w:rPr>
          <w:rFonts w:ascii="Arial" w:cs="Arial" w:eastAsia="Arial" w:hAnsi="Arial"/>
          <w:color w:val="000000"/>
          <w:rtl w:val="0"/>
        </w:rPr>
        <w:t xml:space="preserve">Fenômenos fisiológicos da nutrição infantil. </w:t>
      </w: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000000"/>
          <w:rtl w:val="0"/>
        </w:rPr>
        <w:t xml:space="preserve">utrição da criança. Desenvolvimento infantil.</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jc w:val="both"/>
        <w:rPr>
          <w:rFonts w:ascii="Arial" w:cs="Arial" w:eastAsia="Arial" w:hAnsi="Arial"/>
        </w:rPr>
      </w:pPr>
      <w:r w:rsidDel="00000000" w:rsidR="00000000" w:rsidRPr="00000000">
        <w:rPr>
          <w:rFonts w:ascii="Arial" w:cs="Arial" w:eastAsia="Arial" w:hAnsi="Arial"/>
        </w:rPr>
        <w:drawing>
          <wp:anchor allowOverlap="1" behindDoc="0" distB="114300" distT="114300" distL="114300" distR="114300" hidden="0" layoutInCell="1" locked="0" relativeHeight="0" simplePos="0">
            <wp:simplePos x="0" y="0"/>
            <wp:positionH relativeFrom="page">
              <wp:posOffset>-58574</wp:posOffset>
            </wp:positionH>
            <wp:positionV relativeFrom="page">
              <wp:posOffset>10028440</wp:posOffset>
            </wp:positionV>
            <wp:extent cx="7680000" cy="685800"/>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7680000" cy="685800"/>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Abstract</w:t>
      </w:r>
    </w:p>
    <w:p w:rsidR="00000000" w:rsidDel="00000000" w:rsidP="00000000" w:rsidRDefault="00000000" w:rsidRPr="00000000" w14:paraId="0000001C">
      <w:pPr>
        <w:pBdr>
          <w:top w:space="0" w:sz="0" w:val="nil"/>
          <w:left w:space="0" w:sz="0" w:val="nil"/>
          <w:bottom w:space="0" w:sz="0" w:val="nil"/>
          <w:right w:space="0" w:sz="0" w:val="nil"/>
          <w:between w:space="0" w:sz="0" w:val="nil"/>
        </w:pBdr>
        <w:ind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hanging="2"/>
        <w:jc w:val="both"/>
        <w:rPr>
          <w:rFonts w:ascii="Arial" w:cs="Arial" w:eastAsia="Arial" w:hAnsi="Arial"/>
        </w:rPr>
      </w:pPr>
      <w:r w:rsidDel="00000000" w:rsidR="00000000" w:rsidRPr="00000000">
        <w:rPr>
          <w:rFonts w:ascii="Arial" w:cs="Arial" w:eastAsia="Arial" w:hAnsi="Arial"/>
          <w:b w:val="1"/>
          <w:rtl w:val="0"/>
        </w:rPr>
        <w:t xml:space="preserve">Introduction:</w:t>
      </w:r>
      <w:r w:rsidDel="00000000" w:rsidR="00000000" w:rsidRPr="00000000">
        <w:rPr>
          <w:rFonts w:ascii="Arial" w:cs="Arial" w:eastAsia="Arial" w:hAnsi="Arial"/>
          <w:rtl w:val="0"/>
        </w:rPr>
        <w:t xml:space="preserve"> The importance of human development in early childhood begins with the process of new eating habits that are built in the estimated period of 2 to 6 years of life. Thus, the adoption of nutritional educational practices directly influences the psycho-cognitive axis of children, directly affecting their behavioral change during their growth period. </w:t>
      </w:r>
      <w:r w:rsidDel="00000000" w:rsidR="00000000" w:rsidRPr="00000000">
        <w:rPr>
          <w:rFonts w:ascii="Arial" w:cs="Arial" w:eastAsia="Arial" w:hAnsi="Arial"/>
          <w:b w:val="1"/>
          <w:rtl w:val="0"/>
        </w:rPr>
        <w:t xml:space="preserve">Methodology:</w:t>
      </w:r>
      <w:r w:rsidDel="00000000" w:rsidR="00000000" w:rsidRPr="00000000">
        <w:rPr>
          <w:rFonts w:ascii="Arial" w:cs="Arial" w:eastAsia="Arial" w:hAnsi="Arial"/>
          <w:rtl w:val="0"/>
        </w:rPr>
        <w:t xml:space="preserve"> An integrative literature review was conducted for the study, with the objective of analyzing the foundations of nutrition in early childhood and the impacts of a balanced diet on children's physical and cognitive development. </w:t>
      </w:r>
      <w:r w:rsidDel="00000000" w:rsidR="00000000" w:rsidRPr="00000000">
        <w:rPr>
          <w:rFonts w:ascii="Arial" w:cs="Arial" w:eastAsia="Arial" w:hAnsi="Arial"/>
          <w:b w:val="1"/>
          <w:rtl w:val="0"/>
        </w:rPr>
        <w:t xml:space="preserve">Results and Discussion:</w:t>
      </w:r>
      <w:r w:rsidDel="00000000" w:rsidR="00000000" w:rsidRPr="00000000">
        <w:rPr>
          <w:rFonts w:ascii="Arial" w:cs="Arial" w:eastAsia="Arial" w:hAnsi="Arial"/>
          <w:rtl w:val="0"/>
        </w:rPr>
        <w:t xml:space="preserve"> Healthy eating, especially in early childhood, has a positive impact on the growth, development and nutritional status of children, and is essential, in the long term, to mitigate the onset of non-communicable diseases, such as obesity, diabetes and cardiovascular diseases, both in childhood and in adulthood of this individual. </w:t>
      </w:r>
      <w:r w:rsidDel="00000000" w:rsidR="00000000" w:rsidRPr="00000000">
        <w:rPr>
          <w:rFonts w:ascii="Arial" w:cs="Arial" w:eastAsia="Arial" w:hAnsi="Arial"/>
          <w:b w:val="1"/>
          <w:rtl w:val="0"/>
        </w:rPr>
        <w:t xml:space="preserve">Conclusion:</w:t>
      </w:r>
      <w:r w:rsidDel="00000000" w:rsidR="00000000" w:rsidRPr="00000000">
        <w:rPr>
          <w:rFonts w:ascii="Arial" w:cs="Arial" w:eastAsia="Arial" w:hAnsi="Arial"/>
          <w:rtl w:val="0"/>
        </w:rPr>
        <w:t xml:space="preserve"> Advice on carrying out a nutritional intervention should be given from the monitoring during pregnancy until early childhood. Furthermore, promoting healthy eating, especially through public policies such as the PNAE and educational campaigns, is a fundamental strategy to combat social inequalities and ensure equity in access to nutritious foods.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hanging="2"/>
        <w:jc w:val="both"/>
        <w:rPr>
          <w:rFonts w:ascii="Arial" w:cs="Arial" w:eastAsia="Arial" w:hAnsi="Arial"/>
        </w:rPr>
      </w:pPr>
      <w:r w:rsidDel="00000000" w:rsidR="00000000" w:rsidRPr="00000000">
        <w:rPr>
          <w:rFonts w:ascii="Arial" w:cs="Arial" w:eastAsia="Arial" w:hAnsi="Arial"/>
          <w:b w:val="1"/>
          <w:color w:val="000000"/>
          <w:rtl w:val="0"/>
        </w:rPr>
        <w:t xml:space="preserve">Keywords: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hysiological phenomena of child nutrition.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hild nutrition.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hild development.</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jc w:val="both"/>
        <w:rPr>
          <w:rFonts w:ascii="Arial" w:cs="Arial" w:eastAsia="Arial" w:hAnsi="Arial"/>
        </w:rPr>
        <w:sectPr>
          <w:headerReference r:id="rId14" w:type="default"/>
          <w:headerReference r:id="rId15" w:type="first"/>
          <w:headerReference r:id="rId16" w:type="even"/>
          <w:footerReference r:id="rId17" w:type="default"/>
          <w:footerReference r:id="rId18" w:type="first"/>
          <w:pgSz w:h="16838" w:w="11906" w:orient="portrait"/>
          <w:pgMar w:bottom="1418" w:top="1418" w:left="1418" w:right="1418" w:header="709" w:footer="709"/>
          <w:pgNumType w:start="1"/>
        </w:sect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0"/>
        <w:rPr>
          <w:rFonts w:ascii="Arial" w:cs="Arial" w:eastAsia="Arial" w:hAnsi="Arial"/>
          <w:b w:val="1"/>
          <w:color w:val="000000"/>
        </w:rPr>
      </w:pPr>
      <w:r w:rsidDel="00000000" w:rsidR="00000000" w:rsidRPr="00000000">
        <w:rPr>
          <w:rFonts w:ascii="Arial" w:cs="Arial" w:eastAsia="Arial" w:hAnsi="Arial"/>
          <w:b w:val="1"/>
          <w:rtl w:val="0"/>
        </w:rPr>
        <w:t xml:space="preserve">1 </w:t>
      </w:r>
      <w:r w:rsidDel="00000000" w:rsidR="00000000" w:rsidRPr="00000000">
        <w:rPr>
          <w:rFonts w:ascii="Arial" w:cs="Arial" w:eastAsia="Arial" w:hAnsi="Arial"/>
          <w:b w:val="1"/>
          <w:color w:val="000000"/>
          <w:rtl w:val="0"/>
        </w:rPr>
        <w:t xml:space="preserve">INTRODUÇÃO </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358" w:firstLine="0"/>
        <w:rPr>
          <w:rFonts w:ascii="Arial" w:cs="Arial" w:eastAsia="Arial" w:hAnsi="Arial"/>
          <w:b w:val="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709"/>
        <w:jc w:val="both"/>
        <w:rPr>
          <w:rFonts w:ascii="Arial" w:cs="Arial" w:eastAsia="Arial" w:hAnsi="Arial"/>
        </w:rPr>
      </w:pPr>
      <w:r w:rsidDel="00000000" w:rsidR="00000000" w:rsidRPr="00000000">
        <w:rPr>
          <w:rFonts w:ascii="Arial" w:cs="Arial" w:eastAsia="Arial" w:hAnsi="Arial"/>
          <w:rtl w:val="0"/>
        </w:rPr>
        <w:t xml:space="preserve">Seguindo as orientações do Ministério da Saúde (MS), é de extrema importância que todas as crianças mantenham o aleitamento materno até o seis meses de idade, sendo única alimentação exclusiva, pois o leite humano, é o alimento completo para o bebê, sendo necessária suplementação a partir dos dois anos de idade como suplementação. O aleitamento materno constitui amplos benefícios para saúde da criança ajudando a combater alterações nutricionais, previne a obesidade infantil, contendo ativos imunomoduladoras e com atividades protetoras, sendo um perfeito conjunto de nutrientes para o bebê. É orientado que a amamentação se dê no período correto, pois a alimentação precoce pode ofertar diversos prejuízos para a criança, como morbimortalidade, assim como redução das habilidades que elas desenvolvem nesse período, como motricidade oral e competências linguísticas  (</w:t>
      </w:r>
      <w:r w:rsidDel="00000000" w:rsidR="00000000" w:rsidRPr="00000000">
        <w:rPr>
          <w:rFonts w:ascii="Arial" w:cs="Arial" w:eastAsia="Arial" w:hAnsi="Arial"/>
          <w:highlight w:val="white"/>
          <w:rtl w:val="0"/>
        </w:rPr>
        <w:t xml:space="preserve">Cenci, P. DA S. </w:t>
      </w:r>
      <w:r w:rsidDel="00000000" w:rsidR="00000000" w:rsidRPr="00000000">
        <w:rPr>
          <w:rFonts w:ascii="Arial" w:cs="Arial" w:eastAsia="Arial" w:hAnsi="Arial"/>
          <w:i w:val="1"/>
          <w:highlight w:val="white"/>
          <w:rtl w:val="0"/>
        </w:rPr>
        <w:t xml:space="preserve">et al</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2022).</w:t>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708"/>
        <w:jc w:val="both"/>
        <w:rPr>
          <w:rFonts w:ascii="Arial" w:cs="Arial" w:eastAsia="Arial" w:hAnsi="Arial"/>
        </w:rPr>
      </w:pPr>
      <w:r w:rsidDel="00000000" w:rsidR="00000000" w:rsidRPr="00000000">
        <w:rPr>
          <w:rFonts w:ascii="Arial" w:cs="Arial" w:eastAsia="Arial" w:hAnsi="Arial"/>
          <w:rtl w:val="0"/>
        </w:rPr>
        <w:t xml:space="preserve">A importância do desenvolvimento humano sobre a primeira infância de vida inicia-se através do processo de novos hábitos alimentares que são construídos no período estimado de 2 a 6 anos de vida. Com isso, a adoção de práticas educacional nutricional influencia diretamente no eixo psico-cognitivo das crianças atingindo diretamente na sua mudança comportamental no período do seu crescimento, ajudando no decorrer de toda sua vida de uma forma benéfica impactando no seu futuro das suas funções emocionais, humoral, comportamental e cerebral (Louzada, DE S. G. </w:t>
      </w:r>
      <w:r w:rsidDel="00000000" w:rsidR="00000000" w:rsidRPr="00000000">
        <w:rPr>
          <w:rFonts w:ascii="Arial" w:cs="Arial" w:eastAsia="Arial" w:hAnsi="Arial"/>
          <w:i w:val="1"/>
          <w:rtl w:val="0"/>
        </w:rPr>
        <w:t xml:space="preserve">et al; </w:t>
      </w:r>
      <w:r w:rsidDel="00000000" w:rsidR="00000000" w:rsidRPr="00000000">
        <w:rPr>
          <w:rFonts w:ascii="Arial" w:cs="Arial" w:eastAsia="Arial" w:hAnsi="Arial"/>
          <w:rtl w:val="0"/>
        </w:rPr>
        <w:t xml:space="preserve">2023). </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708.6614173228347"/>
        <w:jc w:val="both"/>
        <w:rPr>
          <w:rFonts w:ascii="Arial" w:cs="Arial" w:eastAsia="Arial" w:hAnsi="Arial"/>
        </w:rPr>
      </w:pPr>
      <w:r w:rsidDel="00000000" w:rsidR="00000000" w:rsidRPr="00000000">
        <w:rPr>
          <w:rFonts w:ascii="Arial" w:cs="Arial" w:eastAsia="Arial" w:hAnsi="Arial"/>
          <w:rtl w:val="0"/>
        </w:rPr>
        <w:t xml:space="preserve">Outrossim (</w:t>
      </w:r>
      <w:r w:rsidDel="00000000" w:rsidR="00000000" w:rsidRPr="00000000">
        <w:rPr>
          <w:rFonts w:ascii="Arial" w:cs="Arial" w:eastAsia="Arial" w:hAnsi="Arial"/>
          <w:highlight w:val="white"/>
          <w:rtl w:val="0"/>
        </w:rPr>
        <w:t xml:space="preserve">Alves, G.; Manhães; Cunha, T. A</w:t>
      </w:r>
      <w:r w:rsidDel="00000000" w:rsidR="00000000" w:rsidRPr="00000000">
        <w:rPr>
          <w:rFonts w:ascii="Arial" w:cs="Arial" w:eastAsia="Arial" w:hAnsi="Arial"/>
          <w:rtl w:val="0"/>
        </w:rPr>
        <w:t xml:space="preserve">, 2020) nos informa a relevância de uma introdução alimentar adequada, através do efeito que a influência alimentar pode causar na atividade e relações sociais das crianças. A realização de atividades básicas, comportamentos agressivos ou antissociais, podem ser reflexos de maus hábitos alimentares que por sua vez, irão diminuir o seu aprendizado na educação, podendo ocasionar doenças psicológicas, como por exemplo a ansiedade. Apesar da ampla divulgação sobre os benefícios de uma alimentação equilibrada na primeira infância, muitas crianças ainda são expostas a padrões alimentares inadequados, o que pode comprometer significativamente seu desenvolvimento físico e cognitivo. A partir desse contexto torna-se importante </w:t>
      </w:r>
      <w:r w:rsidDel="00000000" w:rsidR="00000000" w:rsidRPr="00000000">
        <w:rPr>
          <w:rFonts w:ascii="Arial" w:cs="Arial" w:eastAsia="Arial" w:hAnsi="Arial"/>
        </w:rPr>
        <w:drawing>
          <wp:anchor allowOverlap="1" behindDoc="0" distB="114300" distT="114300" distL="114300" distR="114300" hidden="0" layoutInCell="1" locked="0" relativeHeight="0" simplePos="0">
            <wp:simplePos x="0" y="0"/>
            <wp:positionH relativeFrom="page">
              <wp:posOffset>-58574</wp:posOffset>
            </wp:positionH>
            <wp:positionV relativeFrom="page">
              <wp:posOffset>10009390</wp:posOffset>
            </wp:positionV>
            <wp:extent cx="7680000" cy="68580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7680000" cy="685800"/>
                    </a:xfrm>
                    <a:prstGeom prst="rect"/>
                    <a:ln/>
                  </pic:spPr>
                </pic:pic>
              </a:graphicData>
            </a:graphic>
          </wp:anchor>
        </w:drawing>
      </w:r>
      <w:r w:rsidDel="00000000" w:rsidR="00000000" w:rsidRPr="00000000">
        <w:rPr>
          <w:rFonts w:ascii="Arial" w:cs="Arial" w:eastAsia="Arial" w:hAnsi="Arial"/>
          <w:rtl w:val="0"/>
        </w:rPr>
        <w:t xml:space="preserve">estudar quais são os impactos de uma alimentação desequilibrada na primeira infância sobre o desenvolvimento físico e cognitivo das crianças, e quais fatores socioeconômicos, culturais e educacionais dificultam a implementação de uma nutrição adequada nessa fase crucial?</w:t>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708.6614173228347"/>
        <w:jc w:val="both"/>
        <w:rPr>
          <w:rFonts w:ascii="Arial" w:cs="Arial" w:eastAsia="Arial" w:hAnsi="Arial"/>
          <w:color w:val="000000"/>
          <w:sz w:val="28"/>
          <w:szCs w:val="28"/>
        </w:rPr>
      </w:pPr>
      <w:r w:rsidDel="00000000" w:rsidR="00000000" w:rsidRPr="00000000">
        <w:rPr>
          <w:rFonts w:ascii="Arial" w:cs="Arial" w:eastAsia="Arial" w:hAnsi="Arial"/>
          <w:rtl w:val="0"/>
        </w:rPr>
        <w:t xml:space="preserve">Com isso, esse estudo tem como objetivo analisar a influência de uma alimentação equilibrada no desenvolvimento físico e cognitivo de crianças na primeira infância, de modo a destacar os principais nutrientes essenciais nessa fase, apontando os impactos de deficiências nutricionais e o relacionamento de hábitos alimentares com o desempenho cognitivo.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2" w:firstLine="0"/>
        <w:rPr>
          <w:rFonts w:ascii="Arial" w:cs="Arial" w:eastAsia="Arial" w:hAnsi="Arial"/>
          <w:b w:val="1"/>
        </w:rPr>
      </w:pPr>
      <w:r w:rsidDel="00000000" w:rsidR="00000000" w:rsidRPr="00000000">
        <w:rPr>
          <w:rFonts w:ascii="Arial" w:cs="Arial" w:eastAsia="Arial" w:hAnsi="Arial"/>
          <w:b w:val="1"/>
          <w:color w:val="000000"/>
          <w:rtl w:val="0"/>
        </w:rPr>
        <w:t xml:space="preserve">2 M</w:t>
      </w:r>
      <w:r w:rsidDel="00000000" w:rsidR="00000000" w:rsidRPr="00000000">
        <w:rPr>
          <w:rFonts w:ascii="Arial" w:cs="Arial" w:eastAsia="Arial" w:hAnsi="Arial"/>
          <w:b w:val="1"/>
          <w:rtl w:val="0"/>
        </w:rPr>
        <w:t xml:space="preserve">ETODOLOGIA </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2" w:firstLine="0"/>
        <w:rPr>
          <w:rFonts w:ascii="Arial" w:cs="Arial" w:eastAsia="Arial" w:hAnsi="Arial"/>
          <w:b w:val="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709"/>
        <w:jc w:val="both"/>
        <w:rPr>
          <w:rFonts w:ascii="Arial" w:cs="Arial" w:eastAsia="Arial" w:hAnsi="Arial"/>
        </w:rPr>
      </w:pPr>
      <w:r w:rsidDel="00000000" w:rsidR="00000000" w:rsidRPr="00000000">
        <w:rPr>
          <w:rFonts w:ascii="Arial" w:cs="Arial" w:eastAsia="Arial" w:hAnsi="Arial"/>
          <w:rtl w:val="0"/>
        </w:rPr>
        <w:t xml:space="preserve">Para este estudo foi conduzida uma revisão integrativa de literatura, com o objetivo de analisar os fundamentos da nutrição na primeira infância e os impactos de uma alimentação equilibrada no desenvolvimento físico e cognitivo infantil. A pesquisa foi conduzida por meio de levantamento bibliográfico realizado na base de dados Google Acadêmico, e seguindo parâmetros definidos de critérios de inclusão e exclusão, tendo como questão norteadora: “Qual a influência de uma alimentação equilibrada no desenvolvimento físico e cognitivo de crianças na primeira infância?”. </w:t>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709"/>
        <w:jc w:val="both"/>
        <w:rPr>
          <w:rFonts w:ascii="Arial" w:cs="Arial" w:eastAsia="Arial" w:hAnsi="Arial"/>
        </w:rPr>
      </w:pPr>
      <w:r w:rsidDel="00000000" w:rsidR="00000000" w:rsidRPr="00000000">
        <w:rPr>
          <w:rFonts w:ascii="Arial" w:cs="Arial" w:eastAsia="Arial" w:hAnsi="Arial"/>
          <w:rtl w:val="0"/>
        </w:rPr>
        <w:t xml:space="preserve">Foram utilizados os seguintes descritores em língua portuguesa: “fenômenos fisiológicos da nutrição infantil", "nutrição da criança" e "desenvolvimento infantil", os quais permitiram a identificação de estudos relevantes sobre o tema. Inicialmente, foram analisados 19 artigos científicos que atendiam aos critérios de inclusão: estar escrito em idioma português, ser publicado no período delimitado de 2022 a 2025 e abordar diretamente aspectos relacionados à nutrição infantil e seu impacto no desenvolvimento físico e/ou cognitivo. Após leitura criteriosa dos resumos e análise do conteúdo, foram selecionados 5 artigos que se mostraram mais relevantes e alinhados ao objetivo da pesquisa, usando como critérios de exclusão aqueles que não contemplam o devidos objetivos, como materiais repetidos ou duplicados na base de dados,  estudos publicados fora do recorde temporal delimitado, e trabalhos que não abordavam, de forma direta, o tema central. </w:t>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709"/>
        <w:jc w:val="both"/>
        <w:rPr>
          <w:rFonts w:ascii="Arial" w:cs="Arial" w:eastAsia="Arial" w:hAnsi="Arial"/>
        </w:rPr>
      </w:pPr>
      <w:r w:rsidDel="00000000" w:rsidR="00000000" w:rsidRPr="00000000">
        <w:rPr>
          <w:rFonts w:ascii="Arial" w:cs="Arial" w:eastAsia="Arial" w:hAnsi="Arial"/>
          <w:rtl w:val="0"/>
        </w:rPr>
        <w:t xml:space="preserve"> A coleta de informações foi realizada através de registro de dados de identificação dos artigos selecionados, como ano da publicação, periódico, título e autoria. Em seguida, os artigos foram analisados com base em seus objetivos, metodologias e resultados obtidos. A conclusão foi organizada de acordo com a relevância do tem abordado, destacando os principais achados e sua contribuição para a compreensão da relação entre alimentação e desenvolvimento infantil.</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jc w:val="both"/>
        <w:rPr>
          <w:rFonts w:ascii="Arial" w:cs="Arial" w:eastAsia="Arial" w:hAnsi="Arial"/>
          <w:color w:val="000000"/>
        </w:rPr>
      </w:pPr>
      <w:r w:rsidDel="00000000" w:rsidR="00000000" w:rsidRPr="00000000">
        <w:rPr>
          <w:rFonts w:ascii="Arial" w:cs="Arial" w:eastAsia="Arial" w:hAnsi="Arial"/>
          <w:color w:val="000000"/>
          <w:rtl w:val="0"/>
        </w:rPr>
        <w:tab/>
        <w:tab/>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2" w:firstLine="0"/>
        <w:rPr>
          <w:rFonts w:ascii="Arial" w:cs="Arial" w:eastAsia="Arial" w:hAnsi="Arial"/>
        </w:rPr>
      </w:pPr>
      <w:r w:rsidDel="00000000" w:rsidR="00000000" w:rsidRPr="00000000">
        <w:rPr>
          <w:rFonts w:ascii="Arial" w:cs="Arial" w:eastAsia="Arial" w:hAnsi="Arial"/>
          <w:b w:val="1"/>
          <w:color w:val="000000"/>
          <w:rtl w:val="0"/>
        </w:rPr>
        <w:t xml:space="preserve">3 RESULTADOS </w:t>
      </w:r>
      <w:r w:rsidDel="00000000" w:rsidR="00000000" w:rsidRPr="00000000">
        <w:rPr>
          <w:rFonts w:ascii="Arial" w:cs="Arial" w:eastAsia="Arial" w:hAnsi="Arial"/>
          <w:b w:val="1"/>
          <w:rtl w:val="0"/>
        </w:rPr>
        <w:t xml:space="preserve">E DISCUSSÃO</w:t>
      </w:r>
      <w:r w:rsidDel="00000000" w:rsidR="00000000" w:rsidRPr="00000000">
        <w:rPr>
          <w:rFonts w:ascii="Arial" w:cs="Arial" w:eastAsia="Arial" w:hAnsi="Arial"/>
          <w:color w:val="000000"/>
          <w:rtl w:val="0"/>
        </w:rPr>
        <w:tab/>
        <w:tab/>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2" w:firstLine="0"/>
        <w:rPr>
          <w:rFonts w:ascii="Arial" w:cs="Arial" w:eastAsia="Arial" w:hAnsi="Arial"/>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hanging="2"/>
        <w:rPr>
          <w:b w:val="1"/>
        </w:rPr>
      </w:pPr>
      <w:r w:rsidDel="00000000" w:rsidR="00000000" w:rsidRPr="00000000">
        <w:rPr>
          <w:rFonts w:ascii="Arial" w:cs="Arial" w:eastAsia="Arial" w:hAnsi="Arial"/>
          <w:b w:val="1"/>
          <w:color w:val="000000"/>
          <w:rtl w:val="0"/>
        </w:rPr>
        <w:t xml:space="preserve">Tabela 1 – </w:t>
      </w:r>
      <w:r w:rsidDel="00000000" w:rsidR="00000000" w:rsidRPr="00000000">
        <w:rPr>
          <w:rFonts w:ascii="Arial" w:cs="Arial" w:eastAsia="Arial" w:hAnsi="Arial"/>
          <w:rtl w:val="0"/>
        </w:rPr>
        <w:t xml:space="preserve">A influência de uma alimentação equilibrada no desenvolvimento físico e cognitivo de crianças na primeira infância</w:t>
      </w:r>
      <w:r w:rsidDel="00000000" w:rsidR="00000000" w:rsidRPr="00000000">
        <w:rPr>
          <w:rtl w:val="0"/>
        </w:rPr>
      </w:r>
    </w:p>
    <w:tbl>
      <w:tblPr>
        <w:tblStyle w:val="Table1"/>
        <w:tblW w:w="9375.0" w:type="dxa"/>
        <w:jc w:val="left"/>
        <w:tblInd w:w="-3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2190"/>
        <w:gridCol w:w="2445"/>
        <w:gridCol w:w="3420"/>
        <w:tblGridChange w:id="0">
          <w:tblGrid>
            <w:gridCol w:w="1320"/>
            <w:gridCol w:w="2190"/>
            <w:gridCol w:w="2445"/>
            <w:gridCol w:w="3420"/>
          </w:tblGrid>
        </w:tblGridChange>
      </w:tblGrid>
      <w:tr>
        <w:trPr>
          <w:cantSplit w:val="0"/>
          <w:trHeight w:val="5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Autor(es) / Ano de publicação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Objetivos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keepNext w:val="1"/>
              <w:widowControl w:val="0"/>
              <w:ind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Principais Resultados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 Souza Rodrigues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2025</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 Impacto da nutrição nos primeiros mil dias de vida no desenvolvimento infantil e na saúde a longo prazo</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Investigar a importância da nutrição nos primeiros mil dias de vida e seus impactos no desenvolvimento infantil e na saúde a longo prazo, com ênfase nas intervenções nutricionais e seu papel no desenvolvimento cognitivo, físico e comportamental</w:t>
            </w:r>
          </w:p>
          <w:p w:rsidR="00000000" w:rsidDel="00000000" w:rsidP="00000000" w:rsidRDefault="00000000" w:rsidRPr="00000000" w14:paraId="00000039">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 criança.</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 estudo mostra que a nutrição nos primeiros mil dias é fundamental para o neurodesenvolvimento, prevenindo déficits cognitivos e desigualdades. Políticas públicas que assegurem acesso a alimentos de</w:t>
            </w:r>
          </w:p>
          <w:p w:rsidR="00000000" w:rsidDel="00000000" w:rsidP="00000000" w:rsidRDefault="00000000" w:rsidRPr="00000000" w14:paraId="0000003B">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qualidade e suporte profissional são indispensáveis para promover saúde e bem-estar a longo prazo.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Santos</w:t>
            </w: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sz w:val="20"/>
                <w:szCs w:val="20"/>
                <w:rtl w:val="0"/>
              </w:rPr>
              <w:t xml:space="preserve"> 2024</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 Influência da alimentação escolar no desenvolvimento educacional das crianças </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Discutir a relevância da alimentação escolar</w:t>
            </w:r>
          </w:p>
          <w:p w:rsidR="00000000" w:rsidDel="00000000" w:rsidP="00000000" w:rsidRDefault="00000000" w:rsidRPr="00000000" w14:paraId="0000003F">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como elemento favorável de fundamental importância para o desenvolvimento educacional dos</w:t>
            </w:r>
          </w:p>
          <w:p w:rsidR="00000000" w:rsidDel="00000000" w:rsidP="00000000" w:rsidRDefault="00000000" w:rsidRPr="00000000" w14:paraId="00000040">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alunos na escola.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 estudo indica que a má alimentação afeta, não apenas</w:t>
            </w:r>
          </w:p>
          <w:p w:rsidR="00000000" w:rsidDel="00000000" w:rsidP="00000000" w:rsidRDefault="00000000" w:rsidRPr="00000000" w14:paraId="00000042">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 saúde física, mas também compromete o desenvolvimento da aprendizagem das crianças e o seu percurso escolar.</w:t>
            </w:r>
          </w:p>
        </w:tc>
      </w:tr>
      <w:tr>
        <w:trPr>
          <w:cantSplit w:val="0"/>
          <w:trHeight w:val="16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 Sá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2023</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Impacto da alimentação no crescimento e desenvolvimento infantil</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Analisar o impacto da alimentação no crescimento e desenvolvimento infantil, de modo a ressaltar a importância de estímulos nutricionais saudáveis nessa faixa etária.</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Mostra que a nutrição adequada na primeira infância é crucial para o crescimento, desenvolvimento e estado nutricional das crianças. Uma dieta saudável e balanceada, composta por frutas, legumes, grãos integrais e proteínas magras, fornece os nutrientes essenciais para um desenvolvimento saudável.</w:t>
            </w:r>
          </w:p>
        </w:tc>
      </w:tr>
      <w:tr>
        <w:trPr>
          <w:cantSplit w:val="0"/>
          <w:trHeight w:val="14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Alves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2022</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Nutrição Escolar: Influência da alimentação no processo de ensino e aprendizagem de crianças e adolescente em escolas públicas do Brasil</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Questionar a influência da alimentação e do pedagogo na melhora da aprendizagem</w:t>
            </w:r>
          </w:p>
          <w:p w:rsidR="00000000" w:rsidDel="00000000" w:rsidP="00000000" w:rsidRDefault="00000000" w:rsidRPr="00000000" w14:paraId="0000004A">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 do desempenho escolar.</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 estudo relata que  é necessário desenvolver</w:t>
            </w:r>
          </w:p>
          <w:p w:rsidR="00000000" w:rsidDel="00000000" w:rsidP="00000000" w:rsidRDefault="00000000" w:rsidRPr="00000000" w14:paraId="0000004C">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ações de educação alimentar e nutricional em escolas, destacando os benefícios de uma alimentação nutritiva, evidenciando ainda a adoção de bons hábitos alimentares para a promoção do bem-estar da comunidade.</w:t>
            </w:r>
          </w:p>
        </w:tc>
      </w:tr>
      <w:tr>
        <w:trPr>
          <w:cantSplit w:val="0"/>
          <w:trHeight w:val="144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 Silva Cenci </w:t>
            </w:r>
            <w:r w:rsidDel="00000000" w:rsidR="00000000" w:rsidRPr="00000000">
              <w:rPr>
                <w:rFonts w:ascii="Arial" w:cs="Arial" w:eastAsia="Arial" w:hAnsi="Arial"/>
                <w:i w:val="1"/>
                <w:sz w:val="20"/>
                <w:szCs w:val="20"/>
                <w:rtl w:val="0"/>
              </w:rPr>
              <w:t xml:space="preserve">et al</w:t>
            </w:r>
            <w:r w:rsidDel="00000000" w:rsidR="00000000" w:rsidRPr="00000000">
              <w:rPr>
                <w:rFonts w:ascii="Arial" w:cs="Arial" w:eastAsia="Arial" w:hAnsi="Arial"/>
                <w:sz w:val="20"/>
                <w:szCs w:val="20"/>
                <w:rtl w:val="0"/>
              </w:rPr>
              <w:t xml:space="preserve">., 2022</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Práticas alimentares e estado nutricional de crianças de 6 meses a 2 anos de idade em comparação com os 10 passos para uma alimentação saudável</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analisar as práticas alimentares e o estado nutricional de crianças de 6 meses a 2 anos de idade em relação ao AME e a IAC e comparar com os dez passos para uma alimentação saudável do guia alimentar para menores de dois anos do MS. </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 partir do presente estudo, foi possível identificar que as práticas alimentares das crianças de 6 meses a 2 anos de idade em relação às recomendações dos dez</w:t>
            </w:r>
          </w:p>
          <w:p w:rsidR="00000000" w:rsidDel="00000000" w:rsidP="00000000" w:rsidRDefault="00000000" w:rsidRPr="00000000" w14:paraId="00000051">
            <w:pPr>
              <w:widowControl w:val="0"/>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passos para uma alimentação saudável do guia alimentar para crianças menores de dois anos do MS, não foram atendidas da melhor maneira, visto que foram poucas as mães que ofertaram AME até os seis meses de idade e realizaram a IAC de forma adequada.</w:t>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ind w:hanging="2"/>
        <w:rPr>
          <w:rFonts w:ascii="Arial" w:cs="Arial" w:eastAsia="Arial" w:hAnsi="Arial"/>
        </w:rPr>
      </w:pPr>
      <w:r w:rsidDel="00000000" w:rsidR="00000000" w:rsidRPr="00000000">
        <w:rPr>
          <w:rFonts w:ascii="Arial" w:cs="Arial" w:eastAsia="Arial" w:hAnsi="Arial"/>
          <w:color w:val="000000"/>
          <w:sz w:val="20"/>
          <w:szCs w:val="20"/>
          <w:rtl w:val="0"/>
        </w:rPr>
        <w:t xml:space="preserve">Fonte: </w:t>
      </w:r>
      <w:r w:rsidDel="00000000" w:rsidR="00000000" w:rsidRPr="00000000">
        <w:rPr>
          <w:rFonts w:ascii="Arial" w:cs="Arial" w:eastAsia="Arial" w:hAnsi="Arial"/>
          <w:sz w:val="20"/>
          <w:szCs w:val="20"/>
          <w:rtl w:val="0"/>
        </w:rPr>
        <w:t xml:space="preserve">Autoria própria, 2025.</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rPr/>
      </w:pPr>
      <w:r w:rsidDel="00000000" w:rsidR="00000000" w:rsidRPr="00000000">
        <w:rPr>
          <w:rFonts w:ascii="Arial" w:cs="Arial" w:eastAsia="Arial" w:hAnsi="Arial"/>
          <w:b w:val="1"/>
          <w:color w:val="000000"/>
          <w:rtl w:val="0"/>
        </w:rPr>
        <w:tab/>
        <w:tab/>
      </w:r>
      <w:r w:rsidDel="00000000" w:rsidR="00000000" w:rsidRPr="00000000">
        <w:rPr>
          <w:rtl w:val="0"/>
        </w:rPr>
      </w:r>
    </w:p>
    <w:p w:rsidR="00000000" w:rsidDel="00000000" w:rsidP="00000000" w:rsidRDefault="00000000" w:rsidRPr="00000000" w14:paraId="00000054">
      <w:pPr>
        <w:ind w:firstLine="708"/>
        <w:jc w:val="both"/>
        <w:rPr>
          <w:rFonts w:ascii="Arial" w:cs="Arial" w:eastAsia="Arial" w:hAnsi="Arial"/>
        </w:rPr>
      </w:pPr>
      <w:r w:rsidDel="00000000" w:rsidR="00000000" w:rsidRPr="00000000">
        <w:rPr>
          <w:rFonts w:ascii="Arial" w:cs="Arial" w:eastAsia="Arial" w:hAnsi="Arial"/>
          <w:rtl w:val="0"/>
        </w:rPr>
        <w:t xml:space="preserve">A nutrição adequada nos primeiros dias de vida desempenha um papel crucial no suporte aos mecanismos biológicos que fundamentam o desenvolvimento infantil. Durante este período crítico, caracterizado por rápidas mudanças fisiológicas como o crescimento cerebral e a maturação do sistema imunológico, a disponibilidade de nutrientes específicos é indispensável. Ácidos graxos essenciais, como o DHA, são determinantes para a mielinização e a formação de sinapses, fundamentais para o aprendizado e a memória. Micronutrientes como ferro e zinco, por sua vez, são essenciais para a maturação das células imunológicas e o desenvolvimento cognitivo (Cusick e Georgieff., 2016).</w:t>
      </w:r>
    </w:p>
    <w:p w:rsidR="00000000" w:rsidDel="00000000" w:rsidP="00000000" w:rsidRDefault="00000000" w:rsidRPr="00000000" w14:paraId="00000055">
      <w:pPr>
        <w:ind w:firstLine="708"/>
        <w:jc w:val="both"/>
        <w:rPr>
          <w:rFonts w:ascii="Arial" w:cs="Arial" w:eastAsia="Arial" w:hAnsi="Arial"/>
        </w:rPr>
      </w:pPr>
      <w:r w:rsidDel="00000000" w:rsidR="00000000" w:rsidRPr="00000000">
        <w:rPr>
          <w:rFonts w:ascii="Arial" w:cs="Arial" w:eastAsia="Arial" w:hAnsi="Arial"/>
          <w:rtl w:val="0"/>
        </w:rPr>
        <w:t xml:space="preserve">De acordo com os estudos (</w:t>
      </w:r>
      <w:r w:rsidDel="00000000" w:rsidR="00000000" w:rsidRPr="00000000">
        <w:rPr>
          <w:rFonts w:ascii="Arial" w:cs="Arial" w:eastAsia="Arial" w:hAnsi="Arial"/>
          <w:sz w:val="22"/>
          <w:szCs w:val="22"/>
          <w:rtl w:val="0"/>
        </w:rPr>
        <w:t xml:space="preserve">Souza Rodrigues, A. C. et al; 2025), </w:t>
      </w:r>
      <w:r w:rsidDel="00000000" w:rsidR="00000000" w:rsidRPr="00000000">
        <w:rPr>
          <w:rFonts w:ascii="Arial" w:cs="Arial" w:eastAsia="Arial" w:hAnsi="Arial"/>
          <w:rtl w:val="0"/>
        </w:rPr>
        <w:t xml:space="preserve">os micronutrientes são essenciais para o fortalecimento do sistema imunológico das crianças desde os seus primeiros mil dias de vida, assim como reduzem a vulnerabilidade de infecções com a ingestão de ferro, cálcio, vitaminas e minerais, como A, C e E. Além disso, contribui para a maturação estrutural da criança as proteínas, ácidos graxos e antioxidantes garantindo o funcionamento adequado do coração, rins, fígado e pulmões. Dessa forma, o impacto da exposição ao excesso calórico pode afetar o eixo hipotálamo-hipofisário, como também a deficiência de micronutrientes. O valor da nutrição tem mostrado a prevenção da anemia, por exemplo, ligado ao processo de melhoramento do aprendizado das crianças, tendo em vista que, podem comprometer o desenvolvimento cerebral e afetar habilidades cognitivas. </w:t>
      </w:r>
    </w:p>
    <w:p w:rsidR="00000000" w:rsidDel="00000000" w:rsidP="00000000" w:rsidRDefault="00000000" w:rsidRPr="00000000" w14:paraId="00000056">
      <w:pPr>
        <w:ind w:firstLine="708"/>
        <w:jc w:val="both"/>
        <w:rPr>
          <w:rFonts w:ascii="Arial" w:cs="Arial" w:eastAsia="Arial" w:hAnsi="Arial"/>
        </w:rPr>
      </w:pPr>
      <w:r w:rsidDel="00000000" w:rsidR="00000000" w:rsidRPr="00000000">
        <w:rPr>
          <w:rFonts w:ascii="Arial" w:cs="Arial" w:eastAsia="Arial" w:hAnsi="Arial"/>
          <w:rtl w:val="0"/>
        </w:rPr>
        <w:t xml:space="preserve">O estudo de Beluska-Turkan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revelou que intervenções nutricionais, como a suplementação de micronutrientes, são eficazes para melhorar os desfechos neonatais, especialmente quando implementadas em populações com acesso limitado a recursos alimentares. No entanto, a aplicação prática dessas intervenções enfrenta desafios significativos, como práticas alimentares inadequadas e barreiras culturais em comunidades vulneráveis. Nesse contexto, o estudo revisado, como o de Hurley et al. (2016), destacam que nutrientes como ferro, ácido fólico e cálcio desempenham papeis cruciais no desenvolvimento cerebral e na formação de tecidos. Esses achados enfatizam como a saúde materna é determinante para garantir uma nutrição adequada para mães e crianças nesse período crítico. </w:t>
      </w:r>
    </w:p>
    <w:p w:rsidR="00000000" w:rsidDel="00000000" w:rsidP="00000000" w:rsidRDefault="00000000" w:rsidRPr="00000000" w14:paraId="00000057">
      <w:pPr>
        <w:ind w:firstLine="708"/>
        <w:jc w:val="both"/>
        <w:rPr>
          <w:rFonts w:ascii="Arial" w:cs="Arial" w:eastAsia="Arial" w:hAnsi="Arial"/>
        </w:rPr>
      </w:pPr>
      <w:r w:rsidDel="00000000" w:rsidR="00000000" w:rsidRPr="00000000">
        <w:rPr>
          <w:rFonts w:ascii="Arial" w:cs="Arial" w:eastAsia="Arial" w:hAnsi="Arial"/>
          <w:rtl w:val="0"/>
        </w:rPr>
        <w:t xml:space="preserve">A alimentação saudável, sobremodo na primeira infância, impacta positivamente no crescimento, no desenvolvimento e no estado nutricional das crianças, sendo fundamental, a longo prazo, para mitigar o aparecimento de doenças não transmissíveis, como a obesidade, o diabetes e as doenças </w:t>
      </w:r>
      <w:r w:rsidDel="00000000" w:rsidR="00000000" w:rsidRPr="00000000">
        <w:rPr>
          <w:rFonts w:ascii="Arial" w:cs="Arial" w:eastAsia="Arial" w:hAnsi="Arial"/>
        </w:rPr>
        <w:drawing>
          <wp:anchor allowOverlap="1" behindDoc="0" distB="114300" distT="114300" distL="114300" distR="114300" hidden="0" layoutInCell="1" locked="0" relativeHeight="0" simplePos="0">
            <wp:simplePos x="0" y="0"/>
            <wp:positionH relativeFrom="page">
              <wp:posOffset>-58574</wp:posOffset>
            </wp:positionH>
            <wp:positionV relativeFrom="page">
              <wp:posOffset>10004730</wp:posOffset>
            </wp:positionV>
            <wp:extent cx="7677150" cy="72602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7677150" cy="726020"/>
                    </a:xfrm>
                    <a:prstGeom prst="rect"/>
                    <a:ln/>
                  </pic:spPr>
                </pic:pic>
              </a:graphicData>
            </a:graphic>
          </wp:anchor>
        </w:drawing>
      </w:r>
      <w:r w:rsidDel="00000000" w:rsidR="00000000" w:rsidRPr="00000000">
        <w:rPr>
          <w:rFonts w:ascii="Arial" w:cs="Arial" w:eastAsia="Arial" w:hAnsi="Arial"/>
          <w:rtl w:val="0"/>
        </w:rPr>
        <w:t xml:space="preserve">cardiovasculares tanto na infância quanto na vida adulta desse indivíduo, processo conhecido como “Programação metabólica precoce de saúde e doença a longo prazo” (Santos et al., 2020) (Koletzko et al, 2019). </w:t>
      </w:r>
    </w:p>
    <w:p w:rsidR="00000000" w:rsidDel="00000000" w:rsidP="00000000" w:rsidRDefault="00000000" w:rsidRPr="00000000" w14:paraId="00000058">
      <w:pPr>
        <w:ind w:firstLine="708"/>
        <w:jc w:val="both"/>
        <w:rPr>
          <w:rFonts w:ascii="Arial" w:cs="Arial" w:eastAsia="Arial" w:hAnsi="Arial"/>
        </w:rPr>
      </w:pPr>
      <w:r w:rsidDel="00000000" w:rsidR="00000000" w:rsidRPr="00000000">
        <w:rPr>
          <w:rFonts w:ascii="Arial" w:cs="Arial" w:eastAsia="Arial" w:hAnsi="Arial"/>
          <w:rtl w:val="0"/>
        </w:rPr>
        <w:t xml:space="preserve">Como já é sabido, o PNAE (Programa Nacional de Alimentação Escolar) contribui significativamente para o desenvolvimento psicomotor e o desempenho escolar dos educandos (Rocha, 2017). A eficiência do PNAE permite a disponibilização de alimentos nutritivos nas escolas, preenchendo a lacuna de opções saudáveis que podem não estar presentes em casa. Vale a pena notar que a alimentação escolar se tornou uma medida vital de proteção social nas últimas décadas, apoiando a educação, a saúde, a segurança alimentar e o desenvolvimento local em numerosos países a nível mundial (Ipólito, 2023). </w:t>
      </w:r>
    </w:p>
    <w:p w:rsidR="00000000" w:rsidDel="00000000" w:rsidP="00000000" w:rsidRDefault="00000000" w:rsidRPr="00000000" w14:paraId="00000059">
      <w:pPr>
        <w:ind w:firstLine="708"/>
        <w:jc w:val="both"/>
        <w:rPr>
          <w:rFonts w:ascii="Arial" w:cs="Arial" w:eastAsia="Arial" w:hAnsi="Arial"/>
        </w:rPr>
      </w:pPr>
      <w:r w:rsidDel="00000000" w:rsidR="00000000" w:rsidRPr="00000000">
        <w:rPr>
          <w:rFonts w:ascii="Arial" w:cs="Arial" w:eastAsia="Arial" w:hAnsi="Arial"/>
          <w:rtl w:val="0"/>
        </w:rPr>
        <w:t xml:space="preserve">Segundo Santos (2017) A escola é o local propício para a formação de hábitos alimentares e estilos de vida saudáveis. No âmbito escolar, é possível realizar ações de educação alimentar e nutricional para a promoção de hábitos e escolhas saudáveis e compartilhar e incentivar hábitos, preferências e modismos alimentares. Também, se torna possível incentivar modificações no estilo alimentar dos educandos.</w:t>
      </w:r>
    </w:p>
    <w:p w:rsidR="00000000" w:rsidDel="00000000" w:rsidP="00000000" w:rsidRDefault="00000000" w:rsidRPr="00000000" w14:paraId="0000005A">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5B">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hanging="2"/>
        <w:rPr>
          <w:rFonts w:ascii="Arial" w:cs="Arial" w:eastAsia="Arial" w:hAnsi="Arial"/>
          <w:color w:val="000000"/>
        </w:rPr>
      </w:pPr>
      <w:r w:rsidDel="00000000" w:rsidR="00000000" w:rsidRPr="00000000">
        <w:rPr>
          <w:rFonts w:ascii="Arial" w:cs="Arial" w:eastAsia="Arial" w:hAnsi="Arial"/>
          <w:b w:val="1"/>
          <w:color w:val="000000"/>
          <w:rtl w:val="0"/>
        </w:rPr>
        <w:t xml:space="preserve">4 CONCLUSÃO</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708.6614173228347"/>
        <w:jc w:val="both"/>
        <w:rPr>
          <w:rFonts w:ascii="Arial" w:cs="Arial" w:eastAsia="Arial" w:hAnsi="Arial"/>
          <w:color w:val="000000"/>
        </w:rPr>
      </w:pPr>
      <w:r w:rsidDel="00000000" w:rsidR="00000000" w:rsidRPr="00000000">
        <w:rPr>
          <w:rFonts w:ascii="Arial" w:cs="Arial" w:eastAsia="Arial" w:hAnsi="Arial"/>
          <w:color w:val="000000"/>
          <w:rtl w:val="0"/>
        </w:rPr>
        <w:t xml:space="preserve"> Mediante o que foi apresentado, fica claro, </w:t>
      </w:r>
      <w:r w:rsidDel="00000000" w:rsidR="00000000" w:rsidRPr="00000000">
        <w:rPr>
          <w:rFonts w:ascii="Arial" w:cs="Arial" w:eastAsia="Arial" w:hAnsi="Arial"/>
          <w:rtl w:val="0"/>
        </w:rPr>
        <w:t xml:space="preserve">portanto, que</w:t>
      </w:r>
      <w:r w:rsidDel="00000000" w:rsidR="00000000" w:rsidRPr="00000000">
        <w:rPr>
          <w:rFonts w:ascii="Arial" w:cs="Arial" w:eastAsia="Arial" w:hAnsi="Arial"/>
          <w:color w:val="000000"/>
          <w:rtl w:val="0"/>
        </w:rPr>
        <w:t xml:space="preserve"> a alimentação adequada é um pilar fundamental para o desenvolvimento físico, imunológico e cognitivo das crianças. A compreensão de que  ao ofertar uma alimentação rica em nutrientes (como o ferro , o cálcio e vitaminas) nos primeiros anos de vida , irá fortalecer o sistema </w:t>
      </w:r>
      <w:r w:rsidDel="00000000" w:rsidR="00000000" w:rsidRPr="00000000">
        <w:rPr>
          <w:rFonts w:ascii="Arial" w:cs="Arial" w:eastAsia="Arial" w:hAnsi="Arial"/>
          <w:rtl w:val="0"/>
        </w:rPr>
        <w:t xml:space="preserve">imunológico</w:t>
      </w:r>
      <w:r w:rsidDel="00000000" w:rsidR="00000000" w:rsidRPr="00000000">
        <w:rPr>
          <w:rFonts w:ascii="Arial" w:cs="Arial" w:eastAsia="Arial" w:hAnsi="Arial"/>
          <w:color w:val="000000"/>
          <w:rtl w:val="0"/>
        </w:rPr>
        <w:t xml:space="preserve"> e atuar na prevenção de doenças futuras. Isso porque o organismo nesta idade se encontra em intensa transformação, o que o torna </w:t>
      </w:r>
      <w:r w:rsidDel="00000000" w:rsidR="00000000" w:rsidRPr="00000000">
        <w:rPr>
          <w:rFonts w:ascii="Arial" w:cs="Arial" w:eastAsia="Arial" w:hAnsi="Arial"/>
          <w:rtl w:val="0"/>
        </w:rPr>
        <w:t xml:space="preserve">suscetível</w:t>
      </w:r>
      <w:r w:rsidDel="00000000" w:rsidR="00000000" w:rsidRPr="00000000">
        <w:rPr>
          <w:rFonts w:ascii="Arial" w:cs="Arial" w:eastAsia="Arial" w:hAnsi="Arial"/>
          <w:color w:val="000000"/>
          <w:rtl w:val="0"/>
        </w:rPr>
        <w:t xml:space="preserve"> a </w:t>
      </w:r>
      <w:r w:rsidDel="00000000" w:rsidR="00000000" w:rsidRPr="00000000">
        <w:rPr>
          <w:rFonts w:ascii="Arial" w:cs="Arial" w:eastAsia="Arial" w:hAnsi="Arial"/>
          <w:rtl w:val="0"/>
        </w:rPr>
        <w:t xml:space="preserve">déficits</w:t>
      </w:r>
      <w:r w:rsidDel="00000000" w:rsidR="00000000" w:rsidRPr="00000000">
        <w:rPr>
          <w:rFonts w:ascii="Arial" w:cs="Arial" w:eastAsia="Arial" w:hAnsi="Arial"/>
          <w:color w:val="000000"/>
          <w:rtl w:val="0"/>
        </w:rPr>
        <w:t xml:space="preserve"> nutricionais, que pode desencadear impactos duradouros.</w:t>
      </w:r>
    </w:p>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708.6614173228347"/>
        <w:jc w:val="both"/>
        <w:rPr>
          <w:rFonts w:ascii="Arial" w:cs="Arial" w:eastAsia="Arial" w:hAnsi="Arial"/>
          <w:color w:val="000000"/>
        </w:rPr>
      </w:pPr>
      <w:r w:rsidDel="00000000" w:rsidR="00000000" w:rsidRPr="00000000">
        <w:rPr>
          <w:rFonts w:ascii="Arial" w:cs="Arial" w:eastAsia="Arial" w:hAnsi="Arial"/>
          <w:color w:val="000000"/>
          <w:rtl w:val="0"/>
        </w:rPr>
        <w:t xml:space="preserve">O aconselhamento em realizar uma intervenção nutricional deve ser manifestado desde o acompanhamento durante a gestação até a primeira infância . Além disso,</w:t>
      </w:r>
      <w:r w:rsidDel="00000000" w:rsidR="00000000" w:rsidRPr="00000000">
        <w:rPr>
          <w:rFonts w:ascii="Arial" w:cs="Arial" w:eastAsia="Arial" w:hAnsi="Arial"/>
          <w:rtl w:val="0"/>
        </w:rPr>
        <w:t xml:space="preserve"> a promoção da alimentação saudável, especialmente por meio de políticas públicas como o PNAE e campanhas educativas, é uma estratégia fundamental para combater desigualdades sociais e garantir a equidade no acesso a alimentos nutritivos. Sendo assim, a escola torna-se um ambiente propício para disseminar hábitos alimentares saudáveis.</w:t>
      </w:r>
      <w:r w:rsidDel="00000000" w:rsidR="00000000" w:rsidRPr="00000000">
        <w:rPr>
          <w:rFonts w:ascii="Arial" w:cs="Arial" w:eastAsia="Arial" w:hAnsi="Arial"/>
          <w:color w:val="000000"/>
          <w:rtl w:val="0"/>
        </w:rPr>
        <w:t xml:space="preserve">Ademais, abordar sobre a essencialidade de uma alimentação equilibrada ,conscientizando os pais , cuidadores e profissionais de saúde como uma medida estratégica e essencial para o desenvolvimento de uma sociedade saudável  e enriquecimento da saúde pública .</w:t>
      </w:r>
    </w:p>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708.6614173228347"/>
        <w:jc w:val="both"/>
        <w:rPr>
          <w:rFonts w:ascii="Arial" w:cs="Arial" w:eastAsia="Arial" w:hAnsi="Arial"/>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2" w:firstLine="0"/>
        <w:rPr>
          <w:rFonts w:ascii="Arial" w:cs="Arial" w:eastAsia="Arial" w:hAnsi="Arial"/>
          <w:color w:val="000000"/>
        </w:rPr>
      </w:pPr>
      <w:r w:rsidDel="00000000" w:rsidR="00000000" w:rsidRPr="00000000">
        <w:rPr>
          <w:rFonts w:ascii="Arial" w:cs="Arial" w:eastAsia="Arial" w:hAnsi="Arial"/>
          <w:b w:val="1"/>
          <w:color w:val="000000"/>
          <w:rtl w:val="0"/>
        </w:rPr>
        <w:t xml:space="preserve">REFERÊNCIAS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spacing w:line="216" w:lineRule="auto"/>
        <w:ind w:firstLine="0"/>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ALVES, G.; MANHÃES; CUNHA, T. A importância da alimentação saudável para o desenvolvimento humano. </w:t>
      </w:r>
      <w:r w:rsidDel="00000000" w:rsidR="00000000" w:rsidRPr="00000000">
        <w:rPr>
          <w:rFonts w:ascii="Arial" w:cs="Arial" w:eastAsia="Arial" w:hAnsi="Arial"/>
          <w:b w:val="1"/>
          <w:color w:val="222222"/>
          <w:sz w:val="20"/>
          <w:szCs w:val="20"/>
          <w:highlight w:val="white"/>
          <w:rtl w:val="0"/>
        </w:rPr>
        <w:t xml:space="preserve">Humanas Sociais &amp; Aplicadas</w:t>
      </w:r>
      <w:r w:rsidDel="00000000" w:rsidR="00000000" w:rsidRPr="00000000">
        <w:rPr>
          <w:rFonts w:ascii="Arial" w:cs="Arial" w:eastAsia="Arial" w:hAnsi="Arial"/>
          <w:color w:val="222222"/>
          <w:sz w:val="20"/>
          <w:szCs w:val="20"/>
          <w:highlight w:val="white"/>
          <w:rtl w:val="0"/>
        </w:rPr>
        <w:t xml:space="preserve">, v. 27, p. 46–62, 2020.</w:t>
      </w:r>
    </w:p>
    <w:p w:rsidR="00000000" w:rsidDel="00000000" w:rsidP="00000000" w:rsidRDefault="00000000" w:rsidRPr="00000000" w14:paraId="00000065">
      <w:pPr>
        <w:spacing w:line="216" w:lineRule="auto"/>
        <w:ind w:firstLine="0"/>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BELUSKA-TURKAN, K.</w:t>
      </w:r>
      <w:r w:rsidDel="00000000" w:rsidR="00000000" w:rsidRPr="00000000">
        <w:rPr>
          <w:rFonts w:ascii="Arial" w:cs="Arial" w:eastAsia="Arial" w:hAnsi="Arial"/>
          <w:i w:val="1"/>
          <w:color w:val="222222"/>
          <w:sz w:val="20"/>
          <w:szCs w:val="20"/>
          <w:highlight w:val="white"/>
          <w:rtl w:val="0"/>
        </w:rPr>
        <w:t xml:space="preserve">et al</w:t>
      </w:r>
      <w:r w:rsidDel="00000000" w:rsidR="00000000" w:rsidRPr="00000000">
        <w:rPr>
          <w:rFonts w:ascii="Arial" w:cs="Arial" w:eastAsia="Arial" w:hAnsi="Arial"/>
          <w:color w:val="222222"/>
          <w:sz w:val="20"/>
          <w:szCs w:val="20"/>
          <w:highlight w:val="white"/>
          <w:rtl w:val="0"/>
        </w:rPr>
        <w:t xml:space="preserve">.Nutritional gaps and supplementation in the first 1000 days.Nutrients, 2019.</w:t>
      </w:r>
    </w:p>
    <w:p w:rsidR="00000000" w:rsidDel="00000000" w:rsidP="00000000" w:rsidRDefault="00000000" w:rsidRPr="00000000" w14:paraId="00000066">
      <w:pPr>
        <w:spacing w:line="216" w:lineRule="auto"/>
        <w:ind w:firstLine="0"/>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CENCI, P. DA S. et al. Práticas alimentares e estado nutricional de crianças de 6 meses a 2 anos de idade em comparação com os 10 passos para uma alimentação saudável: Food practices and nutritional status of children from 6 months to 2 years of age in comparison with the 10 steps for a healthy food. </w:t>
      </w:r>
      <w:r w:rsidDel="00000000" w:rsidR="00000000" w:rsidRPr="00000000">
        <w:rPr>
          <w:rFonts w:ascii="Arial" w:cs="Arial" w:eastAsia="Arial" w:hAnsi="Arial"/>
          <w:b w:val="1"/>
          <w:color w:val="222222"/>
          <w:sz w:val="20"/>
          <w:szCs w:val="20"/>
          <w:highlight w:val="white"/>
          <w:rtl w:val="0"/>
        </w:rPr>
        <w:t xml:space="preserve">Brazilian Journal of Health Review</w:t>
      </w:r>
      <w:r w:rsidDel="00000000" w:rsidR="00000000" w:rsidRPr="00000000">
        <w:rPr>
          <w:rFonts w:ascii="Arial" w:cs="Arial" w:eastAsia="Arial" w:hAnsi="Arial"/>
          <w:color w:val="222222"/>
          <w:sz w:val="20"/>
          <w:szCs w:val="20"/>
          <w:highlight w:val="white"/>
          <w:rtl w:val="0"/>
        </w:rPr>
        <w:t xml:space="preserve">, v. 5, n. 5, p. 17294–17311, 2022.</w:t>
      </w:r>
    </w:p>
    <w:p w:rsidR="00000000" w:rsidDel="00000000" w:rsidP="00000000" w:rsidRDefault="00000000" w:rsidRPr="00000000" w14:paraId="00000067">
      <w:pPr>
        <w:spacing w:line="216" w:lineRule="auto"/>
        <w:ind w:firstLine="0"/>
        <w:jc w:val="both"/>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CUSICK, S. E.; GEORGIEFF, M. K. The role of nutrition in brain development: The golden opportunity of the “first 1000 days”. </w:t>
      </w:r>
      <w:r w:rsidDel="00000000" w:rsidR="00000000" w:rsidRPr="00000000">
        <w:rPr>
          <w:rFonts w:ascii="Arial" w:cs="Arial" w:eastAsia="Arial" w:hAnsi="Arial"/>
          <w:b w:val="1"/>
          <w:color w:val="222222"/>
          <w:sz w:val="20"/>
          <w:szCs w:val="20"/>
          <w:highlight w:val="white"/>
          <w:rtl w:val="0"/>
        </w:rPr>
        <w:t xml:space="preserve">Journal of Pediatrics</w:t>
      </w:r>
      <w:r w:rsidDel="00000000" w:rsidR="00000000" w:rsidRPr="00000000">
        <w:rPr>
          <w:rFonts w:ascii="Arial" w:cs="Arial" w:eastAsia="Arial" w:hAnsi="Arial"/>
          <w:color w:val="222222"/>
          <w:sz w:val="20"/>
          <w:szCs w:val="20"/>
          <w:highlight w:val="white"/>
          <w:rtl w:val="0"/>
        </w:rPr>
        <w:t xml:space="preserve">, v. 175, p. 16–21, 2016.</w:t>
      </w:r>
    </w:p>
    <w:p w:rsidR="00000000" w:rsidDel="00000000" w:rsidP="00000000" w:rsidRDefault="00000000" w:rsidRPr="00000000" w14:paraId="0000006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16"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HURLEY, K. M.; YOUSAFZAI, A. K.; LOPEZ-BOO, F. Early child development and nutrition: A review of the benefits and challenges of implementing integrated interventions.</w:t>
      </w:r>
      <w:r w:rsidDel="00000000" w:rsidR="00000000" w:rsidRPr="00000000">
        <w:rPr>
          <w:rFonts w:ascii="Arial" w:cs="Arial" w:eastAsia="Arial" w:hAnsi="Arial"/>
          <w:b w:val="1"/>
          <w:sz w:val="20"/>
          <w:szCs w:val="20"/>
          <w:rtl w:val="0"/>
        </w:rPr>
        <w:t xml:space="preserve"> Advances in Nutrition</w:t>
      </w:r>
      <w:r w:rsidDel="00000000" w:rsidR="00000000" w:rsidRPr="00000000">
        <w:rPr>
          <w:rFonts w:ascii="Arial" w:cs="Arial" w:eastAsia="Arial" w:hAnsi="Arial"/>
          <w:sz w:val="20"/>
          <w:szCs w:val="20"/>
          <w:rtl w:val="0"/>
        </w:rPr>
        <w:t xml:space="preserve">, v. 7, p. 357–363, 2016.</w:t>
      </w:r>
    </w:p>
    <w:p w:rsidR="00000000" w:rsidDel="00000000" w:rsidP="00000000" w:rsidRDefault="00000000" w:rsidRPr="00000000" w14:paraId="0000006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16"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IPOLITO, Antônia Leudiane Mariano. Efeitos do Programa Nacional de Alimentação Escolar (PNAE) sobre a agricultura familiar e desempenho escolar. 2023. 101 f. Dissertação (Mestrado em Economia Rural) - Centro de Ciências Agrárias, Universidade Federal do Ceará, Fortaleza, 2023.</w:t>
      </w:r>
    </w:p>
    <w:p w:rsidR="00000000" w:rsidDel="00000000" w:rsidP="00000000" w:rsidRDefault="00000000" w:rsidRPr="00000000" w14:paraId="0000006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16"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KOLETZKO, Berthold et al. Nutrition during pregnancy, lactation and early childhood and its implications for maternal and long-term child health: the early nutrition project recommendations. Annals of Nutrition and Metabolism, v. 74, n. 2, p. 93-106, 2019. </w:t>
      </w:r>
    </w:p>
    <w:p w:rsidR="00000000" w:rsidDel="00000000" w:rsidP="00000000" w:rsidRDefault="00000000" w:rsidRPr="00000000" w14:paraId="0000006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16"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SANTOS, D. M. A alimentação escolar como estratégia de Educação Alimentar e Nutricional: uma revisão da literatura. Trabalho de Conclusão de Curso, Universidade Federal de Pernambuco, 2017.</w:t>
      </w:r>
    </w:p>
    <w:p w:rsidR="00000000" w:rsidDel="00000000" w:rsidP="00000000" w:rsidRDefault="00000000" w:rsidRPr="00000000" w14:paraId="0000006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16"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SANTOS, Camila de Jesus et al. Introdução de frutas e verduras na alimentação complementar de lactentes em Montes Claros, Minas Gerais. Archivos Latinoamericanos de Nutrición, v. 70, n. 1, p. 1-7, </w:t>
      </w:r>
      <w:r w:rsidDel="00000000" w:rsidR="00000000" w:rsidRPr="00000000">
        <w:rPr>
          <w:rFonts w:ascii="Arial" w:cs="Arial" w:eastAsia="Arial" w:hAnsi="Arial"/>
          <w:sz w:val="20"/>
          <w:szCs w:val="20"/>
        </w:rPr>
        <w:drawing>
          <wp:anchor allowOverlap="1" behindDoc="0" distB="114300" distT="114300" distL="114300" distR="114300" hidden="0" layoutInCell="1" locked="0" relativeHeight="0" simplePos="0">
            <wp:simplePos x="0" y="0"/>
            <wp:positionH relativeFrom="page">
              <wp:posOffset>-58574</wp:posOffset>
            </wp:positionH>
            <wp:positionV relativeFrom="page">
              <wp:posOffset>10004730</wp:posOffset>
            </wp:positionV>
            <wp:extent cx="7677150" cy="706970"/>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7677150" cy="706970"/>
                    </a:xfrm>
                    <a:prstGeom prst="rect"/>
                    <a:ln/>
                  </pic:spPr>
                </pic:pic>
              </a:graphicData>
            </a:graphic>
          </wp:anchor>
        </w:drawing>
      </w:r>
      <w:r w:rsidDel="00000000" w:rsidR="00000000" w:rsidRPr="00000000">
        <w:rPr>
          <w:rFonts w:ascii="Arial" w:cs="Arial" w:eastAsia="Arial" w:hAnsi="Arial"/>
          <w:sz w:val="20"/>
          <w:szCs w:val="20"/>
          <w:rtl w:val="0"/>
        </w:rPr>
        <w:t xml:space="preserve">2020.</w:t>
      </w:r>
    </w:p>
    <w:p w:rsidR="00000000" w:rsidDel="00000000" w:rsidP="00000000" w:rsidRDefault="00000000" w:rsidRPr="00000000" w14:paraId="0000006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16"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SANTOS, Giselly Fernandes Vieira et al., Alimentação escolar em tempos de pandemia: experiência do município de Governador Valadares, Rev FACS, v.21, n.28, 2021. Disponível em: https://periodicos.univale.br/index.php/revcientfacs/article/view/20. Acesso em: 15 abr. 2025.</w:t>
      </w:r>
    </w:p>
    <w:p w:rsidR="00000000" w:rsidDel="00000000" w:rsidP="00000000" w:rsidRDefault="00000000" w:rsidRPr="00000000" w14:paraId="0000006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16"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SOUZA RODRIGUES, A. C. et al. O impacto da nutrição nos primeiros mil dias de vida no desenvolvimento infantil e na saúde a longo prazo. </w:t>
      </w:r>
      <w:r w:rsidDel="00000000" w:rsidR="00000000" w:rsidRPr="00000000">
        <w:rPr>
          <w:rFonts w:ascii="Arial" w:cs="Arial" w:eastAsia="Arial" w:hAnsi="Arial"/>
          <w:b w:val="1"/>
          <w:sz w:val="20"/>
          <w:szCs w:val="20"/>
          <w:rtl w:val="0"/>
        </w:rPr>
        <w:t xml:space="preserve">Brazilian Journal of Health Review</w:t>
      </w:r>
      <w:r w:rsidDel="00000000" w:rsidR="00000000" w:rsidRPr="00000000">
        <w:rPr>
          <w:rFonts w:ascii="Arial" w:cs="Arial" w:eastAsia="Arial" w:hAnsi="Arial"/>
          <w:sz w:val="20"/>
          <w:szCs w:val="20"/>
          <w:rtl w:val="0"/>
        </w:rPr>
        <w:t xml:space="preserve">, p. v. 8, n. 1, páginas 01- 20, 1 Primavera 2025.</w:t>
      </w:r>
    </w:p>
    <w:p w:rsidR="00000000" w:rsidDel="00000000" w:rsidP="00000000" w:rsidRDefault="00000000" w:rsidRPr="00000000" w14:paraId="0000006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16"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ROCHA, Rosilda Cardoso Nolêto. A merenda escolar e a garantia do direito a educação numa escola da região do bico. Monografia, Universidade Federal do Tocantins, 2017.</w:t>
      </w:r>
    </w:p>
    <w:p w:rsidR="00000000" w:rsidDel="00000000" w:rsidP="00000000" w:rsidRDefault="00000000" w:rsidRPr="00000000" w14:paraId="0000007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16" w:lineRule="auto"/>
        <w:ind w:firstLine="0"/>
        <w:jc w:val="both"/>
        <w:rPr>
          <w:rFonts w:ascii="Arial" w:cs="Arial" w:eastAsia="Arial" w:hAnsi="Arial"/>
          <w:sz w:val="20"/>
          <w:szCs w:val="20"/>
        </w:rPr>
      </w:pPr>
      <w:r w:rsidDel="00000000" w:rsidR="00000000" w:rsidRPr="00000000">
        <w:rPr>
          <w:rtl w:val="0"/>
        </w:rPr>
      </w:r>
    </w:p>
    <w:sectPr>
      <w:footerReference r:id="rId19" w:type="default"/>
      <w:type w:val="continuous"/>
      <w:pgSz w:h="16838" w:w="11906" w:orient="portrait"/>
      <w:pgMar w:bottom="1418" w:top="1418" w:left="1418" w:right="1418" w:header="708.6614173228347" w:footer="453.54330708661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252"/>
        <w:tab w:val="right" w:leader="none" w:pos="8504"/>
      </w:tabs>
      <w:ind w:hanging="2"/>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-1600199</wp:posOffset>
          </wp:positionH>
          <wp:positionV relativeFrom="paragraph">
            <wp:posOffset>-228599</wp:posOffset>
          </wp:positionV>
          <wp:extent cx="8439150" cy="6858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39150" cy="6858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-58574</wp:posOffset>
          </wp:positionH>
          <wp:positionV relativeFrom="page">
            <wp:posOffset>-16509</wp:posOffset>
          </wp:positionV>
          <wp:extent cx="7680000" cy="6858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80000" cy="6858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252"/>
        <w:tab w:val="right" w:leader="none" w:pos="8504"/>
      </w:tabs>
      <w:ind w:left="1" w:hanging="3"/>
      <w:jc w:val="center"/>
      <w:rPr>
        <w:color w:val="000000"/>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252"/>
        <w:tab w:val="right" w:leader="none" w:pos="8504"/>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252"/>
        <w:tab w:val="right" w:leader="none" w:pos="8504"/>
      </w:tabs>
      <w:ind w:right="36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hallitaalbuquerque16@gmail.com" TargetMode="External"/><Relationship Id="rId10" Type="http://schemas.openxmlformats.org/officeDocument/2006/relationships/hyperlink" Target="mailto:vanessasilva@enf.fiponline.edu.br" TargetMode="External"/><Relationship Id="rId13" Type="http://schemas.openxmlformats.org/officeDocument/2006/relationships/image" Target="media/image1.png"/><Relationship Id="rId12" Type="http://schemas.openxmlformats.org/officeDocument/2006/relationships/hyperlink" Target="mailto:julianecosta@fiponline.edu.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uziavitoriapaiva@hotmail.com"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mailto:danton.lummiere@hotmail.com" TargetMode="External"/><Relationship Id="rId8" Type="http://schemas.openxmlformats.org/officeDocument/2006/relationships/hyperlink" Target="mailto:leticiahevilin12@gmail.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dKOy9xoHTOQ2coJObormCYtxg==">CgMxLjA4AHIhMWtHYW0zS3N4V3JmSGduVU1iWWdsT0pYb3JralFSak1U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