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3CA1AB2" w14:textId="7CA43182" w:rsidR="00483094" w:rsidRPr="003D30A0" w:rsidRDefault="003D30A0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3D30A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AVALIAÇÃO DE GUIA DE VACINAÇÃO PARA USUÁRIOS DO SUS A LUZ DA TEORIA SOCIOCONSTRUTIVISTA</w:t>
      </w:r>
    </w:p>
    <w:p w14:paraId="396D2322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8E9CA" w14:textId="6752150D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71D1F" w:rsidRPr="00371D1F">
        <w:rPr>
          <w:rFonts w:ascii="Times New Roman" w:hAnsi="Times New Roman" w:cs="Times New Roman"/>
          <w:sz w:val="24"/>
          <w:szCs w:val="24"/>
        </w:rPr>
        <w:t xml:space="preserve"> A vacinação é um dos pilares centrais da saúde pública, responsável por prevenir doenças imunopreveníveis e proteger coletivamente a população. No entanto, a hesitação vacinal e a disseminação de informações equivocadas têm comprometido a adesão às campanhas de imunização no </w:t>
      </w:r>
      <w:proofErr w:type="gramStart"/>
      <w:r w:rsidR="00371D1F" w:rsidRPr="00371D1F">
        <w:rPr>
          <w:rFonts w:ascii="Times New Roman" w:hAnsi="Times New Roman" w:cs="Times New Roman"/>
          <w:sz w:val="24"/>
          <w:szCs w:val="24"/>
        </w:rPr>
        <w:t>Brasil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1, 2, 3)</w:t>
      </w:r>
      <w:r w:rsidR="00371D1F" w:rsidRPr="00371D1F">
        <w:rPr>
          <w:rFonts w:ascii="Times New Roman" w:hAnsi="Times New Roman" w:cs="Times New Roman"/>
          <w:sz w:val="24"/>
          <w:szCs w:val="24"/>
        </w:rPr>
        <w:t xml:space="preserve">. Sob a perspectiva socioconstrutivista de </w:t>
      </w:r>
      <w:proofErr w:type="gramStart"/>
      <w:r w:rsidR="00371D1F" w:rsidRPr="00371D1F">
        <w:rPr>
          <w:rFonts w:ascii="Times New Roman" w:hAnsi="Times New Roman" w:cs="Times New Roman"/>
          <w:sz w:val="24"/>
          <w:szCs w:val="24"/>
        </w:rPr>
        <w:t>Vygotsky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="00371D1F" w:rsidRPr="00371D1F">
        <w:rPr>
          <w:rFonts w:ascii="Times New Roman" w:hAnsi="Times New Roman" w:cs="Times New Roman"/>
          <w:sz w:val="24"/>
          <w:szCs w:val="24"/>
        </w:rPr>
        <w:t>, compreende-se que atitudes e percepções sobre vacinas são construídas socialmente, mediadas por interações culturais, linguísticas e simbólicas, o que exige tecnologias educativas acessíveis, contextualizadas e sensíveis às realidades dos usuários do Sistema Único de Saúde (SUS). </w:t>
      </w:r>
      <w:r w:rsidR="00371D1F">
        <w:rPr>
          <w:rFonts w:ascii="Times New Roman" w:hAnsi="Times New Roman" w:cs="Times New Roman"/>
          <w:sz w:val="24"/>
          <w:szCs w:val="24"/>
        </w:rPr>
        <w:t>OBJETIVO</w:t>
      </w:r>
      <w:r w:rsidR="00371D1F" w:rsidRPr="00371D1F">
        <w:rPr>
          <w:rFonts w:ascii="Times New Roman" w:hAnsi="Times New Roman" w:cs="Times New Roman"/>
          <w:sz w:val="24"/>
          <w:szCs w:val="24"/>
        </w:rPr>
        <w:t>: Avaliar um guia de vacinação para o usuário do SUS à luz da teoria socioconstrutivista</w:t>
      </w:r>
      <w:r w:rsidR="00371D1F" w:rsidRPr="00FA15DC">
        <w:rPr>
          <w:rFonts w:ascii="Times New Roman" w:hAnsi="Times New Roman" w:cs="Times New Roman"/>
          <w:b/>
          <w:bCs/>
          <w:sz w:val="24"/>
          <w:szCs w:val="24"/>
        </w:rPr>
        <w:t>. MÉTODO</w:t>
      </w:r>
      <w:r w:rsidR="00371D1F" w:rsidRPr="00371D1F">
        <w:rPr>
          <w:rFonts w:ascii="Times New Roman" w:hAnsi="Times New Roman" w:cs="Times New Roman"/>
          <w:sz w:val="24"/>
          <w:szCs w:val="24"/>
        </w:rPr>
        <w:t xml:space="preserve">: Trata-se de um estudo metodológico, conduzido em duas etapas complementares: avaliação semântica, realizada com usuários da atenção primária à saúde por meio de questionário estruturado, e avaliação de legibilidade, utilizando as fórmulas Flesch Reading </w:t>
      </w:r>
      <w:proofErr w:type="spellStart"/>
      <w:r w:rsidR="00371D1F" w:rsidRPr="00371D1F">
        <w:rPr>
          <w:rFonts w:ascii="Times New Roman" w:hAnsi="Times New Roman" w:cs="Times New Roman"/>
          <w:sz w:val="24"/>
          <w:szCs w:val="24"/>
        </w:rPr>
        <w:t>Ease</w:t>
      </w:r>
      <w:proofErr w:type="spellEnd"/>
      <w:r w:rsidR="00371D1F" w:rsidRPr="00371D1F">
        <w:rPr>
          <w:rFonts w:ascii="Times New Roman" w:hAnsi="Times New Roman" w:cs="Times New Roman"/>
          <w:sz w:val="24"/>
          <w:szCs w:val="24"/>
        </w:rPr>
        <w:t xml:space="preserve"> (FRE) e Flesch-</w:t>
      </w:r>
      <w:proofErr w:type="spellStart"/>
      <w:r w:rsidR="00371D1F" w:rsidRPr="00371D1F">
        <w:rPr>
          <w:rFonts w:ascii="Times New Roman" w:hAnsi="Times New Roman" w:cs="Times New Roman"/>
          <w:sz w:val="24"/>
          <w:szCs w:val="24"/>
        </w:rPr>
        <w:t>Kincaid</w:t>
      </w:r>
      <w:proofErr w:type="spellEnd"/>
      <w:r w:rsidR="00371D1F" w:rsidRPr="00371D1F">
        <w:rPr>
          <w:rFonts w:ascii="Times New Roman" w:hAnsi="Times New Roman" w:cs="Times New Roman"/>
          <w:sz w:val="24"/>
          <w:szCs w:val="24"/>
        </w:rPr>
        <w:t xml:space="preserve"> Grade </w:t>
      </w:r>
      <w:proofErr w:type="spellStart"/>
      <w:r w:rsidR="00371D1F" w:rsidRPr="00371D1F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371D1F" w:rsidRPr="00371D1F">
        <w:rPr>
          <w:rFonts w:ascii="Times New Roman" w:hAnsi="Times New Roman" w:cs="Times New Roman"/>
          <w:sz w:val="24"/>
          <w:szCs w:val="24"/>
        </w:rPr>
        <w:t xml:space="preserve"> (FKGL</w:t>
      </w:r>
      <w:proofErr w:type="gramStart"/>
      <w:r w:rsidR="00371D1F" w:rsidRPr="00371D1F">
        <w:rPr>
          <w:rFonts w:ascii="Times New Roman" w:hAnsi="Times New Roman" w:cs="Times New Roman"/>
          <w:sz w:val="24"/>
          <w:szCs w:val="24"/>
        </w:rPr>
        <w:t>)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71D1F" w:rsidRPr="00371D1F">
        <w:rPr>
          <w:rFonts w:ascii="Times New Roman" w:hAnsi="Times New Roman" w:cs="Times New Roman"/>
          <w:sz w:val="24"/>
          <w:szCs w:val="24"/>
        </w:rPr>
        <w:t>. A coleta de dados ocorreu na sala de vacinação do Centro de Saúde Escola do Marco, com 20 usuários do serviço,</w:t>
      </w:r>
      <w:r w:rsidR="009168C0">
        <w:rPr>
          <w:rFonts w:ascii="Times New Roman" w:hAnsi="Times New Roman" w:cs="Times New Roman"/>
          <w:sz w:val="24"/>
          <w:szCs w:val="24"/>
        </w:rPr>
        <w:t xml:space="preserve"> com idade </w:t>
      </w:r>
      <w:r w:rsidR="009168C0" w:rsidRPr="009168C0">
        <w:rPr>
          <w:rFonts w:ascii="Times New Roman" w:hAnsi="Times New Roman" w:cs="Times New Roman"/>
          <w:sz w:val="24"/>
          <w:szCs w:val="24"/>
        </w:rPr>
        <w:t>superior a 18 anos</w:t>
      </w:r>
      <w:r w:rsidR="009168C0">
        <w:rPr>
          <w:rFonts w:ascii="Times New Roman" w:hAnsi="Times New Roman" w:cs="Times New Roman"/>
          <w:sz w:val="24"/>
          <w:szCs w:val="24"/>
        </w:rPr>
        <w:t xml:space="preserve"> e</w:t>
      </w:r>
      <w:r w:rsidR="00371D1F" w:rsidRPr="00371D1F">
        <w:rPr>
          <w:rFonts w:ascii="Times New Roman" w:hAnsi="Times New Roman" w:cs="Times New Roman"/>
          <w:sz w:val="24"/>
          <w:szCs w:val="24"/>
        </w:rPr>
        <w:t xml:space="preserve"> níveis de escolaridade</w:t>
      </w:r>
      <w:r w:rsidR="009168C0">
        <w:rPr>
          <w:rFonts w:ascii="Times New Roman" w:hAnsi="Times New Roman" w:cs="Times New Roman"/>
          <w:sz w:val="24"/>
          <w:szCs w:val="24"/>
        </w:rPr>
        <w:t xml:space="preserve"> variados</w:t>
      </w:r>
      <w:r w:rsidR="00371D1F" w:rsidRPr="00371D1F">
        <w:rPr>
          <w:rFonts w:ascii="Times New Roman" w:hAnsi="Times New Roman" w:cs="Times New Roman"/>
          <w:sz w:val="24"/>
          <w:szCs w:val="24"/>
        </w:rPr>
        <w:t xml:space="preserve">, assegurando diversidade sociocultural. 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Para a coleta de dados, foi utilizado um instrumento adaptado de Teixeira (2023), composto por cinco blocos de informações. Os usuários classificaram cada item utilizando uma escala </w:t>
      </w:r>
      <w:proofErr w:type="spellStart"/>
      <w:r w:rsidR="009168C0" w:rsidRPr="009168C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="009168C0" w:rsidRPr="009168C0">
        <w:rPr>
          <w:rFonts w:ascii="Times New Roman" w:hAnsi="Times New Roman" w:cs="Times New Roman"/>
          <w:sz w:val="24"/>
          <w:szCs w:val="24"/>
        </w:rPr>
        <w:t>, onde: 1 representa "Totalmente adequado"; 2, "Adequado"; 3, "Parcialmente adequado"; e 4, "Inadequado"</w:t>
      </w:r>
      <w:r w:rsidR="00A12770">
        <w:rPr>
          <w:rFonts w:ascii="Times New Roman" w:hAnsi="Times New Roman" w:cs="Times New Roman"/>
          <w:sz w:val="24"/>
          <w:szCs w:val="24"/>
          <w:vertAlign w:val="superscript"/>
        </w:rPr>
        <w:t>(6)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. </w:t>
      </w:r>
      <w:r w:rsidR="009168C0">
        <w:rPr>
          <w:rFonts w:ascii="Times New Roman" w:hAnsi="Times New Roman" w:cs="Times New Roman"/>
          <w:sz w:val="24"/>
          <w:szCs w:val="24"/>
        </w:rPr>
        <w:t xml:space="preserve">Nos casos em que foram </w:t>
      </w:r>
      <w:r w:rsidR="00FA15DC">
        <w:rPr>
          <w:rFonts w:ascii="Times New Roman" w:hAnsi="Times New Roman" w:cs="Times New Roman"/>
          <w:sz w:val="24"/>
          <w:szCs w:val="24"/>
        </w:rPr>
        <w:t>escolhidas</w:t>
      </w:r>
      <w:r w:rsidR="009168C0">
        <w:rPr>
          <w:rFonts w:ascii="Times New Roman" w:hAnsi="Times New Roman" w:cs="Times New Roman"/>
          <w:sz w:val="24"/>
          <w:szCs w:val="24"/>
        </w:rPr>
        <w:t xml:space="preserve"> as opções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 3 ou 4, foi solicitado que justifi</w:t>
      </w:r>
      <w:r w:rsidR="00FA15DC">
        <w:rPr>
          <w:rFonts w:ascii="Times New Roman" w:hAnsi="Times New Roman" w:cs="Times New Roman"/>
          <w:sz w:val="24"/>
          <w:szCs w:val="24"/>
        </w:rPr>
        <w:t>cativa de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 sua escolha e sug</w:t>
      </w:r>
      <w:r w:rsidR="00FA15DC">
        <w:rPr>
          <w:rFonts w:ascii="Times New Roman" w:hAnsi="Times New Roman" w:cs="Times New Roman"/>
          <w:sz w:val="24"/>
          <w:szCs w:val="24"/>
        </w:rPr>
        <w:t xml:space="preserve">estão de 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adaptações ou melhorias no </w:t>
      </w:r>
      <w:proofErr w:type="gramStart"/>
      <w:r w:rsidR="009168C0" w:rsidRPr="009168C0">
        <w:rPr>
          <w:rFonts w:ascii="Times New Roman" w:hAnsi="Times New Roman" w:cs="Times New Roman"/>
          <w:sz w:val="24"/>
          <w:szCs w:val="24"/>
        </w:rPr>
        <w:t>conteúdo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A1277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9168C0">
        <w:rPr>
          <w:rFonts w:ascii="Times New Roman" w:hAnsi="Times New Roman" w:cs="Times New Roman"/>
          <w:sz w:val="24"/>
          <w:szCs w:val="24"/>
        </w:rPr>
        <w:t xml:space="preserve">. 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A análise dos dados foi realizada por meio do Índice de Validade Semântica (IVS), calculado com base na concordância entre os usuários quanto à adequação do material. O índice foi obtido através da seguinte fórmula: número de respostas classificadas como "1" e "2", dividido pelo total de respostas. Para considerar o material semanticamente válido, foi adotado o critério de aceitação mínimo de 80% (0,80) de </w:t>
      </w:r>
      <w:proofErr w:type="gramStart"/>
      <w:r w:rsidR="009168C0" w:rsidRPr="009168C0">
        <w:rPr>
          <w:rFonts w:ascii="Times New Roman" w:hAnsi="Times New Roman" w:cs="Times New Roman"/>
          <w:sz w:val="24"/>
          <w:szCs w:val="24"/>
        </w:rPr>
        <w:t>concordância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A15DC">
        <w:rPr>
          <w:rFonts w:ascii="Times New Roman" w:hAnsi="Times New Roman" w:cs="Times New Roman"/>
          <w:sz w:val="24"/>
          <w:szCs w:val="24"/>
        </w:rPr>
        <w:t>.</w:t>
      </w:r>
      <w:r w:rsidR="009168C0" w:rsidRPr="009168C0">
        <w:rPr>
          <w:rFonts w:ascii="Times New Roman" w:hAnsi="Times New Roman" w:cs="Times New Roman"/>
          <w:sz w:val="24"/>
          <w:szCs w:val="24"/>
        </w:rPr>
        <w:t xml:space="preserve"> </w:t>
      </w:r>
      <w:r w:rsidR="00371D1F" w:rsidRPr="00371D1F">
        <w:rPr>
          <w:rFonts w:ascii="Times New Roman" w:hAnsi="Times New Roman" w:cs="Times New Roman"/>
          <w:sz w:val="24"/>
          <w:szCs w:val="24"/>
        </w:rPr>
        <w:t>O estudo seguiu integralmente as diretrizes éticas das Resoluções 466/12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(5)</w:t>
      </w:r>
      <w:r w:rsidR="00371D1F" w:rsidRPr="00371D1F">
        <w:rPr>
          <w:rFonts w:ascii="Times New Roman" w:hAnsi="Times New Roman" w:cs="Times New Roman"/>
          <w:sz w:val="24"/>
          <w:szCs w:val="24"/>
        </w:rPr>
        <w:t>. R</w:t>
      </w:r>
      <w:r w:rsidR="00FA15DC">
        <w:rPr>
          <w:rFonts w:ascii="Times New Roman" w:hAnsi="Times New Roman" w:cs="Times New Roman"/>
          <w:sz w:val="24"/>
          <w:szCs w:val="24"/>
        </w:rPr>
        <w:t>ESULTADOS</w:t>
      </w:r>
      <w:r w:rsidR="00250991" w:rsidRPr="00250991">
        <w:t xml:space="preserve"> </w:t>
      </w:r>
      <w:r w:rsidR="00250991" w:rsidRPr="00250991">
        <w:rPr>
          <w:rFonts w:ascii="Times New Roman" w:hAnsi="Times New Roman" w:cs="Times New Roman"/>
          <w:sz w:val="24"/>
          <w:szCs w:val="24"/>
        </w:rPr>
        <w:t xml:space="preserve">Os resultados demonstraram elevada aceitação e aprovação do material, com avaliação global de 94,6%, Índice de Validade Semântica (IVS) = 1,0, indicando validação completa, e Alfa de </w:t>
      </w:r>
      <w:proofErr w:type="spellStart"/>
      <w:r w:rsidR="00250991" w:rsidRPr="00250991">
        <w:rPr>
          <w:rFonts w:ascii="Times New Roman" w:hAnsi="Times New Roman" w:cs="Times New Roman"/>
          <w:sz w:val="24"/>
          <w:szCs w:val="24"/>
        </w:rPr>
        <w:t>Cronbach</w:t>
      </w:r>
      <w:proofErr w:type="spellEnd"/>
      <w:r w:rsidR="00250991" w:rsidRPr="00250991">
        <w:rPr>
          <w:rFonts w:ascii="Times New Roman" w:hAnsi="Times New Roman" w:cs="Times New Roman"/>
          <w:sz w:val="24"/>
          <w:szCs w:val="24"/>
        </w:rPr>
        <w:t xml:space="preserve"> = 0,782, evidenciando consistência interna satisfatória. Entre os domínios avaliados, o maior percentual foi observado em Organização, estrutura e coerência (95,6%), seguido de Motivação (94,5%), Características linguísticas e compreensão (94,4%) e Objetivos da tecnologia educacional (93,8%)</w:t>
      </w:r>
      <w:r w:rsidR="00250991">
        <w:rPr>
          <w:rFonts w:ascii="Times New Roman" w:hAnsi="Times New Roman" w:cs="Times New Roman"/>
          <w:sz w:val="24"/>
          <w:szCs w:val="24"/>
        </w:rPr>
        <w:t xml:space="preserve">. </w:t>
      </w:r>
      <w:r w:rsidR="00250991" w:rsidRPr="00250991">
        <w:rPr>
          <w:rFonts w:ascii="Times New Roman" w:hAnsi="Times New Roman" w:cs="Times New Roman"/>
          <w:sz w:val="24"/>
          <w:szCs w:val="24"/>
        </w:rPr>
        <w:t xml:space="preserve">No domínio “Objetivos”, a tecnologia obteve concordância mínima de 90,0%, </w:t>
      </w:r>
      <w:r w:rsidR="00250991" w:rsidRPr="00250991">
        <w:rPr>
          <w:rFonts w:ascii="Times New Roman" w:hAnsi="Times New Roman" w:cs="Times New Roman"/>
          <w:sz w:val="24"/>
          <w:szCs w:val="24"/>
        </w:rPr>
        <w:lastRenderedPageBreak/>
        <w:t>destacando-se o item “atende aos objetivos do público-alvo” com 97,5% de aprovação</w:t>
      </w:r>
      <w:r w:rsidR="00250991">
        <w:rPr>
          <w:rFonts w:ascii="Times New Roman" w:hAnsi="Times New Roman" w:cs="Times New Roman"/>
          <w:sz w:val="24"/>
          <w:szCs w:val="24"/>
        </w:rPr>
        <w:t xml:space="preserve">. </w:t>
      </w:r>
      <w:r w:rsidR="00250991" w:rsidRPr="00250991">
        <w:rPr>
          <w:rFonts w:ascii="Times New Roman" w:hAnsi="Times New Roman" w:cs="Times New Roman"/>
          <w:sz w:val="24"/>
          <w:szCs w:val="24"/>
        </w:rPr>
        <w:t>Em relação à organização e apresentação, os itens com maior concordância foram “introdução atrativa” e “temas importantes” (97,5% cada), enquanto o menor índice foi atribuído à “sequência lógica dos tópicos” (92,5%)</w:t>
      </w:r>
      <w:r w:rsidR="00250991">
        <w:rPr>
          <w:rFonts w:ascii="Times New Roman" w:hAnsi="Times New Roman" w:cs="Times New Roman"/>
          <w:sz w:val="24"/>
          <w:szCs w:val="24"/>
        </w:rPr>
        <w:t xml:space="preserve">. </w:t>
      </w:r>
      <w:r w:rsidR="00250991" w:rsidRPr="00250991">
        <w:rPr>
          <w:rFonts w:ascii="Times New Roman" w:hAnsi="Times New Roman" w:cs="Times New Roman"/>
          <w:sz w:val="24"/>
          <w:szCs w:val="24"/>
        </w:rPr>
        <w:t>No campo linguístico, todos os itens apresentaram alta aprovação, com destaque para a associação entre tema e texto (97,5%), enquanto o vocabulário acessível, embora tenha sido o menor indicador, manteve-se elevado (90,0%)</w:t>
      </w:r>
      <w:r w:rsidR="00250991">
        <w:rPr>
          <w:rFonts w:ascii="Times New Roman" w:hAnsi="Times New Roman" w:cs="Times New Roman"/>
          <w:sz w:val="24"/>
          <w:szCs w:val="24"/>
        </w:rPr>
        <w:t xml:space="preserve"> </w:t>
      </w:r>
      <w:r w:rsidR="00FA15DC" w:rsidRPr="00FA15DC">
        <w:rPr>
          <w:rFonts w:ascii="Times New Roman" w:hAnsi="Times New Roman" w:cs="Times New Roman"/>
          <w:sz w:val="24"/>
          <w:szCs w:val="24"/>
        </w:rPr>
        <w:t>O processo de coleta de dados possibilitou integrar não apenas respostas quantitativas, mas também a vivência de sujeitos que, enquanto aguardavam para serem vacinados, se dispuseram a participar ativamente da pesquisa. Esse aspecto conferiu legitimidade ao estudo, na medida em que a avaliação partiu de usuários diretamente vinculados ao contexto em que o guia deverá ser aplicado. Dessa forma, os resultados expressam tanto a consistência interna do material quanto sua recepção por diferentes perfis socioculturai</w:t>
      </w:r>
      <w:r w:rsidR="00FA15DC">
        <w:rPr>
          <w:rFonts w:ascii="Times New Roman" w:hAnsi="Times New Roman" w:cs="Times New Roman"/>
          <w:sz w:val="24"/>
          <w:szCs w:val="24"/>
        </w:rPr>
        <w:t xml:space="preserve">s. </w:t>
      </w:r>
      <w:r w:rsidR="00FA15DC" w:rsidRPr="00FA15DC">
        <w:rPr>
          <w:rFonts w:ascii="Times New Roman" w:hAnsi="Times New Roman" w:cs="Times New Roman"/>
          <w:sz w:val="24"/>
          <w:szCs w:val="24"/>
        </w:rPr>
        <w:t xml:space="preserve">Sob a ótica socioconstrutivista, a elevada taxa de concordância traduz o êxito da tecnologia em atuar como mediadora entre o conhecimento científico e o saber cotidiano dos indivíduos. </w:t>
      </w:r>
      <w:r w:rsidR="00250991">
        <w:rPr>
          <w:rFonts w:ascii="Times New Roman" w:hAnsi="Times New Roman" w:cs="Times New Roman"/>
          <w:sz w:val="24"/>
          <w:szCs w:val="24"/>
        </w:rPr>
        <w:t>Os resultados</w:t>
      </w:r>
      <w:r w:rsidR="003D30A0">
        <w:rPr>
          <w:rFonts w:ascii="Times New Roman" w:hAnsi="Times New Roman" w:cs="Times New Roman"/>
          <w:sz w:val="24"/>
          <w:szCs w:val="24"/>
        </w:rPr>
        <w:t xml:space="preserve"> </w:t>
      </w:r>
      <w:r w:rsidR="00250991">
        <w:rPr>
          <w:rFonts w:ascii="Times New Roman" w:hAnsi="Times New Roman" w:cs="Times New Roman"/>
          <w:sz w:val="24"/>
          <w:szCs w:val="24"/>
        </w:rPr>
        <w:t>e</w:t>
      </w:r>
      <w:r w:rsidR="003D30A0">
        <w:rPr>
          <w:rFonts w:ascii="Times New Roman" w:hAnsi="Times New Roman" w:cs="Times New Roman"/>
          <w:sz w:val="24"/>
          <w:szCs w:val="24"/>
        </w:rPr>
        <w:t>,</w:t>
      </w:r>
      <w:r w:rsidR="00250991">
        <w:rPr>
          <w:rFonts w:ascii="Times New Roman" w:hAnsi="Times New Roman" w:cs="Times New Roman"/>
          <w:sz w:val="24"/>
          <w:szCs w:val="24"/>
        </w:rPr>
        <w:t xml:space="preserve"> portanto, a construção da tecnologia, entrelaçam-se cm a teoria de </w:t>
      </w:r>
      <w:proofErr w:type="gramStart"/>
      <w:r w:rsidR="00FA15DC" w:rsidRPr="00FA15DC">
        <w:rPr>
          <w:rFonts w:ascii="Times New Roman" w:hAnsi="Times New Roman" w:cs="Times New Roman"/>
          <w:sz w:val="24"/>
          <w:szCs w:val="24"/>
        </w:rPr>
        <w:t>Vygotsky</w:t>
      </w:r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0C6DDC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="00FA15DC" w:rsidRPr="00FA15DC">
        <w:rPr>
          <w:rFonts w:ascii="Times New Roman" w:hAnsi="Times New Roman" w:cs="Times New Roman"/>
          <w:sz w:val="24"/>
          <w:szCs w:val="24"/>
        </w:rPr>
        <w:t>,</w:t>
      </w:r>
      <w:r w:rsidR="00250991">
        <w:rPr>
          <w:rFonts w:ascii="Times New Roman" w:hAnsi="Times New Roman" w:cs="Times New Roman"/>
          <w:sz w:val="24"/>
          <w:szCs w:val="24"/>
        </w:rPr>
        <w:t xml:space="preserve"> tendo em vista que</w:t>
      </w:r>
      <w:r w:rsidR="00FA15DC" w:rsidRPr="00FA15DC">
        <w:rPr>
          <w:rFonts w:ascii="Times New Roman" w:hAnsi="Times New Roman" w:cs="Times New Roman"/>
          <w:sz w:val="24"/>
          <w:szCs w:val="24"/>
        </w:rPr>
        <w:t xml:space="preserve"> o aprendizado se dá por meio da interação social e da mediação de instrumentos culturais</w:t>
      </w:r>
      <w:r w:rsidR="00250991">
        <w:rPr>
          <w:rFonts w:ascii="Times New Roman" w:hAnsi="Times New Roman" w:cs="Times New Roman"/>
          <w:sz w:val="24"/>
          <w:szCs w:val="24"/>
        </w:rPr>
        <w:t xml:space="preserve"> que são inerentes à prática de saúde</w:t>
      </w:r>
      <w:r w:rsidR="00FA15DC" w:rsidRPr="00FA15DC">
        <w:rPr>
          <w:rFonts w:ascii="Times New Roman" w:hAnsi="Times New Roman" w:cs="Times New Roman"/>
          <w:sz w:val="24"/>
          <w:szCs w:val="24"/>
        </w:rPr>
        <w:t>.</w:t>
      </w:r>
      <w:r w:rsidR="00371D1F" w:rsidRPr="00371D1F">
        <w:rPr>
          <w:rFonts w:ascii="Times New Roman" w:hAnsi="Times New Roman" w:cs="Times New Roman"/>
          <w:sz w:val="24"/>
          <w:szCs w:val="24"/>
        </w:rPr>
        <w:t> </w:t>
      </w:r>
      <w:r w:rsidR="00371D1F" w:rsidRPr="002509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A15DC" w:rsidRPr="0025099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50991">
        <w:rPr>
          <w:rFonts w:ascii="Times New Roman" w:hAnsi="Times New Roman" w:cs="Times New Roman"/>
          <w:b/>
          <w:bCs/>
          <w:sz w:val="24"/>
          <w:szCs w:val="24"/>
        </w:rPr>
        <w:t xml:space="preserve">NSIDERAÇÕES FINAIS: </w:t>
      </w:r>
      <w:r w:rsidR="00250991" w:rsidRPr="00FA15DC">
        <w:rPr>
          <w:rFonts w:ascii="Times New Roman" w:hAnsi="Times New Roman" w:cs="Times New Roman"/>
          <w:sz w:val="24"/>
          <w:szCs w:val="24"/>
        </w:rPr>
        <w:t>O guia, portanto, cumpre o papel de favorecer o avanço dos usuários em sua zona de desenvolvimento proximal, ao oferecer informações acessíveis que ampliam su</w:t>
      </w:r>
      <w:r w:rsidR="00250991" w:rsidRPr="003D30A0">
        <w:rPr>
          <w:rFonts w:ascii="Times New Roman" w:hAnsi="Times New Roman" w:cs="Times New Roman"/>
          <w:sz w:val="24"/>
          <w:szCs w:val="24"/>
        </w:rPr>
        <w:t xml:space="preserve">a compreensão sobre a importância da vacinação. </w:t>
      </w:r>
      <w:r w:rsidR="003D30A0" w:rsidRPr="003D30A0">
        <w:rPr>
          <w:rFonts w:ascii="Times New Roman" w:hAnsi="Times New Roman" w:cs="Times New Roman"/>
          <w:sz w:val="24"/>
          <w:szCs w:val="24"/>
        </w:rPr>
        <w:t>Além de se caracterizar como uma ferramenta relevante para fortalecer o letramento em saúde, apoiar ações educativas em imunização e contribuir para a redução da hesitação vacinal, podendo ser incorporado como recurso complementar em serviços de atenção primária e salas de vacinação no contexto do SUS.</w:t>
      </w:r>
      <w:r w:rsidR="00250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15DC" w:rsidRPr="00250991">
        <w:rPr>
          <w:rFonts w:ascii="Times New Roman" w:hAnsi="Times New Roman" w:cs="Times New Roman"/>
          <w:b/>
          <w:bCs/>
          <w:sz w:val="24"/>
          <w:szCs w:val="24"/>
        </w:rPr>
        <w:t>CONTRIBUIÇÕES PARA A ENFERMAGEM</w:t>
      </w:r>
      <w:r w:rsidR="00FA15DC">
        <w:rPr>
          <w:rFonts w:ascii="Times New Roman" w:hAnsi="Times New Roman" w:cs="Times New Roman"/>
          <w:sz w:val="24"/>
          <w:szCs w:val="24"/>
        </w:rPr>
        <w:t xml:space="preserve">: </w:t>
      </w:r>
      <w:r w:rsidR="00371D1F" w:rsidRPr="00371D1F">
        <w:rPr>
          <w:rFonts w:ascii="Times New Roman" w:hAnsi="Times New Roman" w:cs="Times New Roman"/>
          <w:sz w:val="24"/>
          <w:szCs w:val="24"/>
        </w:rPr>
        <w:t>Os resultados comprovam que guia é uma tecnologia educacional clara, socialmente pertinente e potencialmente eficaz para apoiar ações de educação em saúde, reduzir a hesitação vacinal e fortalecer o protagonismo dos usuários do SUS, especialmente no contexto amazônico, contribuindo para ampliar a equidade comunicacional e melhorar a adesão ao calendário vacinal.</w:t>
      </w:r>
    </w:p>
    <w:p w14:paraId="6CF85D78" w14:textId="77777777" w:rsidR="003D30A0" w:rsidRPr="003D30A0" w:rsidRDefault="003D30A0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1D90BE" w14:textId="553411C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Programas de Imunização; Educação em Saúde; Tecnologia Educacional.</w:t>
      </w:r>
    </w:p>
    <w:p w14:paraId="6846C93A" w14:textId="3541EA18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3D30A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77777777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3DFBE95E" w14:textId="20384CC7" w:rsidR="00483094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3D30A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4731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Imunizações/Vacinas e imunobiológicos</w:t>
      </w:r>
    </w:p>
    <w:p w14:paraId="6D5753FD" w14:textId="77777777" w:rsidR="003D30A0" w:rsidRPr="0009257C" w:rsidRDefault="003D30A0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5CC422F2" w14:textId="77777777" w:rsidR="00A12770" w:rsidRPr="00A12770" w:rsidRDefault="00483094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Polit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DF, Beck CT.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Nursing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generating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assessing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evidence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nursing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practice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9ª ed. Philadelphia: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Wolters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Kluwer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Health/</w:t>
      </w:r>
      <w:proofErr w:type="spellStart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Lippincott</w:t>
      </w:r>
      <w:proofErr w:type="spellEnd"/>
      <w:r w:rsidR="00A12770"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Williams &amp; Wilkins; 2012.</w:t>
      </w:r>
    </w:p>
    <w:p w14:paraId="6B7D8DDB" w14:textId="482E9D5C" w:rsidR="00A12770" w:rsidRPr="00A12770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Viana IS, Silva MSM, Silva ALA, et al. Hesitação vacinal de pais e familiares: revisão integrativa. </w:t>
      </w:r>
      <w:proofErr w:type="spellStart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Cienc</w:t>
      </w:r>
      <w:proofErr w:type="spellEnd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(Brasília).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</w:p>
    <w:p w14:paraId="7748517B" w14:textId="225E4DAB" w:rsidR="00483094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Prado AS, Vilela GLB, Vilela HO, Santos RC, Maciel EAF. Principais causas de hesitação vacinal em pais: revisão integrativa. Saúde Coletiva (Barueri). 2025;15(94):15127-15140.</w:t>
      </w:r>
    </w:p>
    <w:p w14:paraId="0235A60F" w14:textId="388A0121" w:rsidR="00A12770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Vygotsky LS. </w:t>
      </w:r>
      <w:r w:rsidRPr="00A127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 formação social da mente: o desenvolvimento dos processos psicológicos superiores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. 7ª ed. São Paulo: Martins Fontes; 2007.</w:t>
      </w:r>
    </w:p>
    <w:p w14:paraId="7DDAAA5E" w14:textId="1C868B8D" w:rsidR="00A12770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Brasil. Ministério da Saúde. Conselho Nacional de Saúde. Resolução nº 466, de 12 de dezembro de 2012. Aprova diretrizes e normas regulamentadoras de pesquisas envolvendo seres humanos. Brasília: Ministério da Saúde; 2012.</w:t>
      </w:r>
    </w:p>
    <w:p w14:paraId="0C199288" w14:textId="5F973CB7" w:rsidR="00A12770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Teixeira E, Domingues RJS, Rocha SL, Lima LHA. </w:t>
      </w:r>
      <w:r w:rsidRPr="00A127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Validação de produtos educacionais em ensino em saúde.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Belém: </w:t>
      </w:r>
      <w:proofErr w:type="spellStart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Neurus</w:t>
      </w:r>
      <w:proofErr w:type="spellEnd"/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; 2024. ISBN 978-65-5446-131-3</w:t>
      </w:r>
    </w:p>
    <w:p w14:paraId="029315EE" w14:textId="79F6CCBE" w:rsidR="00A12770" w:rsidRPr="0009257C" w:rsidRDefault="00A12770" w:rsidP="00A1277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Barata RB, Simões CC, Pereira APV, et al. Hesitação vacinal e consequências para a cobertura de vacinas no Brasil: uma perspectiva epidemiológica. </w:t>
      </w:r>
      <w:proofErr w:type="spellStart"/>
      <w:r w:rsidRPr="00A127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</w:t>
      </w:r>
      <w:proofErr w:type="spellEnd"/>
      <w:r w:rsidRPr="00A127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Saúde Pública (Online)</w:t>
      </w:r>
      <w:r w:rsidRPr="00A12770">
        <w:rPr>
          <w:rFonts w:ascii="Times New Roman" w:hAnsi="Times New Roman" w:cs="Times New Roman"/>
          <w:color w:val="000000" w:themeColor="text1"/>
          <w:sz w:val="24"/>
          <w:szCs w:val="24"/>
        </w:rPr>
        <w:t>. 2024;33(ns-spe2):e20231298</w:t>
      </w:r>
    </w:p>
    <w:p w14:paraId="3AE71112" w14:textId="4BFB7D0E" w:rsidR="00483094" w:rsidRPr="0009257C" w:rsidRDefault="00483094" w:rsidP="003D30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3094" w:rsidRPr="0009257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5525" w14:textId="77777777" w:rsidR="001B2747" w:rsidRDefault="001B2747" w:rsidP="0068569C">
      <w:pPr>
        <w:spacing w:before="0" w:after="0" w:line="240" w:lineRule="auto"/>
      </w:pPr>
      <w:r>
        <w:separator/>
      </w:r>
    </w:p>
  </w:endnote>
  <w:endnote w:type="continuationSeparator" w:id="0">
    <w:p w14:paraId="73D7F929" w14:textId="77777777" w:rsidR="001B2747" w:rsidRDefault="001B2747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1427" w14:textId="77777777" w:rsidR="001B2747" w:rsidRDefault="001B2747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1B1AC29" w14:textId="77777777" w:rsidR="001B2747" w:rsidRDefault="001B2747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947FC"/>
    <w:rsid w:val="000C6DDC"/>
    <w:rsid w:val="001B2747"/>
    <w:rsid w:val="00212EC8"/>
    <w:rsid w:val="002177C6"/>
    <w:rsid w:val="00250991"/>
    <w:rsid w:val="002579F7"/>
    <w:rsid w:val="00371D1F"/>
    <w:rsid w:val="003D30A0"/>
    <w:rsid w:val="004431AA"/>
    <w:rsid w:val="00483094"/>
    <w:rsid w:val="006602A8"/>
    <w:rsid w:val="0068569C"/>
    <w:rsid w:val="007436FB"/>
    <w:rsid w:val="007958B3"/>
    <w:rsid w:val="009168C0"/>
    <w:rsid w:val="00A12770"/>
    <w:rsid w:val="00B10BE2"/>
    <w:rsid w:val="00E47318"/>
    <w:rsid w:val="00FA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Felipe Soares</cp:lastModifiedBy>
  <cp:revision>2</cp:revision>
  <dcterms:created xsi:type="dcterms:W3CDTF">2026-05-05T02:38:00Z</dcterms:created>
  <dcterms:modified xsi:type="dcterms:W3CDTF">2026-05-05T02:38:00Z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2026-05-05T02:35:46Z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0e70426f-7f4e-47e9-9dcf-4f33a4751f2a</vt:lpwstr>
  </property>
  <property fmtid="{D5CDD505-2E9C-101B-9397-08002B2CF9AE}" pid="7" name="MSIP_Label_defa4170-0d19-0005-0004-bc88714345d2_ActionId">
    <vt:lpwstr>0caa844b-e8cb-4582-8d29-7408e07d7fe8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