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-1066164</wp:posOffset>
            </wp:positionH>
            <wp:positionV relativeFrom="paragraph">
              <wp:posOffset>-753707</wp:posOffset>
            </wp:positionV>
            <wp:extent cx="7530353" cy="1035685"/>
            <wp:effectExtent b="0" l="0" r="0" t="0"/>
            <wp:wrapNone/>
            <wp:docPr id="1479148635" name="image1.jpg"/>
            <a:graphic>
              <a:graphicData uri="http://schemas.openxmlformats.org/drawingml/2006/picture">
                <pic:pic>
                  <pic:nvPicPr>
                    <pic:cNvPr id="0" name="image1.jpg"/>
                    <pic:cNvPicPr preferRelativeResize="0"/>
                  </pic:nvPicPr>
                  <pic:blipFill>
                    <a:blip r:embed="rId7"/>
                    <a:srcRect b="28376" l="0" r="0" t="28901"/>
                    <a:stretch>
                      <a:fillRect/>
                    </a:stretch>
                  </pic:blipFill>
                  <pic:spPr>
                    <a:xfrm>
                      <a:off x="0" y="0"/>
                      <a:ext cx="7530353" cy="1035685"/>
                    </a:xfrm>
                    <a:prstGeom prst="rect"/>
                    <a:ln/>
                  </pic:spPr>
                </pic:pic>
              </a:graphicData>
            </a:graphic>
          </wp:anchor>
        </w:drawing>
      </w:r>
    </w:p>
    <w:p w:rsidR="00000000" w:rsidDel="00000000" w:rsidP="00000000" w:rsidRDefault="00000000" w:rsidRPr="00000000" w14:paraId="00000002">
      <w:pPr>
        <w:jc w:val="both"/>
        <w:rPr>
          <w:color w:val="ff0000"/>
        </w:rPr>
      </w:pPr>
      <w:r w:rsidDel="00000000" w:rsidR="00000000" w:rsidRPr="00000000">
        <w:rPr>
          <w:rtl w:val="0"/>
        </w:rPr>
      </w:r>
    </w:p>
    <w:p w:rsidR="00000000" w:rsidDel="00000000" w:rsidP="00000000" w:rsidRDefault="00000000" w:rsidRPr="00000000" w14:paraId="00000003">
      <w:pPr>
        <w:ind w:right="-427"/>
        <w:jc w:val="center"/>
        <w:rPr>
          <w:rFonts w:ascii="Arial" w:cs="Arial" w:eastAsia="Arial" w:hAnsi="Arial"/>
          <w:b w:val="1"/>
          <w:sz w:val="28"/>
          <w:szCs w:val="28"/>
        </w:rPr>
      </w:pPr>
      <w:r w:rsidDel="00000000" w:rsidR="00000000" w:rsidRPr="00000000">
        <w:rPr>
          <w:rFonts w:ascii="Arial" w:cs="Arial" w:eastAsia="Arial" w:hAnsi="Arial"/>
          <w:b w:val="1"/>
          <w:i w:val="1"/>
          <w:sz w:val="28"/>
          <w:szCs w:val="28"/>
          <w:rtl w:val="0"/>
        </w:rPr>
        <w:t xml:space="preserve">IN SILICO</w:t>
      </w:r>
      <w:r w:rsidDel="00000000" w:rsidR="00000000" w:rsidRPr="00000000">
        <w:rPr>
          <w:rFonts w:ascii="Arial" w:cs="Arial" w:eastAsia="Arial" w:hAnsi="Arial"/>
          <w:b w:val="1"/>
          <w:sz w:val="28"/>
          <w:szCs w:val="28"/>
          <w:rtl w:val="0"/>
        </w:rPr>
        <w:t xml:space="preserve"> STUDY OF NEW THIAZOLE DERIVATIVES FOR GLIOBLASTOMA TREATMENT</w:t>
      </w:r>
    </w:p>
    <w:p w:rsidR="00000000" w:rsidDel="00000000" w:rsidP="00000000" w:rsidRDefault="00000000" w:rsidRPr="00000000" w14:paraId="00000004">
      <w:pPr>
        <w:spacing w:after="120" w:lineRule="auto"/>
        <w:ind w:right="-427"/>
        <w:jc w:val="both"/>
        <w:rPr>
          <w:rFonts w:ascii="Arial" w:cs="Arial" w:eastAsia="Arial" w:hAnsi="Arial"/>
          <w:b w:val="1"/>
          <w:color w:val="000000"/>
          <w:sz w:val="20"/>
          <w:szCs w:val="20"/>
        </w:rPr>
      </w:pPr>
      <w:r w:rsidDel="00000000" w:rsidR="00000000" w:rsidRPr="00000000">
        <w:rPr>
          <w:rFonts w:ascii="Arial" w:cs="Arial" w:eastAsia="Arial" w:hAnsi="Arial"/>
          <w:b w:val="1"/>
          <w:sz w:val="20"/>
          <w:szCs w:val="20"/>
          <w:u w:val="single"/>
          <w:rtl w:val="0"/>
        </w:rPr>
        <w:t xml:space="preserve">Matheus V. G. Melo*</w:t>
      </w:r>
      <w:r w:rsidDel="00000000" w:rsidR="00000000" w:rsidRPr="00000000">
        <w:rPr>
          <w:rFonts w:ascii="Arial" w:cs="Arial" w:eastAsia="Arial" w:hAnsi="Arial"/>
          <w:b w:val="1"/>
          <w:color w:val="000000"/>
          <w:sz w:val="20"/>
          <w:szCs w:val="20"/>
          <w:rtl w:val="0"/>
        </w:rPr>
        <w:t xml:space="preserve"> (PG),</w:t>
      </w:r>
      <w:r w:rsidDel="00000000" w:rsidR="00000000" w:rsidRPr="00000000">
        <w:rPr>
          <w:rFonts w:ascii="Arial" w:cs="Arial" w:eastAsia="Arial" w:hAnsi="Arial"/>
          <w:b w:val="1"/>
          <w:color w:val="000000"/>
          <w:sz w:val="20"/>
          <w:szCs w:val="20"/>
          <w:vertAlign w:val="superscript"/>
          <w:rtl w:val="0"/>
        </w:rPr>
        <w:t xml:space="preserve">1</w:t>
      </w:r>
      <w:r w:rsidDel="00000000" w:rsidR="00000000" w:rsidRPr="00000000">
        <w:rPr>
          <w:rFonts w:ascii="Arial" w:cs="Arial" w:eastAsia="Arial" w:hAnsi="Arial"/>
          <w:b w:val="1"/>
          <w:sz w:val="20"/>
          <w:szCs w:val="20"/>
          <w:vertAlign w:val="superscript"/>
          <w:rtl w:val="0"/>
        </w:rPr>
        <w:t xml:space="preserve">  </w:t>
      </w:r>
      <w:r w:rsidDel="00000000" w:rsidR="00000000" w:rsidRPr="00000000">
        <w:rPr>
          <w:rFonts w:ascii="Arial" w:cs="Arial" w:eastAsia="Arial" w:hAnsi="Arial"/>
          <w:b w:val="1"/>
          <w:sz w:val="20"/>
          <w:szCs w:val="20"/>
          <w:rtl w:val="0"/>
        </w:rPr>
        <w:t xml:space="preserve">Paulo André Teixeira de Moraes Gomes (Res)</w:t>
      </w:r>
      <w:r w:rsidDel="00000000" w:rsidR="00000000" w:rsidRPr="00000000">
        <w:rPr>
          <w:rFonts w:ascii="Arial" w:cs="Arial" w:eastAsia="Arial" w:hAnsi="Arial"/>
          <w:b w:val="1"/>
          <w:sz w:val="20"/>
          <w:szCs w:val="20"/>
          <w:vertAlign w:val="superscript"/>
          <w:rtl w:val="0"/>
        </w:rPr>
        <w:t xml:space="preserve">2</w:t>
      </w:r>
      <w:r w:rsidDel="00000000" w:rsidR="00000000" w:rsidRPr="00000000">
        <w:rPr>
          <w:rFonts w:ascii="Arial" w:cs="Arial" w:eastAsia="Arial" w:hAnsi="Arial"/>
          <w:b w:val="1"/>
          <w:color w:val="000000"/>
          <w:sz w:val="20"/>
          <w:szCs w:val="20"/>
          <w:rtl w:val="0"/>
        </w:rPr>
        <w:t xml:space="preserve">, Jo</w:t>
      </w:r>
      <w:r w:rsidDel="00000000" w:rsidR="00000000" w:rsidRPr="00000000">
        <w:rPr>
          <w:rFonts w:ascii="Arial" w:cs="Arial" w:eastAsia="Arial" w:hAnsi="Arial"/>
          <w:b w:val="1"/>
          <w:sz w:val="20"/>
          <w:szCs w:val="20"/>
          <w:rtl w:val="0"/>
        </w:rPr>
        <w:t xml:space="preserve">sé </w:t>
      </w:r>
      <w:r w:rsidDel="00000000" w:rsidR="00000000" w:rsidRPr="00000000">
        <w:rPr>
          <w:rFonts w:ascii="Arial" w:cs="Arial" w:eastAsia="Arial" w:hAnsi="Arial"/>
          <w:b w:val="1"/>
          <w:color w:val="000000"/>
          <w:sz w:val="20"/>
          <w:szCs w:val="20"/>
          <w:rtl w:val="0"/>
        </w:rPr>
        <w:t xml:space="preserve">Arion da Silva Moura (PG)</w:t>
      </w:r>
      <w:r w:rsidDel="00000000" w:rsidR="00000000" w:rsidRPr="00000000">
        <w:rPr>
          <w:rFonts w:ascii="Arial" w:cs="Arial" w:eastAsia="Arial" w:hAnsi="Arial"/>
          <w:b w:val="1"/>
          <w:color w:val="000000"/>
          <w:sz w:val="20"/>
          <w:szCs w:val="20"/>
          <w:vertAlign w:val="superscript"/>
          <w:rtl w:val="0"/>
        </w:rPr>
        <w:t xml:space="preserve">3</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color w:val="000000"/>
          <w:sz w:val="20"/>
          <w:szCs w:val="20"/>
          <w:vertAlign w:val="superscript"/>
          <w:rtl w:val="0"/>
        </w:rPr>
        <w:t xml:space="preserve"> </w:t>
      </w:r>
      <w:r w:rsidDel="00000000" w:rsidR="00000000" w:rsidRPr="00000000">
        <w:rPr>
          <w:rFonts w:ascii="Arial" w:cs="Arial" w:eastAsia="Arial" w:hAnsi="Arial"/>
          <w:b w:val="1"/>
          <w:sz w:val="20"/>
          <w:szCs w:val="20"/>
          <w:rtl w:val="0"/>
        </w:rPr>
        <w:t xml:space="preserve">Michelle Melgarejo da Rosa (Prof),</w:t>
      </w:r>
      <w:r w:rsidDel="00000000" w:rsidR="00000000" w:rsidRPr="00000000">
        <w:rPr>
          <w:rFonts w:ascii="Arial" w:cs="Arial" w:eastAsia="Arial" w:hAnsi="Arial"/>
          <w:b w:val="1"/>
          <w:sz w:val="20"/>
          <w:szCs w:val="20"/>
          <w:vertAlign w:val="superscript"/>
          <w:rtl w:val="0"/>
        </w:rPr>
        <w:t xml:space="preserve">4</w:t>
      </w:r>
      <w:r w:rsidDel="00000000" w:rsidR="00000000" w:rsidRPr="00000000">
        <w:rPr>
          <w:rtl w:val="0"/>
        </w:rPr>
      </w:r>
    </w:p>
    <w:p w:rsidR="00000000" w:rsidDel="00000000" w:rsidP="00000000" w:rsidRDefault="00000000" w:rsidRPr="00000000" w14:paraId="00000005">
      <w:pPr>
        <w:spacing w:after="120" w:lineRule="auto"/>
        <w:ind w:right="-427"/>
        <w:jc w:val="both"/>
        <w:rPr>
          <w:rFonts w:ascii="Arial" w:cs="Arial" w:eastAsia="Arial" w:hAnsi="Arial"/>
          <w:b w:val="1"/>
          <w:sz w:val="20"/>
          <w:szCs w:val="20"/>
        </w:rPr>
      </w:pPr>
      <w:hyperlink r:id="rId8">
        <w:r w:rsidDel="00000000" w:rsidR="00000000" w:rsidRPr="00000000">
          <w:rPr>
            <w:rFonts w:ascii="Arial" w:cs="Arial" w:eastAsia="Arial" w:hAnsi="Arial"/>
            <w:b w:val="1"/>
            <w:color w:val="1155cc"/>
            <w:sz w:val="20"/>
            <w:szCs w:val="20"/>
            <w:u w:val="single"/>
            <w:rtl w:val="0"/>
          </w:rPr>
          <w:t xml:space="preserve">matheus.vgmelo@ufpe.br</w:t>
        </w:r>
      </w:hyperlink>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6">
      <w:pPr>
        <w:spacing w:after="120" w:lineRule="auto"/>
        <w:ind w:right="-427"/>
        <w:jc w:val="both"/>
        <w:rPr>
          <w:rFonts w:ascii="Arial" w:cs="Arial" w:eastAsia="Arial" w:hAnsi="Arial"/>
          <w:b w:val="1"/>
          <w:sz w:val="20"/>
          <w:szCs w:val="20"/>
          <w:vertAlign w:val="superscript"/>
        </w:rPr>
      </w:pPr>
      <w:r w:rsidDel="00000000" w:rsidR="00000000" w:rsidRPr="00000000">
        <w:rPr>
          <w:rFonts w:ascii="Arial" w:cs="Arial" w:eastAsia="Arial" w:hAnsi="Arial"/>
          <w:i w:val="1"/>
          <w:sz w:val="18"/>
          <w:szCs w:val="18"/>
          <w:vertAlign w:val="superscript"/>
          <w:rtl w:val="0"/>
        </w:rPr>
        <w:t xml:space="preserve">1</w:t>
      </w:r>
      <w:r w:rsidDel="00000000" w:rsidR="00000000" w:rsidRPr="00000000">
        <w:rPr>
          <w:rFonts w:ascii="Arial" w:cs="Arial" w:eastAsia="Arial" w:hAnsi="Arial"/>
          <w:i w:val="1"/>
          <w:sz w:val="18"/>
          <w:szCs w:val="18"/>
          <w:rtl w:val="0"/>
        </w:rPr>
        <w:t xml:space="preserve"> Mestrando pelo Programa de Pós-Graduação em Inovação Terapêutica, UFPE; </w:t>
      </w:r>
      <w:r w:rsidDel="00000000" w:rsidR="00000000" w:rsidRPr="00000000">
        <w:rPr>
          <w:rFonts w:ascii="Arial" w:cs="Arial" w:eastAsia="Arial" w:hAnsi="Arial"/>
          <w:i w:val="1"/>
          <w:sz w:val="18"/>
          <w:szCs w:val="18"/>
          <w:vertAlign w:val="superscript"/>
          <w:rtl w:val="0"/>
        </w:rPr>
        <w:t xml:space="preserve">2</w:t>
      </w:r>
      <w:r w:rsidDel="00000000" w:rsidR="00000000" w:rsidRPr="00000000">
        <w:rPr>
          <w:rFonts w:ascii="Arial" w:cs="Arial" w:eastAsia="Arial" w:hAnsi="Arial"/>
          <w:i w:val="1"/>
          <w:sz w:val="18"/>
          <w:szCs w:val="18"/>
          <w:rtl w:val="0"/>
        </w:rPr>
        <w:t xml:space="preserve"> Doutor em Ciências Farmacêuticas, UFPE; </w:t>
      </w:r>
      <w:r w:rsidDel="00000000" w:rsidR="00000000" w:rsidRPr="00000000">
        <w:rPr>
          <w:rFonts w:ascii="Arial" w:cs="Arial" w:eastAsia="Arial" w:hAnsi="Arial"/>
          <w:i w:val="1"/>
          <w:sz w:val="18"/>
          <w:szCs w:val="18"/>
          <w:vertAlign w:val="superscript"/>
          <w:rtl w:val="0"/>
        </w:rPr>
        <w:t xml:space="preserve">3 </w:t>
      </w:r>
      <w:r w:rsidDel="00000000" w:rsidR="00000000" w:rsidRPr="00000000">
        <w:rPr>
          <w:rFonts w:ascii="Arial" w:cs="Arial" w:eastAsia="Arial" w:hAnsi="Arial"/>
          <w:i w:val="1"/>
          <w:sz w:val="18"/>
          <w:szCs w:val="18"/>
          <w:rtl w:val="0"/>
        </w:rPr>
        <w:t xml:space="preserve">Doutorando pelo Programa de Pós-Graduação em Inovação Terapêutica, UFPE; </w:t>
      </w:r>
      <w:r w:rsidDel="00000000" w:rsidR="00000000" w:rsidRPr="00000000">
        <w:rPr>
          <w:rFonts w:ascii="Arial" w:cs="Arial" w:eastAsia="Arial" w:hAnsi="Arial"/>
          <w:i w:val="1"/>
          <w:sz w:val="18"/>
          <w:szCs w:val="18"/>
          <w:vertAlign w:val="superscript"/>
          <w:rtl w:val="0"/>
        </w:rPr>
        <w:t xml:space="preserve">4 </w:t>
      </w:r>
      <w:r w:rsidDel="00000000" w:rsidR="00000000" w:rsidRPr="00000000">
        <w:rPr>
          <w:rFonts w:ascii="Arial" w:cs="Arial" w:eastAsia="Arial" w:hAnsi="Arial"/>
          <w:i w:val="1"/>
          <w:sz w:val="18"/>
          <w:szCs w:val="18"/>
          <w:rtl w:val="0"/>
        </w:rPr>
        <w:t xml:space="preserve">Professora do departamento de bioquímica da UFPE.</w:t>
      </w:r>
      <w:r w:rsidDel="00000000" w:rsidR="00000000" w:rsidRPr="00000000">
        <w:rPr>
          <w:rtl w:val="0"/>
        </w:rPr>
      </w:r>
    </w:p>
    <w:p w:rsidR="00000000" w:rsidDel="00000000" w:rsidP="00000000" w:rsidRDefault="00000000" w:rsidRPr="00000000" w14:paraId="00000007">
      <w:pPr>
        <w:ind w:right="-427"/>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Keywords:cancer, cells, PPAR</w:t>
      </w:r>
      <w:r w:rsidDel="00000000" w:rsidR="00000000" w:rsidRPr="00000000">
        <w:rPr>
          <w:rFonts w:ascii="Arial" w:cs="Arial" w:eastAsia="Arial" w:hAnsi="Arial"/>
          <w:sz w:val="20"/>
          <w:szCs w:val="20"/>
          <w:rtl w:val="0"/>
        </w:rPr>
        <w:t xml:space="preserve">γ</w:t>
      </w:r>
      <w:r w:rsidDel="00000000" w:rsidR="00000000" w:rsidRPr="00000000">
        <w:rPr>
          <w:rFonts w:ascii="Arial" w:cs="Arial" w:eastAsia="Arial" w:hAnsi="Arial"/>
          <w:i w:val="1"/>
          <w:sz w:val="18"/>
          <w:szCs w:val="18"/>
          <w:rtl w:val="0"/>
        </w:rPr>
        <w:t xml:space="preserve">, druglikeness.</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190500</wp:posOffset>
                </wp:positionV>
                <wp:extent cx="5659120" cy="271780"/>
                <wp:effectExtent b="0" l="0" r="0" t="0"/>
                <wp:wrapNone/>
                <wp:docPr id="1479148634" name=""/>
                <a:graphic>
                  <a:graphicData uri="http://schemas.microsoft.com/office/word/2010/wordprocessingShape">
                    <wps:wsp>
                      <wps:cNvSpPr/>
                      <wps:cNvPr id="2" name="Shape 2"/>
                      <wps:spPr>
                        <a:xfrm>
                          <a:off x="2522790" y="3650460"/>
                          <a:ext cx="5646420" cy="259080"/>
                        </a:xfrm>
                        <a:prstGeom prst="rect">
                          <a:avLst/>
                        </a:prstGeom>
                        <a:solidFill>
                          <a:srgbClr val="D45516"/>
                        </a:solidFill>
                        <a:ln cap="flat" cmpd="sng" w="12700">
                          <a:solidFill>
                            <a:srgbClr val="D455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190500</wp:posOffset>
                </wp:positionV>
                <wp:extent cx="5659120" cy="271780"/>
                <wp:effectExtent b="0" l="0" r="0" t="0"/>
                <wp:wrapNone/>
                <wp:docPr id="147914863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659120" cy="271780"/>
                        </a:xfrm>
                        <a:prstGeom prst="rect"/>
                        <a:ln/>
                      </pic:spPr>
                    </pic:pic>
                  </a:graphicData>
                </a:graphic>
              </wp:anchor>
            </w:drawing>
          </mc:Fallback>
        </mc:AlternateContent>
      </w:r>
    </w:p>
    <w:p w:rsidR="00000000" w:rsidDel="00000000" w:rsidP="00000000" w:rsidRDefault="00000000" w:rsidRPr="00000000" w14:paraId="00000008">
      <w:pPr>
        <w:jc w:val="center"/>
        <w:rPr>
          <w:rFonts w:ascii="Arial" w:cs="Arial" w:eastAsia="Arial" w:hAnsi="Arial"/>
          <w:b w:val="1"/>
          <w:color w:val="f8f8f8"/>
          <w:sz w:val="24"/>
          <w:szCs w:val="24"/>
        </w:rPr>
      </w:pPr>
      <w:r w:rsidDel="00000000" w:rsidR="00000000" w:rsidRPr="00000000">
        <w:rPr>
          <w:rFonts w:ascii="Arial" w:cs="Arial" w:eastAsia="Arial" w:hAnsi="Arial"/>
          <w:b w:val="1"/>
          <w:color w:val="f8f8f8"/>
          <w:sz w:val="24"/>
          <w:szCs w:val="24"/>
          <w:rtl w:val="0"/>
        </w:rPr>
        <w:t xml:space="preserve">ABSTRACT</w:t>
      </w:r>
    </w:p>
    <w:p w:rsidR="00000000" w:rsidDel="00000000" w:rsidP="00000000" w:rsidRDefault="00000000" w:rsidRPr="00000000" w14:paraId="00000009">
      <w:pPr>
        <w:ind w:right="-42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BACKGROUND</w:t>
      </w:r>
      <w:r w:rsidDel="00000000" w:rsidR="00000000" w:rsidRPr="00000000">
        <w:rPr>
          <w:rFonts w:ascii="Arial" w:cs="Arial" w:eastAsia="Arial" w:hAnsi="Arial"/>
          <w:sz w:val="20"/>
          <w:szCs w:val="20"/>
          <w:rtl w:val="0"/>
        </w:rPr>
        <w:t xml:space="preserve">.Glioblastoma is a type of brain tumor categorized as a high grade glioma and is one of the most aggressive glial cell tumors of the central nervous system (CNS). The current treatment involves surgery with tumor resection, radiotherapy and chemotherapy with temozolomide, an alkylating agent. Furthermore, the glioblastoma cells acquire a certain resistance to treatment which makes prognosis difficult and demands the development of more effective drugs. The peroxisome proliferator-activated receptor gamma (PPAR</w:t>
      </w:r>
      <w:r w:rsidDel="00000000" w:rsidR="00000000" w:rsidRPr="00000000">
        <w:rPr>
          <w:rFonts w:ascii="Arial" w:cs="Arial" w:eastAsia="Arial" w:hAnsi="Arial"/>
          <w:sz w:val="20"/>
          <w:szCs w:val="20"/>
          <w:rtl w:val="0"/>
        </w:rPr>
        <w:t xml:space="preserve">γ</w:t>
      </w:r>
      <w:r w:rsidDel="00000000" w:rsidR="00000000" w:rsidRPr="00000000">
        <w:rPr>
          <w:rFonts w:ascii="Arial" w:cs="Arial" w:eastAsia="Arial" w:hAnsi="Arial"/>
          <w:sz w:val="20"/>
          <w:szCs w:val="20"/>
          <w:rtl w:val="0"/>
        </w:rPr>
        <w:t xml:space="preserve">) is a receptor that is involved in different biochemical events, including cancer, stroke, lipid and glucose metabolism, inflammation, oxidative stress and neurodegeneration. Some studies have described its importance in glioblastoma progression and as a therapeutic target. Thiazoles are 5-membered heterocyclic rings containing nitrogen and sulfur as heteroatoms. </w:t>
      </w:r>
      <w:r w:rsidDel="00000000" w:rsidR="00000000" w:rsidRPr="00000000">
        <w:rPr>
          <w:rFonts w:ascii="Arial" w:cs="Arial" w:eastAsia="Arial" w:hAnsi="Arial"/>
          <w:sz w:val="20"/>
          <w:szCs w:val="20"/>
          <w:rtl w:val="0"/>
        </w:rPr>
        <w:t xml:space="preserve">This pharmacophoric group has several biological activities like antioxidant, anti inflammatory, analgesic and anticancer</w:t>
      </w:r>
      <w:r w:rsidDel="00000000" w:rsidR="00000000" w:rsidRPr="00000000">
        <w:rPr>
          <w:rFonts w:ascii="Arial" w:cs="Arial" w:eastAsia="Arial" w:hAnsi="Arial"/>
          <w:sz w:val="20"/>
          <w:szCs w:val="20"/>
          <w:rtl w:val="0"/>
        </w:rPr>
        <w:t xml:space="preserve">. The thiazole group can act on several targets including PPAR</w:t>
      </w:r>
      <w:r w:rsidDel="00000000" w:rsidR="00000000" w:rsidRPr="00000000">
        <w:rPr>
          <w:rFonts w:ascii="Arial" w:cs="Arial" w:eastAsia="Arial" w:hAnsi="Arial"/>
          <w:sz w:val="20"/>
          <w:szCs w:val="20"/>
          <w:rtl w:val="0"/>
        </w:rPr>
        <w:t xml:space="preserve">γ</w:t>
      </w:r>
      <w:r w:rsidDel="00000000" w:rsidR="00000000" w:rsidRPr="00000000">
        <w:rPr>
          <w:rFonts w:ascii="Arial" w:cs="Arial" w:eastAsia="Arial" w:hAnsi="Arial"/>
          <w:sz w:val="20"/>
          <w:szCs w:val="20"/>
          <w:rtl w:val="0"/>
        </w:rPr>
        <w:t xml:space="preserve"> which is related to some glioblastoma cells pathways showing its pharmacological potential. </w:t>
      </w:r>
      <w:r w:rsidDel="00000000" w:rsidR="00000000" w:rsidRPr="00000000">
        <w:rPr>
          <w:rFonts w:ascii="Arial" w:cs="Arial" w:eastAsia="Arial" w:hAnsi="Arial"/>
          <w:b w:val="1"/>
          <w:sz w:val="20"/>
          <w:szCs w:val="20"/>
          <w:rtl w:val="0"/>
        </w:rPr>
        <w:t xml:space="preserve">OBJECTIVES.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Therefore, the aim of this work is to predict by </w:t>
      </w:r>
      <w:r w:rsidDel="00000000" w:rsidR="00000000" w:rsidRPr="00000000">
        <w:rPr>
          <w:rFonts w:ascii="Arial" w:cs="Arial" w:eastAsia="Arial" w:hAnsi="Arial"/>
          <w:i w:val="1"/>
          <w:sz w:val="20"/>
          <w:szCs w:val="20"/>
          <w:rtl w:val="0"/>
        </w:rPr>
        <w:t xml:space="preserve">in silico</w:t>
      </w:r>
      <w:r w:rsidDel="00000000" w:rsidR="00000000" w:rsidRPr="00000000">
        <w:rPr>
          <w:rFonts w:ascii="Arial" w:cs="Arial" w:eastAsia="Arial" w:hAnsi="Arial"/>
          <w:sz w:val="20"/>
          <w:szCs w:val="20"/>
          <w:rtl w:val="0"/>
        </w:rPr>
        <w:t xml:space="preserve"> methods, the pharmacokinetic profile and the chemical interactions among new derivatives codified NPA with PPAR-γ</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METHODS</w:t>
      </w:r>
      <w:r w:rsidDel="00000000" w:rsidR="00000000" w:rsidRPr="00000000">
        <w:rPr>
          <w:rFonts w:ascii="Arial" w:cs="Arial" w:eastAsia="Arial" w:hAnsi="Arial"/>
          <w:sz w:val="20"/>
          <w:szCs w:val="20"/>
          <w:rtl w:val="0"/>
        </w:rPr>
        <w:t xml:space="preserve">. For the prediction of pharmacokinetic parameters of new thiazoles derivatives were evaluated by SwissADME platform (http://www.swissadme.ch/). Information about physicochemical characteristics of the derivatives, pharmacokinetic data and druglikeness data  was obtained. For toxicity evaluation data was obtained from the ProTox 3.0 server (</w:t>
      </w:r>
      <w:hyperlink r:id="rId10">
        <w:r w:rsidDel="00000000" w:rsidR="00000000" w:rsidRPr="00000000">
          <w:rPr>
            <w:rFonts w:ascii="Arial" w:cs="Arial" w:eastAsia="Arial" w:hAnsi="Arial"/>
            <w:color w:val="1155cc"/>
            <w:sz w:val="20"/>
            <w:szCs w:val="20"/>
            <w:u w:val="single"/>
            <w:rtl w:val="0"/>
          </w:rPr>
          <w:t xml:space="preserve">https://tox.charite.de/protox3/</w:t>
        </w:r>
      </w:hyperlink>
      <w:r w:rsidDel="00000000" w:rsidR="00000000" w:rsidRPr="00000000">
        <w:rPr>
          <w:rFonts w:ascii="Arial" w:cs="Arial" w:eastAsia="Arial" w:hAnsi="Arial"/>
          <w:sz w:val="20"/>
          <w:szCs w:val="20"/>
          <w:rtl w:val="0"/>
        </w:rPr>
        <w:t xml:space="preserve">). In </w:t>
      </w:r>
      <w:r w:rsidDel="00000000" w:rsidR="00000000" w:rsidRPr="00000000">
        <w:rPr>
          <w:rFonts w:ascii="Arial" w:cs="Arial" w:eastAsia="Arial" w:hAnsi="Arial"/>
          <w:sz w:val="20"/>
          <w:szCs w:val="20"/>
          <w:rtl w:val="0"/>
        </w:rPr>
        <w:t xml:space="preserve">docking study, three-dimensional structures and energy minimization through the force field MMFF94S of thiazole molecules (LPSF/NPA) were obtained from Avogadro free software</w:t>
      </w:r>
      <w:sdt>
        <w:sdtPr>
          <w:tag w:val="goog_rdk_0"/>
        </w:sdtPr>
        <w:sdtContent>
          <w:r w:rsidDel="00000000" w:rsidR="00000000" w:rsidRPr="00000000">
            <w:rPr>
              <w:rFonts w:ascii="Arial Unicode MS" w:cs="Arial Unicode MS" w:eastAsia="Arial Unicode MS" w:hAnsi="Arial Unicode MS"/>
              <w:sz w:val="20"/>
              <w:szCs w:val="20"/>
              <w:rtl w:val="0"/>
            </w:rPr>
            <w:t xml:space="preserve">. The molecular docking analysis was carried out by Gold software. The crystalline structure of  PPARγ was obtained in the Protein Data Bank (PDB) and prepared in Gold software. Interpretation of results and images of molecular complexes were obtained through the Discovery Studio 2020 Client program. The molecular dynamics (MD) simulation was carried out using Desmond (Schrondiger Release 2018) of the best docking pose of the compound NPA-7 with the target protein PPARγ. MD simulation was done for 150 ns run in NPT (constant number of atoms N, pressure P, and temperature T) ensemble at 300 K temperature and 1 bar pressure. The complex was placed in a TIP3 water box. To neutralize charges, counter ions (3 Na+ and 3 Cl−) were introduced. The salt content was fixed to 0.15 M sodium and chloride ions in order to simulate physiological conditions. Desmond simulation interaction diagram tool in Maestro was used to create plots and figures. </w:t>
          </w:r>
        </w:sdtContent>
      </w:sdt>
      <w:r w:rsidDel="00000000" w:rsidR="00000000" w:rsidRPr="00000000">
        <w:rPr>
          <w:rFonts w:ascii="Arial" w:cs="Arial" w:eastAsia="Arial" w:hAnsi="Arial"/>
          <w:b w:val="1"/>
          <w:sz w:val="20"/>
          <w:szCs w:val="20"/>
          <w:rtl w:val="0"/>
        </w:rPr>
        <w:t xml:space="preserve">RESULTS AND DISCUSSION</w:t>
      </w:r>
      <w:r w:rsidDel="00000000" w:rsidR="00000000" w:rsidRPr="00000000">
        <w:rPr>
          <w:rFonts w:ascii="Arial" w:cs="Arial" w:eastAsia="Arial" w:hAnsi="Arial"/>
          <w:sz w:val="20"/>
          <w:szCs w:val="20"/>
          <w:rtl w:val="0"/>
        </w:rPr>
        <w:t xml:space="preserve">. All the compounds showed blood-brain barrier (BBB) permeability, high gastrointestinal absorption, low toxicity and any violation to Lipinski's rule. None of the molecules was glycoprotein P substrates, showing their ability to cross the BBB and achieve the biochemical targets in CNS. The most common interactions among the compounds and PPAR-γ were hydrophobic and hydrogen bonds with favorable fitness (58,55 to 75,81). </w:t>
      </w:r>
      <w:r w:rsidDel="00000000" w:rsidR="00000000" w:rsidRPr="00000000">
        <w:rPr>
          <w:rFonts w:ascii="Arial" w:cs="Arial" w:eastAsia="Arial" w:hAnsi="Arial"/>
          <w:sz w:val="20"/>
          <w:szCs w:val="20"/>
          <w:rtl w:val="0"/>
        </w:rPr>
        <w:t xml:space="preserve">Some of isomers showed better fitness values when compared to the co-crystallized ligand (Rosiglitazone), as NPA 2(E-Z), NPA 3(E-E and Z-E), NPA 4(E-E and Z-E), NPA 6(E-E and Z-Z), NPA 7(E-E,Z-E, and Z-Z), NPA 8(Z-E), NPA 9(E-E and Z-Z)</w:t>
      </w:r>
      <w:r w:rsidDel="00000000" w:rsidR="00000000" w:rsidRPr="00000000">
        <w:rPr>
          <w:rFonts w:ascii="Arial" w:cs="Arial" w:eastAsia="Arial" w:hAnsi="Arial"/>
          <w:sz w:val="20"/>
          <w:szCs w:val="20"/>
          <w:rtl w:val="0"/>
        </w:rPr>
        <w:t xml:space="preserve">. The molecular dynamics simulation showed that the complex of NPA-7 (Z-Z) with the target protein was stable. For the 150 ns simulation time, there was no significant conformation changes in the protein structure, showing that the complex of NPA-7 (Z-Z) with PPAR-Ɣ is stable and energetically favorable. </w:t>
      </w:r>
      <w:r w:rsidDel="00000000" w:rsidR="00000000" w:rsidRPr="00000000">
        <w:rPr>
          <w:rFonts w:ascii="Arial" w:cs="Arial" w:eastAsia="Arial" w:hAnsi="Arial"/>
          <w:b w:val="1"/>
          <w:sz w:val="20"/>
          <w:szCs w:val="20"/>
          <w:rtl w:val="0"/>
        </w:rPr>
        <w:t xml:space="preserve">CONCLUSION. </w:t>
      </w:r>
      <w:r w:rsidDel="00000000" w:rsidR="00000000" w:rsidRPr="00000000">
        <w:rPr>
          <w:rFonts w:ascii="Arial" w:cs="Arial" w:eastAsia="Arial" w:hAnsi="Arial"/>
          <w:sz w:val="20"/>
          <w:szCs w:val="20"/>
          <w:rtl w:val="0"/>
        </w:rPr>
        <w:t xml:space="preserve">This </w:t>
      </w:r>
      <w:r w:rsidDel="00000000" w:rsidR="00000000" w:rsidRPr="00000000">
        <w:rPr>
          <w:rFonts w:ascii="Arial" w:cs="Arial" w:eastAsia="Arial" w:hAnsi="Arial"/>
          <w:i w:val="1"/>
          <w:sz w:val="20"/>
          <w:szCs w:val="20"/>
          <w:rtl w:val="0"/>
        </w:rPr>
        <w:t xml:space="preserve">in silico</w:t>
      </w:r>
      <w:r w:rsidDel="00000000" w:rsidR="00000000" w:rsidRPr="00000000">
        <w:rPr>
          <w:rFonts w:ascii="Arial" w:cs="Arial" w:eastAsia="Arial" w:hAnsi="Arial"/>
          <w:sz w:val="20"/>
          <w:szCs w:val="20"/>
          <w:rtl w:val="0"/>
        </w:rPr>
        <w:t xml:space="preserve"> study shows that the derivatives have a good pharmacokinetic profile and great and stable chemical interactions against PPAR-γ which can corroborate its potential for glioblastoma treatment in the future.</w:t>
      </w:r>
      <w:r w:rsidDel="00000000" w:rsidR="00000000" w:rsidRPr="00000000">
        <w:rPr>
          <w:rtl w:val="0"/>
        </w:rPr>
      </w:r>
    </w:p>
    <w:sectPr>
      <w:footerReference r:id="rId11" w:type="default"/>
      <w:pgSz w:h="16838" w:w="11906" w:orient="portrait"/>
      <w:pgMar w:bottom="426" w:top="1134" w:left="1701" w:right="1701" w:header="708" w:footer="47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3rd Brazil-France Symposium on Medicinal Chemistry: Advances in Drug Design and Discovery. Maceió-AL,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A30AF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A30AF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A30AF6"/>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A30AF6"/>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A30AF6"/>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A30AF6"/>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A30AF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A30AF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A30AF6"/>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A30AF6"/>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A30AF6"/>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A30AF6"/>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A30AF6"/>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A30AF6"/>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A30AF6"/>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A30AF6"/>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A30AF6"/>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A30AF6"/>
    <w:rPr>
      <w:rFonts w:cstheme="majorBidi" w:eastAsiaTheme="majorEastAsia"/>
      <w:color w:val="272727" w:themeColor="text1" w:themeTint="0000D8"/>
    </w:rPr>
  </w:style>
  <w:style w:type="paragraph" w:styleId="Ttulo">
    <w:name w:val="Title"/>
    <w:basedOn w:val="Normal"/>
    <w:next w:val="Normal"/>
    <w:link w:val="TtuloChar"/>
    <w:uiPriority w:val="10"/>
    <w:qFormat w:val="1"/>
    <w:rsid w:val="00A30AF6"/>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A30AF6"/>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A30AF6"/>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A30AF6"/>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A30AF6"/>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A30AF6"/>
    <w:rPr>
      <w:i w:val="1"/>
      <w:iCs w:val="1"/>
      <w:color w:val="404040" w:themeColor="text1" w:themeTint="0000BF"/>
    </w:rPr>
  </w:style>
  <w:style w:type="paragraph" w:styleId="PargrafodaLista">
    <w:name w:val="List Paragraph"/>
    <w:basedOn w:val="Normal"/>
    <w:uiPriority w:val="34"/>
    <w:qFormat w:val="1"/>
    <w:rsid w:val="00A30AF6"/>
    <w:pPr>
      <w:ind w:left="720"/>
      <w:contextualSpacing w:val="1"/>
    </w:pPr>
  </w:style>
  <w:style w:type="character" w:styleId="nfaseIntensa">
    <w:name w:val="Intense Emphasis"/>
    <w:basedOn w:val="Fontepargpadro"/>
    <w:uiPriority w:val="21"/>
    <w:qFormat w:val="1"/>
    <w:rsid w:val="00A30AF6"/>
    <w:rPr>
      <w:i w:val="1"/>
      <w:iCs w:val="1"/>
      <w:color w:val="0f4761" w:themeColor="accent1" w:themeShade="0000BF"/>
    </w:rPr>
  </w:style>
  <w:style w:type="paragraph" w:styleId="CitaoIntensa">
    <w:name w:val="Intense Quote"/>
    <w:basedOn w:val="Normal"/>
    <w:next w:val="Normal"/>
    <w:link w:val="CitaoIntensaChar"/>
    <w:uiPriority w:val="30"/>
    <w:qFormat w:val="1"/>
    <w:rsid w:val="00A30AF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A30AF6"/>
    <w:rPr>
      <w:i w:val="1"/>
      <w:iCs w:val="1"/>
      <w:color w:val="0f4761" w:themeColor="accent1" w:themeShade="0000BF"/>
    </w:rPr>
  </w:style>
  <w:style w:type="character" w:styleId="RefernciaIntensa">
    <w:name w:val="Intense Reference"/>
    <w:basedOn w:val="Fontepargpadro"/>
    <w:uiPriority w:val="32"/>
    <w:qFormat w:val="1"/>
    <w:rsid w:val="00A30AF6"/>
    <w:rPr>
      <w:b w:val="1"/>
      <w:bCs w:val="1"/>
      <w:smallCaps w:val="1"/>
      <w:color w:val="0f4761" w:themeColor="accent1" w:themeShade="0000BF"/>
      <w:spacing w:val="5"/>
    </w:rPr>
  </w:style>
  <w:style w:type="paragraph" w:styleId="Cabealho">
    <w:name w:val="header"/>
    <w:basedOn w:val="Normal"/>
    <w:link w:val="CabealhoChar"/>
    <w:uiPriority w:val="99"/>
    <w:unhideWhenUsed w:val="1"/>
    <w:rsid w:val="00A30AF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30AF6"/>
  </w:style>
  <w:style w:type="paragraph" w:styleId="Rodap">
    <w:name w:val="footer"/>
    <w:basedOn w:val="Normal"/>
    <w:link w:val="RodapChar"/>
    <w:uiPriority w:val="99"/>
    <w:unhideWhenUsed w:val="1"/>
    <w:rsid w:val="00A30AF6"/>
    <w:pPr>
      <w:tabs>
        <w:tab w:val="center" w:pos="4252"/>
        <w:tab w:val="right" w:pos="8504"/>
      </w:tabs>
      <w:spacing w:after="0" w:line="240" w:lineRule="auto"/>
    </w:pPr>
  </w:style>
  <w:style w:type="character" w:styleId="RodapChar" w:customStyle="1">
    <w:name w:val="Rodapé Char"/>
    <w:basedOn w:val="Fontepargpadro"/>
    <w:link w:val="Rodap"/>
    <w:uiPriority w:val="99"/>
    <w:rsid w:val="00A30AF6"/>
  </w:style>
  <w:style w:type="character" w:styleId="Hyperlink">
    <w:name w:val="Hyperlink"/>
    <w:basedOn w:val="Fontepargpadro"/>
    <w:uiPriority w:val="99"/>
    <w:unhideWhenUsed w:val="1"/>
    <w:rsid w:val="00936C7A"/>
    <w:rPr>
      <w:color w:val="467886" w:themeColor="hyperlink"/>
      <w:u w:val="single"/>
    </w:rPr>
  </w:style>
  <w:style w:type="character" w:styleId="MenoPendente">
    <w:name w:val="Unresolved Mention"/>
    <w:basedOn w:val="Fontepargpadro"/>
    <w:uiPriority w:val="99"/>
    <w:semiHidden w:val="1"/>
    <w:unhideWhenUsed w:val="1"/>
    <w:rsid w:val="00936C7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tox.charite.de/protox3/"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matheus.vgmelo@ufpe.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Vr8jkXvOkReJXuZMb9ze9V9fw==">CgMxLjAaJAoBMBIfCh0IB0IZCgVBcmlhbBIQQXJpYWwgVW5pY29kZSBNUyLnAwoLQUFBQlhNMk1BNU0SsQMKC0FBQUJYTTJNQTVNEgtBQUFCWE0yTUE1TRoNCgl0ZXh0L2h0bWwSACIOCgp0ZXh0L3BsYWluEgAqGyIVMTAxOTA4NTA2NDczNzE0MDQyODkxKAA4ADCSi4m6pzI4v5CJuqcySpACCiRhcHBsaWNhdGlvbi92bmQuZ29vZ2xlLWFwcHMuZG9jcy5tZHMa5wHC19rkAeABEm4KagpkRm9yIGRvY2tpbmcgc3R1ZHksIHRocmVlLWRpbWVuc2lvbmFsIHN0cnVjdHVyZXMgYW5kIGVuZXJneSBtaW5pbWl6YXRpb24gdGhyb3VnaCB0aGUgZm9yY2UgZmllbGQgTU1GRhABGAEQARpuCmoKZEZvciBkb2NraW5nIHN0dWR5LCB0aHJlZS1kaW1lbnNpb25hbCBzdHJ1Y3R1cmVzIGFuZCBlbmVyZ3kgbWluaW1pemF0aW9uIHRocm91Z2ggdGhlIGZvcmNlIGZpZWxkIE1NRkYQARgBEAFaDGRicmxudXE2OWdkcHICIAB4AIIBFHN1Z2dlc3QudzQ1dmsyYnd1d2RvmgEGCAAQABgAsAEAuAEAGJKLibqnMiC/kIm6pzIwAEIUc3VnZ2VzdC53NDV2azJid3V3ZG84AGoxChRzdWdnZXN0LnpiMnM2bnJld2todhIZSk9TRSBBUklPTiBEQSBTSUxWQSBNT1VSQWoxChRzdWdnZXN0LnhmcTFpNGtkZjE0ahIZSk9TRSBBUklPTiBEQSBTSUxWQSBNT1VSQWoxChRzdWdnZXN0LjRtcTBqanQ2ZGZpbxIZSk9TRSBBUklPTiBEQSBTSUxWQSBNT1VSQWoxChRzdWdnZXN0LnFkcDljcmRycWh2cxIZSk9TRSBBUklPTiBEQSBTSUxWQSBNT1VSQWoxChRzdWdnZXN0Lm9rYWM4amVsY3NuZxIZSk9TRSBBUklPTiBEQSBTSUxWQSBNT1VSQWoxChRzdWdnZXN0LndnN3owbTR3dXBpYRIZSk9TRSBBUklPTiBEQSBTSUxWQSBNT1VSQWoxChRzdWdnZXN0LnBxMXg5MGd1enplYxIZSk9TRSBBUklPTiBEQSBTSUxWQSBNT1VSQWoxChRzdWdnZXN0Lml3OWRnd2R0dzJhaRIZSk9TRSBBUklPTiBEQSBTSUxWQSBNT1VSQWoxChRzdWdnZXN0LmZ5eXB4NnY3Y2VkZhIZSk9TRSBBUklPTiBEQSBTSUxWQSBNT1VSQWoxChRzdWdnZXN0Lnc0NXZrMmJ3dXdkbxIZSk9TRSBBUklPTiBEQSBTSUxWQSBNT1VSQWoxChRzdWdnZXN0Lmh2MWJlbDNjMWdoMBIZSk9TRSBBUklPTiBEQSBTSUxWQSBNT1VSQWoxChRzdWdnZXN0Lm5pd2gzOHl0aGdnNRIZSk9TRSBBUklPTiBEQSBTSUxWQSBNT1VSQWoxChRzdWdnZXN0Lms5d3AxYThlZHk3dBIZSk9TRSBBUklPTiBEQSBTSUxWQSBNT1VSQWoxChRzdWdnZXN0LjIzaTQ4YnBzbW40eBIZSk9TRSBBUklPTiBEQSBTSUxWQSBNT1VSQWoxChRzdWdnZXN0Lmx6N2xiYnBuYTdsOBIZSk9TRSBBUklPTiBEQSBTSUxWQSBNT1VSQWoxChRzdWdnZXN0LmdkdGs4YnphbG5kZhIZSk9TRSBBUklPTiBEQSBTSUxWQSBNT1VSQWoxChRzdWdnZXN0LmF4NW53NzN2dXA3bhIZSk9TRSBBUklPTiBEQSBTSUxWQSBNT1VSQWoxChRzdWdnZXN0Ljl1djByMG50NzZwaBIZSk9TRSBBUklPTiBEQSBTSUxWQSBNT1VSQWoxChRzdWdnZXN0LnhxbzU3eHMxbnVoaxIZSk9TRSBBUklPTiBEQSBTSUxWQSBNT1VSQWoxChRzdWdnZXN0LnJwZHVtaTV1YXdoMhIZSk9TRSBBUklPTiBEQSBTSUxWQSBNT1VSQWoxChRzdWdnZXN0LnZ1ZnNoZGFhbG9qZRIZSk9TRSBBUklPTiBEQSBTSUxWQSBNT1VSQWoxChRzdWdnZXN0LmlpMzd1Mmt6dXZidBIZSk9TRSBBUklPTiBEQSBTSUxWQSBNT1VSQWoxChRzdWdnZXN0LmNoNGFiNHJnbzVwbRIZSk9TRSBBUklPTiBEQSBTSUxWQSBNT1VSQWoxChRzdWdnZXN0LnI3bjZ2cmo4cWE0bxIZSk9TRSBBUklPTiBEQSBTSUxWQSBNT1VSQWoxChRzdWdnZXN0LmRqc25zejZnZGt1dhIZSk9TRSBBUklPTiBEQSBTSUxWQSBNT1VSQWoxChRzdWdnZXN0LmwzbnRsOXMxdmxuMRIZSk9TRSBBUklPTiBEQSBTSUxWQSBNT1VSQWoxChRzdWdnZXN0Ljc3Y3NpbGg2M2liaxIZSk9TRSBBUklPTiBEQSBTSUxWQSBNT1VSQWoxChRzdWdnZXN0Lmg5ZHhnNnBsbmszbhIZSk9TRSBBUklPTiBEQSBTSUxWQSBNT1VSQWoxChRzdWdnZXN0LjVyczg2eDRzc3FrYhIZSk9TRSBBUklPTiBEQSBTSUxWQSBNT1VSQXIhMS02UVJnajV3eU12RXpmZ1I1SWhJOGFkOEZOdG91TU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2024-07-21T02:48:00Z</dcterms:created>
  <dc:creator>nathalia monteiro</dc:creator>
</cp:coreProperties>
</file>