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CUIDADOS PALIATIVOS MÉDICOS DENTRO DA ONCOLOGIA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Luiza Silva Ferreira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 xml:space="preserve">luizasf0212@gmail.com</w:t>
        <w:br/>
        <w:t xml:space="preserve">Alanna Carvalho Gualberto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Micailla Alves de Souza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 xml:space="preserve">Demison de Oliveira Neves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 xml:space="preserve">Carla da Silva Ferreira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Regivaldo Rodrigues da Costa Filho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perscript"/>
        </w:rPr>
        <w:t xml:space="preserve">6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 xml:space="preserve">Lara Lacerda Amaro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perscript"/>
        </w:rPr>
        <w:t xml:space="preserve">7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Ana Caroline Rodrigues Silva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perscript"/>
        </w:rPr>
        <w:t xml:space="preserve">8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281" w:after="0" w:line="240"/>
        <w:ind w:right="0" w:left="453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RESUMO</w:t>
      </w:r>
    </w:p>
    <w:p>
      <w:pPr>
        <w:spacing w:before="0" w:after="0" w:line="240"/>
        <w:ind w:right="0" w:left="454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1013" w:left="453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 visão dos cuidados paliativos (CP) no mundo mudou ao longo dos anos.Reconhece-se que alivia o sofrimento,  controla  os  sintomas,  melhora  a  qualidade  de  vida  e  da  assistência.  O  objetivodesta pesquisa foi comparar o nível de conhecimento sobre cuidados paliativos entre profissionais médicos e   não   médicos   em   um   hospital   oncológico   do   oeste   do   Paraná,   Brasil.   Estudo   transversal, exploratório,  descritivo,  com  aplicação  de  questionário  semiestruturado  e  autoaplicável  por  meio  da plataforma  Google  Forms®.  A  pesquisa  foi  respondida  por  profissionais  de  saúde  atuantes  em  um hospital    oncológico    da    cidade    de    Cascavel-Pr.    Fazia    parte    do    instrumento    questões sociodemográficas e uma adaptação do Palliative Care Knowledge Test. Durante o período estudado,35  profissionais  responderam ao  questionário.  A  população  de  estudo  foi  composta  por  médicos (57,1%)  e  não  médicos  (42,9%).  Quando  aplicadoo Palliative  Care  Knowledge  Test,foi  possível observar  que  em  média 87%  dos  profissionais  médicos  responderam  corretamente  e  entre  os  não médicos foram63%. Considerando o tempo de experiência profissional,o percentual de acertos não revelou  uma  correlação  positiva.  No  entanto,  quando  avaliado  o  tipo  de  formação,  indivíduos  que relataram não possuir treinamento específico em CP obtiveram uma taxa de acerto de 50%, aqueles com  formação  intermediária responderam  corretamente  91%  do  teste.  Neste  contexto,o  estudo sugere que independente do tempo de experiência profissional, treinamentos continuados devem ser aplicados  para  que  os  domínios  dos  CP  sejam  entendidos  e  consequentemente  executados  na prática.</w:t>
      </w:r>
    </w:p>
    <w:p>
      <w:pPr>
        <w:spacing w:before="0" w:after="0" w:line="240"/>
        <w:ind w:right="1013" w:left="453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13" w:left="453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PALAVRAS-CHAVE: Saúde. Oncologia médica. Cuidados</w:t>
      </w:r>
    </w:p>
    <w:p>
      <w:pPr>
        <w:spacing w:before="0" w:after="0" w:line="240"/>
        <w:ind w:right="1013" w:left="453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13" w:left="453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453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-2"/>
          <w:position w:val="0"/>
          <w:sz w:val="20"/>
          <w:shd w:fill="auto" w:val="clear"/>
        </w:rPr>
        <w:t xml:space="preserve">REFERÊNCIAS</w:t>
      </w:r>
    </w:p>
    <w:p>
      <w:pPr>
        <w:tabs>
          <w:tab w:val="right" w:pos="10979" w:leader="none"/>
        </w:tabs>
        <w:spacing w:before="0" w:after="0" w:line="240"/>
        <w:ind w:right="0" w:left="128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WHO.  United  Nations  General  Assembly  United  Nations. Political  Declaration  of  the  High-level Meeting  of  the  General  Assembly  on  the  Prevention  and  Control  of  Non-Communicable WHO, 2014.Available  online: </w:t>
      </w:r>
      <w:hyperlink xmlns:r="http://schemas.openxmlformats.org/officeDocument/2006/relationships" r:id="docRId0">
        <w:r>
          <w:rPr>
            <w:rFonts w:ascii="Cambria" w:hAnsi="Cambria" w:cs="Cambria" w:eastAsia="Cambria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http://www.who.int/publications/en/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 Acessado  em:maio2022.</w:t>
      </w:r>
      <w:r>
        <w:rPr>
          <w:rFonts w:ascii="Cambria" w:hAnsi="Cambria" w:cs="Cambria" w:eastAsia="Cambria"/>
          <w:color w:val="FFFFFF"/>
          <w:spacing w:val="-5"/>
          <w:position w:val="0"/>
          <w:sz w:val="21"/>
          <w:shd w:fill="auto" w:val="clear"/>
        </w:rPr>
        <w:t xml:space="preserve">17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who.int/publications/en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