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5235D" w14:textId="77777777" w:rsidR="00D2673C" w:rsidRPr="00AB1616" w:rsidRDefault="00D2673C" w:rsidP="00C771AF">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A80296">
        <w:rPr>
          <w:rFonts w:ascii="Times New Roman" w:eastAsia="Times New Roman" w:hAnsi="Times New Roman" w:cs="Times New Roman"/>
          <w:b/>
          <w:color w:val="000000"/>
          <w:sz w:val="24"/>
          <w:szCs w:val="24"/>
        </w:rPr>
        <w:t>ALIMENTAÇÃO PRÓ-INFLAMATÓRIA E DOENÇAS INFLAMATÓRIAS INTESTINAIS: UMA REVISÃO SISTEMÁTICA</w:t>
      </w:r>
    </w:p>
    <w:p w14:paraId="4CCA6965" w14:textId="77777777" w:rsidR="00D2673C" w:rsidRPr="00AB1616" w:rsidRDefault="00D2673C" w:rsidP="00C771AF">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0C3A33E4" w14:textId="77777777" w:rsidR="00D2673C" w:rsidRDefault="00D2673C" w:rsidP="00C771AF">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2FE57065"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Juliane Lima Viana¹</w:t>
      </w:r>
    </w:p>
    <w:p w14:paraId="10159FDF"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 de Nutrição. Faculdade UNINTA Itapipoca</w:t>
      </w:r>
    </w:p>
    <w:p w14:paraId="28A2E4F0"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 – Ceará</w:t>
      </w:r>
      <w:r w:rsidRPr="00A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julianeviana7@gmail.com</w:t>
      </w:r>
      <w:r w:rsidRPr="00AB1616">
        <w:rPr>
          <w:rFonts w:ascii="Times New Roman" w:eastAsia="Times New Roman" w:hAnsi="Times New Roman" w:cs="Times New Roman"/>
          <w:color w:val="000000"/>
          <w:sz w:val="24"/>
          <w:szCs w:val="24"/>
        </w:rPr>
        <w:t>.</w:t>
      </w:r>
    </w:p>
    <w:p w14:paraId="0C358423"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Bruna Aparecida Melo Batista</w:t>
      </w:r>
      <w:r w:rsidRPr="004A2F54">
        <w:rPr>
          <w:rFonts w:ascii="Times New Roman" w:eastAsia="Times New Roman" w:hAnsi="Times New Roman" w:cs="Times New Roman"/>
          <w:b/>
          <w:color w:val="000000"/>
          <w:sz w:val="24"/>
          <w:szCs w:val="24"/>
          <w:vertAlign w:val="superscript"/>
        </w:rPr>
        <w:t>2</w:t>
      </w:r>
    </w:p>
    <w:p w14:paraId="7C1AE7FC"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 do curso de Bacharelado em Nutrição</w:t>
      </w:r>
      <w:r w:rsidRPr="00AB1616">
        <w:rPr>
          <w:rFonts w:ascii="Times New Roman" w:eastAsia="Times New Roman" w:hAnsi="Times New Roman" w:cs="Times New Roman"/>
          <w:color w:val="000000"/>
          <w:sz w:val="24"/>
          <w:szCs w:val="24"/>
        </w:rPr>
        <w:t xml:space="preserve">. Faculdade </w:t>
      </w:r>
      <w:r>
        <w:rPr>
          <w:rFonts w:ascii="Times New Roman" w:eastAsia="Times New Roman" w:hAnsi="Times New Roman" w:cs="Times New Roman"/>
          <w:color w:val="000000"/>
          <w:sz w:val="24"/>
          <w:szCs w:val="24"/>
        </w:rPr>
        <w:t>UNINTA Itapipoca</w:t>
      </w:r>
    </w:p>
    <w:p w14:paraId="2F42B45F" w14:textId="77777777" w:rsidR="00D2673C" w:rsidRPr="00AB1616" w:rsidRDefault="00D2673C" w:rsidP="00C771AF">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Itapipoca</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r>
        <w:rPr>
          <w:rFonts w:ascii="Times New Roman" w:eastAsia="Times New Roman" w:hAnsi="Times New Roman" w:cs="Times New Roman"/>
          <w:color w:val="000000"/>
          <w:sz w:val="24"/>
          <w:szCs w:val="24"/>
        </w:rPr>
        <w:br/>
        <w:t>brunabatistaprofa@gmail.com</w:t>
      </w:r>
      <w:r w:rsidRPr="00AB1616">
        <w:rPr>
          <w:rFonts w:ascii="Times New Roman" w:eastAsia="Times New Roman" w:hAnsi="Times New Roman" w:cs="Times New Roman"/>
          <w:b/>
          <w:color w:val="000000"/>
          <w:sz w:val="24"/>
          <w:szCs w:val="24"/>
        </w:rPr>
        <w:t xml:space="preserve"> </w:t>
      </w:r>
    </w:p>
    <w:p w14:paraId="2D0E63E0" w14:textId="77777777" w:rsidR="00D2673C" w:rsidRPr="00AB1616" w:rsidRDefault="00D2673C" w:rsidP="00C771AF">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1C1A472B" w14:textId="77777777" w:rsidR="00D2673C" w:rsidRPr="00AB1616" w:rsidRDefault="00D2673C" w:rsidP="00C771A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 xml:space="preserve">Resumo </w:t>
      </w:r>
      <w:r w:rsidRPr="00AB1616">
        <w:rPr>
          <w:rFonts w:ascii="Times New Roman" w:eastAsia="Times New Roman" w:hAnsi="Times New Roman" w:cs="Times New Roman"/>
          <w:color w:val="000000"/>
          <w:sz w:val="24"/>
          <w:szCs w:val="24"/>
        </w:rPr>
        <w:t xml:space="preserve"> </w:t>
      </w:r>
    </w:p>
    <w:p w14:paraId="3728F857" w14:textId="2EAB1380" w:rsidR="00D2673C" w:rsidRPr="00AB1616" w:rsidRDefault="00D2673C" w:rsidP="00C771A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Introdução:</w:t>
      </w:r>
      <w:r w:rsidRPr="00464EE5">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rPr>
        <w:t xml:space="preserve">surgimento de Doenças Inflamatórias Intestinais (DII), em especial a Doença de Crohn (CD) e Colite Ulcerativa (CU) está associado a predisposição genética, composição da microbiota intestinal e alteração nas respostas imunológicas inatas e adaptadas, o que leva o indivíduo a ter um comprometimento no intestino delgado e na absorção de nutrientes. Fatores ambientais como dietas, estilo de vida e fatores sociais estão ligados ao risco da doença. Alimentos pró-inflamatórios, podem promover alterações no organismo possibilitando uma inflamação causada pela produção de citocinas mediadoras de células T inflamatórias. </w:t>
      </w:r>
      <w:r w:rsidRPr="00AB1616">
        <w:rPr>
          <w:rFonts w:ascii="Times New Roman" w:eastAsia="Times New Roman" w:hAnsi="Times New Roman" w:cs="Times New Roman"/>
          <w:b/>
          <w:color w:val="000000"/>
          <w:sz w:val="24"/>
          <w:szCs w:val="24"/>
        </w:rPr>
        <w:t>Objetivo: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Avaliar estudos e coletar evidências sobre os efeitos de alimentos pró-inflamatórios em relação ao agravamento ou surgimento das DII. </w:t>
      </w:r>
      <w:r w:rsidRPr="00AB1616">
        <w:rPr>
          <w:rFonts w:ascii="Times New Roman" w:eastAsia="Times New Roman" w:hAnsi="Times New Roman" w:cs="Times New Roman"/>
          <w:b/>
          <w:color w:val="000000"/>
          <w:sz w:val="24"/>
          <w:szCs w:val="24"/>
        </w:rPr>
        <w:t>Método:</w:t>
      </w:r>
      <w:r w:rsidRPr="00AB1616">
        <w:rPr>
          <w:rFonts w:ascii="Times New Roman" w:eastAsia="Times New Roman" w:hAnsi="Times New Roman" w:cs="Times New Roman"/>
          <w:color w:val="000000"/>
          <w:sz w:val="24"/>
          <w:szCs w:val="24"/>
        </w:rPr>
        <w:t xml:space="preserve"> </w:t>
      </w:r>
      <w:r w:rsidRPr="0076431B">
        <w:rPr>
          <w:rFonts w:ascii="Times New Roman" w:hAnsi="Times New Roman" w:cs="Times New Roman"/>
          <w:sz w:val="24"/>
          <w:szCs w:val="24"/>
        </w:rPr>
        <w:t xml:space="preserve">Foi </w:t>
      </w:r>
      <w:r>
        <w:rPr>
          <w:rFonts w:ascii="Times New Roman" w:hAnsi="Times New Roman" w:cs="Times New Roman"/>
          <w:sz w:val="24"/>
          <w:szCs w:val="24"/>
        </w:rPr>
        <w:t>realizada uma revisão sistemática nos bancos de dados</w:t>
      </w:r>
      <w:r w:rsidRPr="0076431B">
        <w:rPr>
          <w:rFonts w:ascii="Times New Roman" w:hAnsi="Times New Roman" w:cs="Times New Roman"/>
          <w:sz w:val="24"/>
          <w:szCs w:val="24"/>
        </w:rPr>
        <w:t xml:space="preserve"> </w:t>
      </w:r>
      <w:r>
        <w:rPr>
          <w:rFonts w:ascii="Times New Roman" w:hAnsi="Times New Roman" w:cs="Times New Roman"/>
          <w:sz w:val="24"/>
          <w:szCs w:val="24"/>
        </w:rPr>
        <w:t>MEDLINE e SciELO,</w:t>
      </w:r>
      <w:r w:rsidRPr="0076431B">
        <w:rPr>
          <w:rFonts w:ascii="Times New Roman" w:hAnsi="Times New Roman" w:cs="Times New Roman"/>
          <w:sz w:val="24"/>
          <w:szCs w:val="24"/>
        </w:rPr>
        <w:t xml:space="preserve"> publicados entre os anos de 201</w:t>
      </w:r>
      <w:r>
        <w:rPr>
          <w:rFonts w:ascii="Times New Roman" w:hAnsi="Times New Roman" w:cs="Times New Roman"/>
          <w:sz w:val="24"/>
          <w:szCs w:val="24"/>
        </w:rPr>
        <w:t>6 a 2020</w:t>
      </w:r>
      <w:r w:rsidRPr="0076431B">
        <w:rPr>
          <w:rFonts w:ascii="Times New Roman" w:hAnsi="Times New Roman" w:cs="Times New Roman"/>
          <w:sz w:val="24"/>
          <w:szCs w:val="24"/>
        </w:rPr>
        <w:t xml:space="preserve">. Foram utilizados os </w:t>
      </w:r>
      <w:r>
        <w:rPr>
          <w:rFonts w:ascii="Times New Roman" w:hAnsi="Times New Roman" w:cs="Times New Roman"/>
          <w:sz w:val="24"/>
          <w:szCs w:val="24"/>
        </w:rPr>
        <w:t xml:space="preserve">seguintes </w:t>
      </w:r>
      <w:r w:rsidRPr="0076431B">
        <w:rPr>
          <w:rFonts w:ascii="Times New Roman" w:hAnsi="Times New Roman" w:cs="Times New Roman"/>
          <w:sz w:val="24"/>
          <w:szCs w:val="24"/>
        </w:rPr>
        <w:t>descritores</w:t>
      </w:r>
      <w:r>
        <w:rPr>
          <w:rFonts w:ascii="Times New Roman" w:hAnsi="Times New Roman" w:cs="Times New Roman"/>
          <w:sz w:val="24"/>
          <w:szCs w:val="24"/>
        </w:rPr>
        <w:t xml:space="preserve"> e suas combinações: “Dieta e Doenças Inflamatórias Intestinais”, “Índice Inflamatório Dietético”, “Dieta e Microbiota’’ e </w:t>
      </w:r>
      <w:r w:rsidR="008162CD">
        <w:rPr>
          <w:rFonts w:ascii="Times New Roman" w:hAnsi="Times New Roman" w:cs="Times New Roman"/>
          <w:sz w:val="24"/>
          <w:szCs w:val="24"/>
        </w:rPr>
        <w:t>“A</w:t>
      </w:r>
      <w:r>
        <w:rPr>
          <w:rFonts w:ascii="Times New Roman" w:hAnsi="Times New Roman" w:cs="Times New Roman"/>
          <w:sz w:val="24"/>
          <w:szCs w:val="24"/>
        </w:rPr>
        <w:t>limentos inflamatórios”</w:t>
      </w:r>
      <w:r w:rsidRPr="00A80296">
        <w:rPr>
          <w:rFonts w:ascii="Times New Roman" w:hAnsi="Times New Roman" w:cs="Times New Roman"/>
          <w:sz w:val="24"/>
          <w:szCs w:val="24"/>
        </w:rPr>
        <w:t>.</w:t>
      </w:r>
      <w:r>
        <w:rPr>
          <w:rFonts w:ascii="Times New Roman" w:hAnsi="Times New Roman" w:cs="Times New Roman"/>
          <w:sz w:val="24"/>
          <w:szCs w:val="24"/>
        </w:rPr>
        <w:t xml:space="preserve"> </w:t>
      </w:r>
      <w:r w:rsidRPr="00A80296">
        <w:rPr>
          <w:rFonts w:ascii="Times New Roman" w:hAnsi="Times New Roman" w:cs="Times New Roman"/>
          <w:sz w:val="24"/>
          <w:szCs w:val="24"/>
        </w:rPr>
        <w:t>Foram estabelecidos como critérios de inclusão estudos escritos em língua portuguesa, inglesa e espanhola, realizados com humanos, e como critérios de exclusão, estudos escritos em outras línguas, realizados com animais e que não abordassem a relação exposta no objetivo deste trabalho.</w:t>
      </w:r>
      <w:r>
        <w:rPr>
          <w:rFonts w:ascii="Times New Roman" w:hAnsi="Times New Roman" w:cs="Times New Roman"/>
          <w:sz w:val="24"/>
          <w:szCs w:val="24"/>
        </w:rPr>
        <w:t xml:space="preserve"> </w:t>
      </w:r>
      <w:r>
        <w:rPr>
          <w:rFonts w:ascii="Times New Roman" w:eastAsia="Times New Roman" w:hAnsi="Times New Roman" w:cs="Times New Roman"/>
          <w:b/>
          <w:color w:val="000000"/>
          <w:sz w:val="24"/>
          <w:szCs w:val="24"/>
        </w:rPr>
        <w:t>Resul</w:t>
      </w:r>
      <w:r w:rsidRPr="00AB1616">
        <w:rPr>
          <w:rFonts w:ascii="Times New Roman" w:eastAsia="Times New Roman" w:hAnsi="Times New Roman" w:cs="Times New Roman"/>
          <w:b/>
          <w:color w:val="000000"/>
          <w:sz w:val="24"/>
          <w:szCs w:val="24"/>
        </w:rPr>
        <w:t>tados: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Foi analisado que o excesso de gorduras totais, ácidos graxos poli-insaturados, ácidos graxos ômega 6, gordura saturada, carnes, carboidratos refinados estão associados ao risco aumentado da DII devido a um</w:t>
      </w:r>
      <w:r w:rsidR="002F2332">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possível modificação do microbioma intestinal. Como também uma dieta rica em frutas, fibras dietéticas, foi positivo para diminuição da DC mas, na CU não foi significativa. Um estudo realizado pelo National Health Interview Survey com o intuito de observar os americanos adultos, no consumo de certos alimentos, em parte, revelou que pessoas com DII, passaram a consumir mais batata frita, queijos e biscoitos e menos sucos naturais do que pacientes sem DII. Já alimentos considerados </w:t>
      </w:r>
      <w:r w:rsidRPr="004A2F54">
        <w:rPr>
          <w:rFonts w:ascii="Times New Roman" w:eastAsia="Times New Roman" w:hAnsi="Times New Roman" w:cs="Times New Roman"/>
          <w:bCs/>
          <w:i/>
          <w:color w:val="000000"/>
          <w:sz w:val="24"/>
          <w:szCs w:val="24"/>
        </w:rPr>
        <w:t>junk food</w:t>
      </w:r>
      <w:r>
        <w:rPr>
          <w:rFonts w:ascii="Times New Roman" w:eastAsia="Times New Roman" w:hAnsi="Times New Roman" w:cs="Times New Roman"/>
          <w:bCs/>
          <w:color w:val="000000"/>
          <w:sz w:val="24"/>
          <w:szCs w:val="24"/>
        </w:rPr>
        <w:t xml:space="preserve"> foram positivamente relevantes para um diagnóstico de DII, e o excesso de açúcar encontrados em algumas </w:t>
      </w:r>
      <w:r>
        <w:rPr>
          <w:rFonts w:ascii="Times New Roman" w:eastAsia="Times New Roman" w:hAnsi="Times New Roman" w:cs="Times New Roman"/>
          <w:bCs/>
          <w:color w:val="000000"/>
          <w:sz w:val="24"/>
          <w:szCs w:val="24"/>
        </w:rPr>
        <w:lastRenderedPageBreak/>
        <w:t xml:space="preserve">bebidas foi positivo para a doença. </w:t>
      </w:r>
      <w:r w:rsidRPr="001F72C7">
        <w:rPr>
          <w:rFonts w:ascii="Times New Roman" w:eastAsia="Times New Roman" w:hAnsi="Times New Roman" w:cs="Times New Roman"/>
          <w:bCs/>
          <w:color w:val="000000"/>
          <w:sz w:val="24"/>
          <w:szCs w:val="24"/>
        </w:rPr>
        <w:t xml:space="preserve">Apesar </w:t>
      </w:r>
      <w:r w:rsidR="002F2332">
        <w:rPr>
          <w:rFonts w:ascii="Times New Roman" w:eastAsia="Times New Roman" w:hAnsi="Times New Roman" w:cs="Times New Roman"/>
          <w:bCs/>
          <w:color w:val="000000"/>
          <w:sz w:val="24"/>
          <w:szCs w:val="24"/>
        </w:rPr>
        <w:t>d</w:t>
      </w:r>
      <w:r w:rsidRPr="001F72C7">
        <w:rPr>
          <w:rFonts w:ascii="Times New Roman" w:eastAsia="Times New Roman" w:hAnsi="Times New Roman" w:cs="Times New Roman"/>
          <w:bCs/>
          <w:color w:val="000000"/>
          <w:sz w:val="24"/>
          <w:szCs w:val="24"/>
        </w:rPr>
        <w:t>esses achados, alguns estudos mostram que a alimentação de pacientes com ou sem DII é muito semelhante, o que torna necessário mais pesquisas sobre a questão.</w:t>
      </w:r>
      <w:r>
        <w:rPr>
          <w:rFonts w:ascii="Times New Roman" w:eastAsia="Times New Roman" w:hAnsi="Times New Roman" w:cs="Times New Roman"/>
          <w:bCs/>
          <w:color w:val="000000"/>
          <w:sz w:val="24"/>
          <w:szCs w:val="24"/>
        </w:rPr>
        <w:t xml:space="preserve"> </w:t>
      </w:r>
      <w:r w:rsidRPr="00AB1616">
        <w:rPr>
          <w:rFonts w:ascii="Times New Roman" w:eastAsia="Times New Roman" w:hAnsi="Times New Roman" w:cs="Times New Roman"/>
          <w:b/>
          <w:color w:val="000000"/>
          <w:sz w:val="24"/>
          <w:szCs w:val="24"/>
        </w:rPr>
        <w:t>Conclusão</w:t>
      </w:r>
      <w:r w:rsidRPr="00AB1616">
        <w:rPr>
          <w:rFonts w:ascii="Times New Roman" w:eastAsia="Times New Roman" w:hAnsi="Times New Roman" w:cs="Times New Roman"/>
          <w:color w:val="000000"/>
          <w:sz w:val="24"/>
          <w:szCs w:val="24"/>
        </w:rPr>
        <w:t xml:space="preserve">: </w:t>
      </w:r>
      <w:r w:rsidRPr="00594164">
        <w:rPr>
          <w:rFonts w:ascii="Times New Roman" w:eastAsia="Times New Roman" w:hAnsi="Times New Roman" w:cs="Times New Roman"/>
          <w:color w:val="000000"/>
          <w:sz w:val="24"/>
          <w:szCs w:val="24"/>
        </w:rPr>
        <w:t xml:space="preserve">A partir dos estudos avaliados, uma alimentação pró-inflamatória pode contribuir para </w:t>
      </w:r>
      <w:r>
        <w:rPr>
          <w:rFonts w:ascii="Times New Roman" w:eastAsia="Times New Roman" w:hAnsi="Times New Roman" w:cs="Times New Roman"/>
          <w:color w:val="000000"/>
          <w:sz w:val="24"/>
          <w:szCs w:val="24"/>
        </w:rPr>
        <w:t xml:space="preserve">uma predisposição no quadro da DII, acarretando mudanças intestinais que podem elevar o risco do seu surgimento, provocando um desgaste metabólico e causando um desequilíbrio na homeostase do organismo. </w:t>
      </w:r>
    </w:p>
    <w:p w14:paraId="39CBF287" w14:textId="77777777" w:rsidR="00D2673C" w:rsidRPr="00AB1616" w:rsidRDefault="00D2673C" w:rsidP="00C771A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 xml:space="preserve">Palavras-chave: </w:t>
      </w:r>
      <w:r>
        <w:rPr>
          <w:rFonts w:ascii="Times New Roman" w:hAnsi="Times New Roman" w:cs="Times New Roman"/>
          <w:sz w:val="24"/>
          <w:szCs w:val="24"/>
        </w:rPr>
        <w:t>Doenças Inflamatórias Intestinais; Índice Inflamatório Dietético; Microbiota Intestinal; Alimentos inflamatórios</w:t>
      </w:r>
      <w:r w:rsidRPr="00AB1616">
        <w:rPr>
          <w:rFonts w:ascii="Times New Roman" w:eastAsia="Times New Roman" w:hAnsi="Times New Roman" w:cs="Times New Roman"/>
          <w:color w:val="000000"/>
          <w:sz w:val="24"/>
          <w:szCs w:val="24"/>
        </w:rPr>
        <w:t xml:space="preserve">. </w:t>
      </w:r>
    </w:p>
    <w:p w14:paraId="60240579" w14:textId="77777777" w:rsidR="00D2673C" w:rsidRDefault="00D2673C" w:rsidP="00C771A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60F2EA64" w14:textId="77777777" w:rsidR="00D2673C" w:rsidRDefault="00D2673C" w:rsidP="00C771AF">
      <w:pPr>
        <w:spacing w:after="0" w:line="240" w:lineRule="auto"/>
        <w:jc w:val="both"/>
        <w:rPr>
          <w:rFonts w:ascii="Times New Roman" w:hAnsi="Times New Roman" w:cs="Times New Roman"/>
          <w:sz w:val="24"/>
          <w:szCs w:val="24"/>
        </w:rPr>
      </w:pPr>
      <w:r w:rsidRPr="008C7672">
        <w:rPr>
          <w:rFonts w:ascii="Times New Roman" w:eastAsia="Times New Roman" w:hAnsi="Times New Roman" w:cs="Times New Roman"/>
          <w:color w:val="222222"/>
          <w:sz w:val="24"/>
          <w:szCs w:val="24"/>
          <w:shd w:val="clear" w:color="auto" w:fill="FFFFFF"/>
        </w:rPr>
        <w:t>CAVALCANTE, R. M. S.; LIMA, M. M.; PARENTE, J. M. L.; DE MOURA, M. S. B; NOGUEIRA, N. N.</w:t>
      </w:r>
      <w:r w:rsidRPr="008C7672">
        <w:rPr>
          <w:rFonts w:ascii="Times New Roman" w:hAnsi="Times New Roman" w:cs="Times New Roman"/>
          <w:sz w:val="24"/>
          <w:szCs w:val="24"/>
        </w:rPr>
        <w:t xml:space="preserve"> Inflammatory Bowel Diseases and diet: an integrative review. </w:t>
      </w:r>
      <w:r w:rsidRPr="008C7672">
        <w:rPr>
          <w:rFonts w:ascii="Times New Roman" w:hAnsi="Times New Roman" w:cs="Times New Roman"/>
          <w:b/>
          <w:bCs/>
          <w:sz w:val="24"/>
          <w:szCs w:val="24"/>
        </w:rPr>
        <w:t>Rev. Assoc. Med. Bras.,</w:t>
      </w:r>
      <w:r w:rsidRPr="008C7672">
        <w:rPr>
          <w:rFonts w:ascii="Times New Roman" w:hAnsi="Times New Roman" w:cs="Times New Roman"/>
          <w:sz w:val="24"/>
          <w:szCs w:val="24"/>
        </w:rPr>
        <w:t xml:space="preserve"> São Paulo, v. 66, n. 10, p. 1-6, 2020. Disponível em: </w:t>
      </w:r>
      <w:hyperlink r:id="rId6" w:history="1">
        <w:r w:rsidRPr="008C7672">
          <w:rPr>
            <w:rStyle w:val="Hyperlink"/>
            <w:rFonts w:ascii="Times New Roman" w:hAnsi="Times New Roman" w:cs="Times New Roman"/>
            <w:sz w:val="24"/>
            <w:szCs w:val="24"/>
          </w:rPr>
          <w:t>http://dx.doi.org/10.1590/1806-9282.66.10.1449</w:t>
        </w:r>
      </w:hyperlink>
      <w:r w:rsidRPr="008C7672">
        <w:rPr>
          <w:rFonts w:ascii="Times New Roman" w:hAnsi="Times New Roman" w:cs="Times New Roman"/>
          <w:sz w:val="24"/>
          <w:szCs w:val="24"/>
        </w:rPr>
        <w:t>. Acesso em: 16 de março 2020.</w:t>
      </w:r>
    </w:p>
    <w:p w14:paraId="6216ECB2" w14:textId="77777777" w:rsidR="00D2673C" w:rsidRPr="003B4D32" w:rsidRDefault="00D2673C" w:rsidP="00C771AF">
      <w:pPr>
        <w:spacing w:after="0" w:line="240" w:lineRule="auto"/>
        <w:jc w:val="both"/>
        <w:rPr>
          <w:rFonts w:ascii="Times New Roman" w:hAnsi="Times New Roman" w:cs="Times New Roman"/>
          <w:sz w:val="24"/>
          <w:szCs w:val="24"/>
        </w:rPr>
      </w:pPr>
    </w:p>
    <w:p w14:paraId="248357DC" w14:textId="1F4DA76C" w:rsidR="00D2673C" w:rsidRPr="004A2F54" w:rsidRDefault="00D2673C" w:rsidP="00C771AF">
      <w:pPr>
        <w:pBdr>
          <w:top w:val="nil"/>
          <w:left w:val="nil"/>
          <w:bottom w:val="nil"/>
          <w:right w:val="nil"/>
          <w:between w:val="nil"/>
        </w:pBdr>
        <w:spacing w:line="240" w:lineRule="auto"/>
        <w:jc w:val="both"/>
        <w:rPr>
          <w:rFonts w:ascii="Times New Roman" w:hAnsi="Times New Roman" w:cs="Times New Roman"/>
          <w:sz w:val="24"/>
          <w:szCs w:val="24"/>
        </w:rPr>
      </w:pPr>
      <w:r w:rsidRPr="004A2F54">
        <w:rPr>
          <w:rFonts w:ascii="Times New Roman" w:hAnsi="Times New Roman" w:cs="Times New Roman"/>
          <w:sz w:val="24"/>
          <w:szCs w:val="24"/>
        </w:rPr>
        <w:t xml:space="preserve">COX, S. R.; LINDSAY, J. O.; FROMENTIN, S. et al. </w:t>
      </w:r>
      <w:r w:rsidRPr="00B65128">
        <w:rPr>
          <w:rFonts w:ascii="Times New Roman" w:hAnsi="Times New Roman" w:cs="Times New Roman"/>
          <w:b/>
          <w:bCs/>
          <w:sz w:val="24"/>
          <w:szCs w:val="24"/>
        </w:rPr>
        <w:t>Gastroenterology.,</w:t>
      </w:r>
      <w:r w:rsidRPr="008C7672">
        <w:rPr>
          <w:rFonts w:ascii="Times New Roman" w:hAnsi="Times New Roman" w:cs="Times New Roman"/>
          <w:sz w:val="24"/>
          <w:szCs w:val="24"/>
        </w:rPr>
        <w:t xml:space="preserve"> Vol. 158, No. 1</w:t>
      </w:r>
      <w:r>
        <w:rPr>
          <w:rFonts w:ascii="Times New Roman" w:hAnsi="Times New Roman" w:cs="Times New Roman"/>
          <w:sz w:val="24"/>
          <w:szCs w:val="24"/>
        </w:rPr>
        <w:t xml:space="preserve">, p. 176-188, 2020. </w:t>
      </w:r>
      <w:r w:rsidRPr="004A2F54">
        <w:rPr>
          <w:rFonts w:ascii="Times New Roman" w:hAnsi="Times New Roman" w:cs="Times New Roman"/>
          <w:sz w:val="24"/>
          <w:szCs w:val="24"/>
        </w:rPr>
        <w:t xml:space="preserve">Disponível em: </w:t>
      </w:r>
      <w:hyperlink r:id="rId7" w:history="1">
        <w:r w:rsidRPr="004A2F54">
          <w:rPr>
            <w:rStyle w:val="Hyperlink"/>
            <w:rFonts w:ascii="Times New Roman" w:hAnsi="Times New Roman" w:cs="Times New Roman"/>
            <w:sz w:val="24"/>
            <w:szCs w:val="24"/>
          </w:rPr>
          <w:t>https://doi.org/10.1053/j.gastro.2019.09.024</w:t>
        </w:r>
      </w:hyperlink>
      <w:r w:rsidRPr="004A2F54">
        <w:rPr>
          <w:rFonts w:ascii="Times New Roman" w:hAnsi="Times New Roman" w:cs="Times New Roman"/>
          <w:sz w:val="24"/>
          <w:szCs w:val="24"/>
        </w:rPr>
        <w:t>.</w:t>
      </w:r>
      <w:r w:rsidR="00B65128">
        <w:rPr>
          <w:rFonts w:ascii="Times New Roman" w:hAnsi="Times New Roman" w:cs="Times New Roman"/>
          <w:sz w:val="24"/>
          <w:szCs w:val="24"/>
        </w:rPr>
        <w:t xml:space="preserve"> Acesso em: 15 de março 2020.</w:t>
      </w:r>
    </w:p>
    <w:p w14:paraId="5DCE5BAD" w14:textId="7BE3404A" w:rsidR="00D2673C" w:rsidRDefault="00D2673C" w:rsidP="00C771AF">
      <w:pPr>
        <w:pBdr>
          <w:top w:val="nil"/>
          <w:left w:val="nil"/>
          <w:bottom w:val="nil"/>
          <w:right w:val="nil"/>
          <w:between w:val="nil"/>
        </w:pBdr>
        <w:spacing w:line="240" w:lineRule="auto"/>
        <w:jc w:val="both"/>
        <w:rPr>
          <w:rFonts w:ascii="Times New Roman" w:hAnsi="Times New Roman" w:cs="Times New Roman"/>
          <w:sz w:val="24"/>
          <w:szCs w:val="24"/>
        </w:rPr>
      </w:pPr>
      <w:r w:rsidRPr="000A3D19">
        <w:rPr>
          <w:rFonts w:ascii="Times New Roman" w:eastAsia="Times New Roman" w:hAnsi="Times New Roman" w:cs="Times New Roman"/>
          <w:bCs/>
          <w:color w:val="000000"/>
          <w:sz w:val="24"/>
          <w:szCs w:val="24"/>
          <w:lang w:val="en-US"/>
        </w:rPr>
        <w:t>HAN, M. K.; ANDERSON, R.; VIENNOIS, E.; MERLIN, D.</w:t>
      </w:r>
      <w:r w:rsidRPr="000A3D19">
        <w:rPr>
          <w:lang w:val="en-US"/>
        </w:rPr>
        <w:t xml:space="preserve"> </w:t>
      </w:r>
      <w:r w:rsidRPr="000A3D19">
        <w:rPr>
          <w:rFonts w:ascii="Times New Roman" w:hAnsi="Times New Roman" w:cs="Times New Roman"/>
          <w:sz w:val="24"/>
          <w:szCs w:val="24"/>
          <w:lang w:val="en-US"/>
        </w:rPr>
        <w:t xml:space="preserve">Examination of food consumption in United States adults and the prevalence of inflammatory bowel disease using National Health Interview Survey 2015. </w:t>
      </w:r>
      <w:r w:rsidRPr="00B65128">
        <w:rPr>
          <w:rFonts w:ascii="Times New Roman" w:hAnsi="Times New Roman" w:cs="Times New Roman"/>
          <w:b/>
          <w:bCs/>
          <w:sz w:val="24"/>
          <w:szCs w:val="24"/>
        </w:rPr>
        <w:t>Editor: Andreas Zirlik, Medizinische Universitat Graz</w:t>
      </w:r>
      <w:r w:rsidR="00B65128" w:rsidRPr="00B65128">
        <w:rPr>
          <w:rFonts w:ascii="Times New Roman" w:hAnsi="Times New Roman" w:cs="Times New Roman"/>
          <w:b/>
          <w:bCs/>
          <w:sz w:val="24"/>
          <w:szCs w:val="24"/>
        </w:rPr>
        <w:t>.</w:t>
      </w:r>
      <w:r w:rsidRPr="00B65128">
        <w:rPr>
          <w:rFonts w:ascii="Times New Roman" w:hAnsi="Times New Roman" w:cs="Times New Roman"/>
          <w:b/>
          <w:bCs/>
          <w:sz w:val="24"/>
          <w:szCs w:val="24"/>
        </w:rPr>
        <w:t>,</w:t>
      </w:r>
      <w:r w:rsidRPr="00782A6A">
        <w:rPr>
          <w:rFonts w:ascii="Times New Roman" w:hAnsi="Times New Roman" w:cs="Times New Roman"/>
          <w:sz w:val="24"/>
          <w:szCs w:val="24"/>
        </w:rPr>
        <w:t xml:space="preserve"> AUSTRIA</w:t>
      </w:r>
      <w:r>
        <w:rPr>
          <w:rFonts w:ascii="Times New Roman" w:hAnsi="Times New Roman" w:cs="Times New Roman"/>
          <w:sz w:val="24"/>
          <w:szCs w:val="24"/>
        </w:rPr>
        <w:t xml:space="preserve">, 2020. Disponível em: </w:t>
      </w:r>
      <w:hyperlink r:id="rId8" w:history="1">
        <w:r w:rsidRPr="007112AE">
          <w:rPr>
            <w:rStyle w:val="Hyperlink"/>
            <w:rFonts w:ascii="Times New Roman" w:hAnsi="Times New Roman" w:cs="Times New Roman"/>
            <w:sz w:val="24"/>
            <w:szCs w:val="24"/>
          </w:rPr>
          <w:t>https://doi.org/10.1371/journal.pone.0232157</w:t>
        </w:r>
      </w:hyperlink>
      <w:r>
        <w:rPr>
          <w:rFonts w:ascii="Times New Roman" w:hAnsi="Times New Roman" w:cs="Times New Roman"/>
          <w:sz w:val="24"/>
          <w:szCs w:val="24"/>
        </w:rPr>
        <w:t>.</w:t>
      </w:r>
      <w:r w:rsidR="00B65128">
        <w:rPr>
          <w:rFonts w:ascii="Times New Roman" w:hAnsi="Times New Roman" w:cs="Times New Roman"/>
          <w:sz w:val="24"/>
          <w:szCs w:val="24"/>
        </w:rPr>
        <w:t xml:space="preserve"> Acesso em: 15 de março 2020.</w:t>
      </w:r>
    </w:p>
    <w:p w14:paraId="509FE3FF" w14:textId="32016DEF" w:rsidR="00D2673C" w:rsidRPr="000F2AB0" w:rsidRDefault="00D2673C" w:rsidP="00C771AF">
      <w:pPr>
        <w:spacing w:after="0" w:line="240" w:lineRule="auto"/>
        <w:jc w:val="both"/>
        <w:rPr>
          <w:rFonts w:ascii="Times New Roman" w:hAnsi="Times New Roman" w:cs="Times New Roman"/>
          <w:sz w:val="24"/>
          <w:szCs w:val="24"/>
        </w:rPr>
      </w:pPr>
      <w:r w:rsidRPr="000A3D19">
        <w:rPr>
          <w:rFonts w:ascii="Times New Roman" w:hAnsi="Times New Roman" w:cs="Times New Roman"/>
          <w:sz w:val="24"/>
          <w:szCs w:val="24"/>
          <w:lang w:val="en-US"/>
        </w:rPr>
        <w:t xml:space="preserve">VIDARSDOTTIR, J. B.; JOHANNSDOTTIR, S. E.; THORSDOTTIR, I.; BJORNSSON, E.; RAMEL, A. A cross-sectional study on nutrient intake and -status in inflammatory bowel disease patients. </w:t>
      </w:r>
      <w:r w:rsidRPr="00B65128">
        <w:rPr>
          <w:rFonts w:ascii="Times New Roman" w:hAnsi="Times New Roman" w:cs="Times New Roman"/>
          <w:b/>
          <w:bCs/>
          <w:sz w:val="24"/>
          <w:szCs w:val="24"/>
        </w:rPr>
        <w:t>Nutrition Journal.,</w:t>
      </w:r>
      <w:r>
        <w:rPr>
          <w:rFonts w:ascii="Times New Roman" w:hAnsi="Times New Roman" w:cs="Times New Roman"/>
          <w:sz w:val="24"/>
          <w:szCs w:val="24"/>
        </w:rPr>
        <w:t xml:space="preserve"> v. 15, p. 2-6, 2016. Disponível em: </w:t>
      </w:r>
      <w:hyperlink r:id="rId9" w:history="1">
        <w:r w:rsidRPr="00DC4ABA">
          <w:rPr>
            <w:rStyle w:val="Hyperlink"/>
            <w:rFonts w:ascii="Times New Roman" w:hAnsi="Times New Roman" w:cs="Times New Roman"/>
            <w:sz w:val="24"/>
            <w:szCs w:val="24"/>
          </w:rPr>
          <w:t>https://nutritionj.biomedcentral.com/</w:t>
        </w:r>
      </w:hyperlink>
      <w:r w:rsidR="000F2AB0">
        <w:rPr>
          <w:rStyle w:val="Hyperlink"/>
          <w:rFonts w:ascii="Times New Roman" w:hAnsi="Times New Roman" w:cs="Times New Roman"/>
          <w:sz w:val="24"/>
          <w:szCs w:val="24"/>
        </w:rPr>
        <w:t xml:space="preserve">  </w:t>
      </w:r>
      <w:r w:rsidR="000F2AB0" w:rsidRPr="000F2AB0">
        <w:rPr>
          <w:rStyle w:val="Hyperlink"/>
          <w:rFonts w:ascii="Times New Roman" w:hAnsi="Times New Roman" w:cs="Times New Roman"/>
          <w:color w:val="auto"/>
          <w:sz w:val="24"/>
          <w:szCs w:val="24"/>
          <w:u w:val="none"/>
        </w:rPr>
        <w:t>.</w:t>
      </w:r>
      <w:r w:rsidR="00B65128">
        <w:rPr>
          <w:rStyle w:val="Hyperlink"/>
          <w:rFonts w:ascii="Times New Roman" w:hAnsi="Times New Roman" w:cs="Times New Roman"/>
          <w:color w:val="auto"/>
          <w:sz w:val="24"/>
          <w:szCs w:val="24"/>
          <w:u w:val="none"/>
        </w:rPr>
        <w:t xml:space="preserve"> Acesso em: 16 de março 2020.</w:t>
      </w:r>
    </w:p>
    <w:p w14:paraId="20FA99E9" w14:textId="77777777" w:rsidR="00D2673C" w:rsidRPr="007D1BFA" w:rsidRDefault="00D2673C" w:rsidP="00C771AF">
      <w:pPr>
        <w:spacing w:after="0" w:line="240" w:lineRule="auto"/>
        <w:jc w:val="both"/>
        <w:rPr>
          <w:rFonts w:ascii="Times New Roman" w:hAnsi="Times New Roman" w:cs="Times New Roman"/>
          <w:sz w:val="24"/>
          <w:szCs w:val="24"/>
        </w:rPr>
      </w:pPr>
    </w:p>
    <w:p w14:paraId="48EF452E" w14:textId="77777777" w:rsidR="00D2673C" w:rsidRDefault="00D2673C"/>
    <w:sectPr w:rsidR="00D2673C" w:rsidSect="003E4BF5">
      <w:headerReference w:type="default" r:id="rId10"/>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608E" w14:textId="77777777" w:rsidR="00292094" w:rsidRDefault="002F2332">
      <w:pPr>
        <w:spacing w:after="0" w:line="240" w:lineRule="auto"/>
      </w:pPr>
      <w:r>
        <w:separator/>
      </w:r>
    </w:p>
  </w:endnote>
  <w:endnote w:type="continuationSeparator" w:id="0">
    <w:p w14:paraId="18CA0B23" w14:textId="77777777" w:rsidR="00292094" w:rsidRDefault="002F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98F8" w14:textId="77777777" w:rsidR="00292094" w:rsidRDefault="002F2332">
      <w:pPr>
        <w:spacing w:after="0" w:line="240" w:lineRule="auto"/>
      </w:pPr>
      <w:r>
        <w:separator/>
      </w:r>
    </w:p>
  </w:footnote>
  <w:footnote w:type="continuationSeparator" w:id="0">
    <w:p w14:paraId="6B9BEA69" w14:textId="77777777" w:rsidR="00292094" w:rsidRDefault="002F2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43F0" w14:textId="77777777" w:rsidR="00AF0F0F" w:rsidRDefault="002F2332">
    <w:pPr>
      <w:pStyle w:val="Cabealho"/>
    </w:pPr>
    <w:r>
      <w:rPr>
        <w:noProof/>
      </w:rPr>
      <w:drawing>
        <wp:anchor distT="0" distB="0" distL="114300" distR="114300" simplePos="0" relativeHeight="251659264" behindDoc="1" locked="0" layoutInCell="1" allowOverlap="1" wp14:anchorId="5697D16B" wp14:editId="1949E07F">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3C"/>
    <w:rsid w:val="000F2AB0"/>
    <w:rsid w:val="001F72C7"/>
    <w:rsid w:val="00292094"/>
    <w:rsid w:val="002F2332"/>
    <w:rsid w:val="008162CD"/>
    <w:rsid w:val="00B65128"/>
    <w:rsid w:val="00D267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A848"/>
  <w15:chartTrackingRefBased/>
  <w15:docId w15:val="{10FDC9CE-F38A-204E-8D2B-5E4616D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673C"/>
    <w:pPr>
      <w:tabs>
        <w:tab w:val="center" w:pos="4252"/>
        <w:tab w:val="right" w:pos="8504"/>
      </w:tabs>
      <w:spacing w:after="0" w:line="240" w:lineRule="auto"/>
    </w:pPr>
    <w:rPr>
      <w:rFonts w:ascii="Calibri" w:eastAsia="Calibri" w:hAnsi="Calibri" w:cs="Calibri"/>
      <w:lang w:val="pt-BR" w:eastAsia="pt-BR"/>
    </w:rPr>
  </w:style>
  <w:style w:type="character" w:customStyle="1" w:styleId="CabealhoChar">
    <w:name w:val="Cabeçalho Char"/>
    <w:basedOn w:val="Fontepargpadro"/>
    <w:link w:val="Cabealho"/>
    <w:uiPriority w:val="99"/>
    <w:rsid w:val="00D2673C"/>
    <w:rPr>
      <w:rFonts w:ascii="Calibri" w:eastAsia="Calibri" w:hAnsi="Calibri" w:cs="Calibri"/>
      <w:lang w:val="pt-BR" w:eastAsia="pt-BR"/>
    </w:rPr>
  </w:style>
  <w:style w:type="character" w:styleId="Hyperlink">
    <w:name w:val="Hyperlink"/>
    <w:basedOn w:val="Fontepargpadro"/>
    <w:uiPriority w:val="99"/>
    <w:unhideWhenUsed/>
    <w:rsid w:val="00D26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32157" TargetMode="External"/><Relationship Id="rId3" Type="http://schemas.openxmlformats.org/officeDocument/2006/relationships/webSettings" Target="webSettings.xml"/><Relationship Id="rId7" Type="http://schemas.openxmlformats.org/officeDocument/2006/relationships/hyperlink" Target="https://doi.org/10.1053/j.gastro.2019.09.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590/1806-9282.66.10.144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utritionj.biomed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julianeviana7@gmail.com</dc:creator>
  <cp:keywords/>
  <dc:description/>
  <cp:lastModifiedBy>julia</cp:lastModifiedBy>
  <cp:revision>2</cp:revision>
  <dcterms:created xsi:type="dcterms:W3CDTF">2021-03-25T19:15:00Z</dcterms:created>
  <dcterms:modified xsi:type="dcterms:W3CDTF">2021-03-25T19:15:00Z</dcterms:modified>
</cp:coreProperties>
</file>