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77.0" w:type="dxa"/>
        <w:jc w:val="left"/>
        <w:tblInd w:w="7141.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7"/>
        <w:tblGridChange w:id="0">
          <w:tblGrid>
            <w:gridCol w:w="2977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dobe Devanagari" w:cs="Adobe Devanagari" w:eastAsia="Adobe Devanagari" w:hAnsi="Adobe Devanagari"/>
                <w:b w:val="1"/>
                <w:i w:val="1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rFonts w:ascii="Adobe Devanagari" w:cs="Adobe Devanagari" w:eastAsia="Adobe Devanagari" w:hAnsi="Adobe Devanagari"/>
                <w:b w:val="1"/>
                <w:i w:val="1"/>
                <w:color w:val="385623"/>
                <w:sz w:val="24"/>
                <w:szCs w:val="24"/>
                <w:rtl w:val="0"/>
              </w:rPr>
              <w:t xml:space="preserve">Resumo simples</w:t>
            </w:r>
          </w:p>
        </w:tc>
      </w:tr>
    </w:tbl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38562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dobe Devanagari" w:cs="Adobe Devanagari" w:eastAsia="Adobe Devanagari" w:hAnsi="Adobe Devanagari"/>
          <w:b w:val="1"/>
          <w:color w:val="385623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dobe Devanagari" w:cs="Adobe Devanagari" w:eastAsia="Adobe Devanagari" w:hAnsi="Adobe Devanagari"/>
          <w:b w:val="1"/>
          <w:color w:val="385623"/>
          <w:sz w:val="28"/>
          <w:szCs w:val="28"/>
          <w:rtl w:val="0"/>
        </w:rPr>
        <w:t xml:space="preserve">ATIVIDADE FUNGICIDA DA NANOEMULSÃO SINÉRGICA DOS ÓLEOS ESSENCIAIS DE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color w:val="385623"/>
          <w:sz w:val="28"/>
          <w:szCs w:val="28"/>
          <w:rtl w:val="0"/>
        </w:rPr>
        <w:t xml:space="preserve">Citrus sinensis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385623"/>
          <w:sz w:val="28"/>
          <w:szCs w:val="28"/>
          <w:rtl w:val="0"/>
        </w:rPr>
        <w:t xml:space="preserve">(L.) Osbeck e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color w:val="385623"/>
          <w:sz w:val="28"/>
          <w:szCs w:val="28"/>
          <w:rtl w:val="0"/>
        </w:rPr>
        <w:t xml:space="preserve">Melissa officinalis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385623"/>
          <w:sz w:val="28"/>
          <w:szCs w:val="28"/>
          <w:rtl w:val="0"/>
        </w:rPr>
        <w:t xml:space="preserve"> L.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38562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dobe Devanagari" w:cs="Adobe Devanagari" w:eastAsia="Adobe Devanagari" w:hAnsi="Adobe Devanaga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color w:val="000000"/>
          <w:sz w:val="24"/>
          <w:szCs w:val="24"/>
          <w:rtl w:val="0"/>
        </w:rPr>
        <w:t xml:space="preserve">Larissa Gabrielle Pinheiro FERREIRA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color w:val="000000"/>
          <w:sz w:val="24"/>
          <w:szCs w:val="24"/>
          <w:rtl w:val="0"/>
        </w:rPr>
        <w:t xml:space="preserve">*;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Thaylanna Pinto de LIMA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; João Pedro Mesquita de OLIVEIRA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; Everton Holanda SALES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; Thayane Lopes de SOUSA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; Maria Giullia Alves Carneiro FELIZARDO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; Victor Elias MOUCHREK FILHO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6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;Gustavo Oliveira EVERTON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vertAlign w:val="superscript"/>
        </w:rPr>
        <w:footnoteReference w:customMarkFollows="0" w:id="7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dobe Devanagari" w:cs="Adobe Devanagari" w:eastAsia="Adobe Devanagari" w:hAnsi="Adobe Devanaga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dobe Devanagari" w:cs="Adobe Devanagari" w:eastAsia="Adobe Devanagari" w:hAnsi="Adobe Devanaga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dobe Devanagari" w:cs="Adobe Devanagari" w:eastAsia="Adobe Devanagari" w:hAnsi="Adobe Devanagari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dobe Devanagari" w:cs="Adobe Devanagari" w:eastAsia="Adobe Devanagari" w:hAnsi="Adobe Devanagari"/>
          <w:b w:val="1"/>
          <w:color w:val="000000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000000"/>
          <w:sz w:val="24"/>
          <w:szCs w:val="24"/>
          <w:rtl w:val="0"/>
        </w:rPr>
        <w:t xml:space="preserve">NTRODUÇÃO: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É notório o crescimento do interesse em pesquisas sobre fontes alternativas e naturais para o controle de patógenos. Pertencente a classe dos metabólitos secundários das plantas, os óleos essenciais (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OE’s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) dispõem de constituintes que estimulam diversas atividades biológicas dentre elas a inibição do crescimento de microrganismos. Para que ocorra um maior rendimento e aproveitamento de propriedades dessas substâncias aromáticas, no seguinte trabalho foi realizado a nanoemulsão a partir de dois OE extraídos de duas angiospermas cultivadas no Brasil.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000000"/>
          <w:sz w:val="24"/>
          <w:szCs w:val="24"/>
          <w:rtl w:val="0"/>
        </w:rPr>
        <w:t xml:space="preserve"> OBJETIVO: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Avaliar a atividade fungicida da nanoemulsão sinérgica dos óleos essenciais (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OE’s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) de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Citrus sinensis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(L.) Osbeck e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Melissa officinalis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L. frente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Aspergillus niger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Colletotrichum gloeosporioides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Penicillium chrysogenum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.;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000000"/>
          <w:sz w:val="24"/>
          <w:szCs w:val="24"/>
          <w:rtl w:val="0"/>
        </w:rPr>
        <w:t xml:space="preserve"> MATERIAL E MÉTODOS: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Foram coletadas cascas do fruto de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C. sinensis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em São Luís (MA) e folhas de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M.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sz w:val="24"/>
          <w:szCs w:val="24"/>
          <w:rtl w:val="0"/>
        </w:rPr>
        <w:t xml:space="preserve">officinalis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, posteriormente secas, trituradas e moídas. Foram utilizadas 100 g das cascas secas e 100g das folhas secas para obtenção dos OE’s pelo método de hidrodestilação. A nanoemulsão óleo-em-água foi formulada com cada óleo, surfactante não iônico (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ween 20) e água. A concentração final de óleo (5% v/v) foi fixada para a formulação. As quantidades necessárias de cada constituinte da fase oleosa (óleo+Tween 20) foram aquecidas a 65 ± 5 °C. A fase aquosa foi aquecida separadamente a 65 ± 5 °C, adicionada suavemente e misturada com a fase oleosa, proporcionando uma formulação primária, pelo método de inversão de fases. A homogeneização final foi conseguida utilizando um agitador magnético, no qual a formulação permaneceu em agitação constante a 6000 rpm, até atingir a redução da temperatura para 25 ºC ± 2 ºC. A atividade fungicida foi executada segundo as técnicas do CLSI (2020) que padroniza os testes de Diluição em Caldo para determinação da Concentração Inibitória Mínima (CIM) e Concentração Fungicida Mínima (CFM). Foram utilizadas suspensões padronizadas de cepas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Aspergillus niger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(ATCC 6275),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Colletotrichum gloeosporioides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(ATCC 96723),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Penicillium chrysogenum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(ATCC 10106)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em Ágar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Sabouraud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Dextrose e Caldo BHI, RPMI e MH.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000000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A nanoemulsão sinérgica possui atividade fungicida frente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a A. niger, C. gloeosporioides, P. chrysogenum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. A nanoemulsão foi mais eficiente frente a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P. chrysogenum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quando comparado a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A. niger e C. gloeosporioides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. O valor da CIM do OE frente às cepas de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A. niger, C. gloeosporioides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 P. chrysogenum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foram, respectivamente, de 0,19, 0,16 e 0,15 mg mL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. A CFM demonstrou ação fungicida a partir de 0,07 mg mL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frente a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sz w:val="24"/>
          <w:szCs w:val="24"/>
          <w:rtl w:val="0"/>
        </w:rPr>
        <w:t xml:space="preserve">Penicillium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sp., 0,08 mg mL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frente a 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C. gloeosporioides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, enquanto ação a partir de 0,10 µg mL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para </w:t>
      </w:r>
      <w:r w:rsidDel="00000000" w:rsidR="00000000" w:rsidRPr="00000000">
        <w:rPr>
          <w:rFonts w:ascii="Adobe Devanagari" w:cs="Adobe Devanagari" w:eastAsia="Adobe Devanagari" w:hAnsi="Adobe Devanagari"/>
          <w:i w:val="1"/>
          <w:color w:val="000000"/>
          <w:sz w:val="24"/>
          <w:szCs w:val="24"/>
          <w:rtl w:val="0"/>
        </w:rPr>
        <w:t xml:space="preserve">A. niger.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000000"/>
          <w:sz w:val="24"/>
          <w:szCs w:val="24"/>
          <w:rtl w:val="0"/>
        </w:rPr>
        <w:t xml:space="preserve">; CONSIDERAÇÕES FINAIS:</w:t>
      </w:r>
      <w:r w:rsidDel="00000000" w:rsidR="00000000" w:rsidRPr="00000000">
        <w:rPr>
          <w:rFonts w:ascii="Adobe Devanagari" w:cs="Adobe Devanagari" w:eastAsia="Adobe Devanagari" w:hAnsi="Adobe Devanagari"/>
          <w:b w:val="1"/>
          <w:color w:val="38562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Os resultados encontrados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demonstraram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-se satisfatórios frente a todos os microrganismos testados. A ação de inibição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fúngica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 está relacionada aos constituintes químicos majoritários presente nestes OE’s, incentivando sua aplicação e produção como nanoemulsão sinérgica fungicida.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dobe Devanagari" w:cs="Adobe Devanagari" w:eastAsia="Adobe Devanagari" w:hAnsi="Adobe Devanaga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dobe Devanagari" w:cs="Adobe Devanagari" w:eastAsia="Adobe Devanagari" w:hAnsi="Adobe Devanagari"/>
          <w:color w:val="000000"/>
          <w:sz w:val="24"/>
          <w:szCs w:val="24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Nanoemulsão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Óleo essencial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Adobe Devanagari" w:cs="Adobe Devanagari" w:eastAsia="Adobe Devanagari" w:hAnsi="Adobe Devanagari"/>
          <w:sz w:val="24"/>
          <w:szCs w:val="24"/>
          <w:rtl w:val="0"/>
        </w:rPr>
        <w:t xml:space="preserve">Atividade fungicida</w:t>
      </w:r>
      <w:r w:rsidDel="00000000" w:rsidR="00000000" w:rsidRPr="00000000">
        <w:rPr>
          <w:rFonts w:ascii="Adobe Devanagari" w:cs="Adobe Devanagari" w:eastAsia="Adobe Devanagari" w:hAnsi="Adobe Devanagari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dobe Devanagari" w:cs="Adobe Devanagari" w:eastAsia="Adobe Devanagari" w:hAnsi="Adobe Devanaga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134" w:left="1134" w:right="1134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dobe Devanaga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-272564</wp:posOffset>
          </wp:positionV>
          <wp:extent cx="7825740" cy="872490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16" l="0" r="0" t="72150"/>
                  <a:stretch>
                    <a:fillRect/>
                  </a:stretch>
                </pic:blipFill>
                <pic:spPr>
                  <a:xfrm>
                    <a:off x="0" y="0"/>
                    <a:ext cx="7825740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autor correspondente; Universidade Federal do Maranhão; lgabriellepinheiro@gmail.com;</w:t>
      </w:r>
    </w:p>
  </w:footnote>
  <w:footnote w:id="1"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autor correspondente; Universidade Federal do Maranhão; thaylanna.lima@discente.ufma.br;</w:t>
      </w:r>
    </w:p>
  </w:footnote>
  <w:footnote w:id="2"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joao-p01@live.com;</w:t>
      </w:r>
    </w:p>
  </w:footnote>
  <w:footnote w:id="3"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everhs16@gmail.com;</w:t>
      </w:r>
    </w:p>
  </w:footnote>
  <w:footnote w:id="4"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thayane.lopes@discente.ufma.br;</w:t>
      </w:r>
    </w:p>
  </w:footnote>
  <w:footnote w:id="5"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Giullia.73@hotmail.com;</w:t>
      </w:r>
    </w:p>
  </w:footnote>
  <w:footnote w:id="6"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victor.mouchrek@ufma.br;</w:t>
      </w:r>
    </w:p>
  </w:footnote>
  <w:footnote w:id="7"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gustavooliveiraeverton@gmail.com;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-720087</wp:posOffset>
          </wp:positionH>
          <wp:positionV relativeFrom="paragraph">
            <wp:posOffset>-90168</wp:posOffset>
          </wp:positionV>
          <wp:extent cx="7825740" cy="212534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982" l="0" r="0" t="12102"/>
                  <a:stretch>
                    <a:fillRect/>
                  </a:stretch>
                </pic:blipFill>
                <pic:spPr>
                  <a:xfrm>
                    <a:off x="0" y="0"/>
                    <a:ext cx="7825740" cy="21253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emEspaamento">
    <w:name w:val="No Spacing"/>
    <w:uiPriority w:val="1"/>
    <w:qFormat w:val="1"/>
    <w:rsid w:val="002B238D"/>
    <w:pPr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2B238D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OPiwO+1gBkk2S3NrBh8khJJ6oQ==">AMUW2mXBVC4AErEh68HGnnv2SRt3PfJBLrVSMXKLN7t2ga8QXM5EpgpAuIjVE1B99H0u6FkMEzWLdw/BpQkhsRalVtReFFGrV7bcKxMNZNFPgwugqgPYfWQVVYzOJcqrMTBD+BYDXPdF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2020-11-23T14:14:00Z</dcterms:created>
</cp:coreProperties>
</file>