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3" w:rsidRPr="00891E4D" w:rsidRDefault="00DA11C3" w:rsidP="00B10B91">
      <w:pPr>
        <w:spacing w:after="0"/>
        <w:ind w:left="1417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4D">
        <w:rPr>
          <w:rFonts w:ascii="Times New Roman" w:hAnsi="Times New Roman" w:cs="Times New Roman"/>
          <w:b/>
          <w:sz w:val="28"/>
          <w:szCs w:val="28"/>
        </w:rPr>
        <w:t>AVALIAÇÃO NUTRICIONAL EM ESTUDANTES DE NUTRIÇÃO ATRAVÉ</w:t>
      </w:r>
      <w:r w:rsidR="00A57028" w:rsidRPr="00891E4D">
        <w:rPr>
          <w:rFonts w:ascii="Times New Roman" w:hAnsi="Times New Roman" w:cs="Times New Roman"/>
          <w:b/>
          <w:sz w:val="28"/>
          <w:szCs w:val="28"/>
        </w:rPr>
        <w:t>S DAS MEDIDAS ANTROPOMÉ</w:t>
      </w:r>
      <w:r w:rsidRPr="00891E4D">
        <w:rPr>
          <w:rFonts w:ascii="Times New Roman" w:hAnsi="Times New Roman" w:cs="Times New Roman"/>
          <w:b/>
          <w:sz w:val="28"/>
          <w:szCs w:val="28"/>
        </w:rPr>
        <w:t>TRICAS-UM RELATO DE EXPERIÊNCIA</w:t>
      </w:r>
    </w:p>
    <w:p w:rsidR="00DA11C3" w:rsidRDefault="00DA11C3" w:rsidP="00492631">
      <w:pPr>
        <w:spacing w:after="0"/>
        <w:ind w:left="1417" w:right="1134"/>
        <w:rPr>
          <w:rFonts w:ascii="Times New Roman" w:hAnsi="Times New Roman" w:cs="Times New Roman"/>
          <w:b/>
          <w:sz w:val="24"/>
          <w:szCs w:val="24"/>
        </w:rPr>
      </w:pPr>
    </w:p>
    <w:p w:rsidR="00DA11C3" w:rsidRDefault="009C6EE8" w:rsidP="00015235">
      <w:pPr>
        <w:spacing w:after="0"/>
        <w:ind w:left="1417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¹</w:t>
      </w:r>
      <w:r w:rsidR="00D77574">
        <w:rPr>
          <w:rFonts w:ascii="Times New Roman" w:hAnsi="Times New Roman" w:cs="Times New Roman"/>
          <w:b/>
          <w:sz w:val="24"/>
          <w:szCs w:val="24"/>
        </w:rPr>
        <w:t>Filipe Silva Ramos Soares</w:t>
      </w:r>
      <w:r>
        <w:rPr>
          <w:rFonts w:ascii="Times New Roman" w:hAnsi="Times New Roman" w:cs="Times New Roman"/>
          <w:b/>
          <w:sz w:val="24"/>
          <w:szCs w:val="24"/>
        </w:rPr>
        <w:t>; ¹</w:t>
      </w:r>
      <w:r w:rsidR="00D77574">
        <w:rPr>
          <w:rFonts w:ascii="Times New Roman" w:hAnsi="Times New Roman" w:cs="Times New Roman"/>
          <w:b/>
          <w:sz w:val="24"/>
          <w:szCs w:val="24"/>
        </w:rPr>
        <w:t>Maria Tereza</w:t>
      </w:r>
      <w:r>
        <w:rPr>
          <w:rFonts w:ascii="Times New Roman" w:hAnsi="Times New Roman" w:cs="Times New Roman"/>
          <w:b/>
          <w:sz w:val="24"/>
          <w:szCs w:val="24"/>
        </w:rPr>
        <w:t xml:space="preserve"> De Souza Queiroz; </w:t>
      </w:r>
      <w:r w:rsidRPr="00891E4D">
        <w:rPr>
          <w:rFonts w:ascii="Times New Roman" w:hAnsi="Times New Roman" w:cs="Times New Roman"/>
          <w:b/>
          <w:sz w:val="24"/>
          <w:szCs w:val="24"/>
        </w:rPr>
        <w:t>²Christiane Leite</w:t>
      </w:r>
      <w:r w:rsidR="00B10B91">
        <w:rPr>
          <w:rFonts w:ascii="Times New Roman" w:hAnsi="Times New Roman" w:cs="Times New Roman"/>
          <w:b/>
          <w:sz w:val="24"/>
          <w:szCs w:val="24"/>
        </w:rPr>
        <w:t xml:space="preserve"> Cavalcanti</w:t>
      </w:r>
      <w:r w:rsidR="00891E4D">
        <w:rPr>
          <w:rFonts w:ascii="Times New Roman" w:hAnsi="Times New Roman" w:cs="Times New Roman"/>
          <w:b/>
          <w:sz w:val="24"/>
          <w:szCs w:val="24"/>
        </w:rPr>
        <w:t>.</w:t>
      </w:r>
    </w:p>
    <w:p w:rsidR="00DA11C3" w:rsidRDefault="009C6EE8" w:rsidP="00015235">
      <w:pPr>
        <w:spacing w:after="0"/>
        <w:ind w:left="1417" w:right="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¹Graduando em nutrição, Centro Universitário-</w:t>
      </w:r>
      <w:r w:rsidR="00D77574" w:rsidRPr="00D77574">
        <w:rPr>
          <w:rFonts w:ascii="Times New Roman" w:hAnsi="Times New Roman" w:cs="Times New Roman"/>
          <w:b/>
          <w:sz w:val="20"/>
          <w:szCs w:val="20"/>
        </w:rPr>
        <w:t>UNIFIP</w:t>
      </w:r>
      <w:r>
        <w:rPr>
          <w:rFonts w:ascii="Times New Roman" w:hAnsi="Times New Roman" w:cs="Times New Roman"/>
          <w:b/>
          <w:sz w:val="20"/>
          <w:szCs w:val="20"/>
        </w:rPr>
        <w:t>, Patos, Paraíba, Brasil. ²Docente do Centro Universitário-UNIFIP, Patos, Paraíba.</w:t>
      </w:r>
    </w:p>
    <w:p w:rsidR="0012411E" w:rsidRPr="00492631" w:rsidRDefault="0012411E" w:rsidP="00015235">
      <w:pPr>
        <w:spacing w:after="0"/>
        <w:ind w:left="1417" w:right="113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9263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R. Horácio Nóbrega, S/N - Belo Horizonte, Patos - PB, 58704-000, Brasil.</w:t>
      </w:r>
    </w:p>
    <w:p w:rsidR="00D77574" w:rsidRDefault="00D77574" w:rsidP="00B14EA6">
      <w:pPr>
        <w:spacing w:after="0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A41" w:rsidRPr="00671A41" w:rsidRDefault="00891E4D" w:rsidP="00671A41">
      <w:pPr>
        <w:spacing w:after="0"/>
        <w:ind w:left="1417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5A7E1C" w:rsidRPr="003D5577">
        <w:rPr>
          <w:rFonts w:ascii="Times New Roman" w:hAnsi="Times New Roman" w:cs="Times New Roman"/>
          <w:sz w:val="24"/>
          <w:szCs w:val="24"/>
        </w:rPr>
        <w:t xml:space="preserve"> A avaliação do estado nutricional é uma etapa fundamental no estudo saúdo-doença, e tem por objetivo verificar o crescimento e as proporções corporais em um indivíduo ou comunidade, visando estabelecer atitudes de intervenção no diagnóstico de patologias, tendo como finalidade a prevenção e</w:t>
      </w:r>
      <w:r w:rsidR="00EF5EEE">
        <w:rPr>
          <w:rFonts w:ascii="Times New Roman" w:hAnsi="Times New Roman" w:cs="Times New Roman"/>
          <w:sz w:val="24"/>
          <w:szCs w:val="24"/>
        </w:rPr>
        <w:t xml:space="preserve"> o tratamento adequado. Também é</w:t>
      </w:r>
      <w:r w:rsidR="005A7E1C" w:rsidRPr="003D5577">
        <w:rPr>
          <w:rFonts w:ascii="Times New Roman" w:hAnsi="Times New Roman" w:cs="Times New Roman"/>
          <w:sz w:val="24"/>
          <w:szCs w:val="24"/>
        </w:rPr>
        <w:t xml:space="preserve"> valido para o conhecimento de costumes e hábitos alimentares de um indivíduo ou grupo, e a parti desses feedbacks da avaliação busca</w:t>
      </w:r>
      <w:r w:rsidR="002429B6">
        <w:rPr>
          <w:rFonts w:ascii="Times New Roman" w:hAnsi="Times New Roman" w:cs="Times New Roman"/>
          <w:sz w:val="24"/>
          <w:szCs w:val="24"/>
        </w:rPr>
        <w:t>r intervir em hábitos maléficos, p</w:t>
      </w:r>
      <w:r w:rsidR="005A7E1C" w:rsidRPr="003D5577">
        <w:rPr>
          <w:rFonts w:ascii="Times New Roman" w:hAnsi="Times New Roman" w:cs="Times New Roman"/>
          <w:sz w:val="24"/>
          <w:szCs w:val="24"/>
        </w:rPr>
        <w:t>ara assim, reduzir ao máximo o risco</w:t>
      </w:r>
      <w:r w:rsidR="002429B6">
        <w:rPr>
          <w:rFonts w:ascii="Times New Roman" w:hAnsi="Times New Roman" w:cs="Times New Roman"/>
          <w:sz w:val="24"/>
          <w:szCs w:val="24"/>
        </w:rPr>
        <w:t>s</w:t>
      </w:r>
      <w:r w:rsidR="00EF5EEE">
        <w:rPr>
          <w:rFonts w:ascii="Times New Roman" w:hAnsi="Times New Roman" w:cs="Times New Roman"/>
          <w:sz w:val="24"/>
          <w:szCs w:val="24"/>
        </w:rPr>
        <w:t xml:space="preserve"> de probabilidade</w:t>
      </w:r>
      <w:r w:rsidR="005A7E1C" w:rsidRPr="003D5577">
        <w:rPr>
          <w:rFonts w:ascii="Times New Roman" w:hAnsi="Times New Roman" w:cs="Times New Roman"/>
          <w:sz w:val="24"/>
          <w:szCs w:val="24"/>
        </w:rPr>
        <w:t xml:space="preserve"> de mortalidade e morbidade em sociedade e comunidades, no geral.</w:t>
      </w:r>
      <w:r w:rsidR="00E57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A7E1C" w:rsidRPr="003D5577">
        <w:rPr>
          <w:rFonts w:ascii="Times New Roman" w:hAnsi="Times New Roman" w:cs="Times New Roman"/>
          <w:sz w:val="24"/>
          <w:szCs w:val="24"/>
        </w:rPr>
        <w:t>valiar os estudantes do</w:t>
      </w:r>
      <w:r w:rsidR="001F674D" w:rsidRPr="003D5577">
        <w:rPr>
          <w:rFonts w:ascii="Times New Roman" w:hAnsi="Times New Roman" w:cs="Times New Roman"/>
          <w:sz w:val="24"/>
          <w:szCs w:val="24"/>
        </w:rPr>
        <w:t xml:space="preserve"> 3°periodo do</w:t>
      </w:r>
      <w:r w:rsidR="005A7E1C" w:rsidRPr="003D5577">
        <w:rPr>
          <w:rFonts w:ascii="Times New Roman" w:hAnsi="Times New Roman" w:cs="Times New Roman"/>
          <w:sz w:val="24"/>
          <w:szCs w:val="24"/>
        </w:rPr>
        <w:t xml:space="preserve"> curso de nutrição </w:t>
      </w:r>
      <w:r w:rsidR="00B30C1C" w:rsidRPr="003D5577">
        <w:rPr>
          <w:rFonts w:ascii="Times New Roman" w:hAnsi="Times New Roman" w:cs="Times New Roman"/>
          <w:sz w:val="24"/>
          <w:szCs w:val="24"/>
        </w:rPr>
        <w:t>do semestre 2018.1</w:t>
      </w:r>
      <w:r w:rsidR="00B6422F">
        <w:rPr>
          <w:rFonts w:ascii="Times New Roman" w:hAnsi="Times New Roman" w:cs="Times New Roman"/>
          <w:sz w:val="24"/>
          <w:szCs w:val="24"/>
        </w:rPr>
        <w:t>,</w:t>
      </w:r>
      <w:r w:rsidR="00B30C1C" w:rsidRPr="003D5577">
        <w:rPr>
          <w:rFonts w:ascii="Times New Roman" w:hAnsi="Times New Roman" w:cs="Times New Roman"/>
          <w:sz w:val="24"/>
          <w:szCs w:val="24"/>
        </w:rPr>
        <w:t xml:space="preserve"> turnos da manhã e </w:t>
      </w:r>
      <w:r w:rsidR="00B6422F" w:rsidRPr="003D5577">
        <w:rPr>
          <w:rFonts w:ascii="Times New Roman" w:hAnsi="Times New Roman" w:cs="Times New Roman"/>
          <w:sz w:val="24"/>
          <w:szCs w:val="24"/>
        </w:rPr>
        <w:t>noite</w:t>
      </w:r>
      <w:r w:rsidR="00B6422F">
        <w:rPr>
          <w:rFonts w:ascii="Times New Roman" w:hAnsi="Times New Roman" w:cs="Times New Roman"/>
          <w:sz w:val="24"/>
          <w:szCs w:val="24"/>
        </w:rPr>
        <w:t>. E</w:t>
      </w:r>
      <w:r w:rsidR="00B30C1C" w:rsidRPr="003D5577">
        <w:rPr>
          <w:rFonts w:ascii="Times New Roman" w:hAnsi="Times New Roman" w:cs="Times New Roman"/>
          <w:sz w:val="24"/>
          <w:szCs w:val="24"/>
        </w:rPr>
        <w:t xml:space="preserve"> </w:t>
      </w:r>
      <w:r w:rsidR="00B6422F">
        <w:rPr>
          <w:rFonts w:ascii="Times New Roman" w:hAnsi="Times New Roman" w:cs="Times New Roman"/>
          <w:sz w:val="24"/>
          <w:szCs w:val="24"/>
        </w:rPr>
        <w:t>a</w:t>
      </w:r>
      <w:r w:rsidR="00B30C1C" w:rsidRPr="003D5577">
        <w:rPr>
          <w:rFonts w:ascii="Times New Roman" w:hAnsi="Times New Roman" w:cs="Times New Roman"/>
          <w:sz w:val="24"/>
          <w:szCs w:val="24"/>
        </w:rPr>
        <w:t xml:space="preserve"> parti do </w:t>
      </w:r>
      <w:r w:rsidR="00E576B4" w:rsidRPr="003D5577">
        <w:rPr>
          <w:rFonts w:ascii="Times New Roman" w:hAnsi="Times New Roman" w:cs="Times New Roman"/>
          <w:sz w:val="24"/>
          <w:szCs w:val="24"/>
        </w:rPr>
        <w:t>diagnóstico</w:t>
      </w:r>
      <w:r w:rsidR="00B30C1C" w:rsidRPr="003D5577">
        <w:rPr>
          <w:rFonts w:ascii="Times New Roman" w:hAnsi="Times New Roman" w:cs="Times New Roman"/>
          <w:sz w:val="24"/>
          <w:szCs w:val="24"/>
        </w:rPr>
        <w:t xml:space="preserve"> do estad</w:t>
      </w:r>
      <w:r w:rsidR="001F674D" w:rsidRPr="003D5577">
        <w:rPr>
          <w:rFonts w:ascii="Times New Roman" w:hAnsi="Times New Roman" w:cs="Times New Roman"/>
          <w:sz w:val="24"/>
          <w:szCs w:val="24"/>
        </w:rPr>
        <w:t>o nutricional</w:t>
      </w:r>
      <w:r w:rsidR="00E576B4">
        <w:rPr>
          <w:rFonts w:ascii="Times New Roman" w:hAnsi="Times New Roman" w:cs="Times New Roman"/>
          <w:sz w:val="24"/>
          <w:szCs w:val="24"/>
        </w:rPr>
        <w:t xml:space="preserve"> dos estudantes</w:t>
      </w:r>
      <w:r w:rsidR="00B6422F">
        <w:rPr>
          <w:rFonts w:ascii="Times New Roman" w:hAnsi="Times New Roman" w:cs="Times New Roman"/>
          <w:sz w:val="24"/>
          <w:szCs w:val="24"/>
        </w:rPr>
        <w:t>,</w:t>
      </w:r>
      <w:r w:rsidR="00B30C1C" w:rsidRPr="003D5577">
        <w:rPr>
          <w:rFonts w:ascii="Times New Roman" w:hAnsi="Times New Roman" w:cs="Times New Roman"/>
          <w:sz w:val="24"/>
          <w:szCs w:val="24"/>
        </w:rPr>
        <w:t xml:space="preserve"> expor os valores em</w:t>
      </w:r>
      <w:r w:rsidR="006223E6" w:rsidRPr="003D5577">
        <w:rPr>
          <w:rFonts w:ascii="Times New Roman" w:hAnsi="Times New Roman" w:cs="Times New Roman"/>
          <w:sz w:val="24"/>
          <w:szCs w:val="24"/>
        </w:rPr>
        <w:t xml:space="preserve"> p</w:t>
      </w:r>
      <w:r w:rsidR="0027074B" w:rsidRPr="003D5577">
        <w:rPr>
          <w:rFonts w:ascii="Times New Roman" w:hAnsi="Times New Roman" w:cs="Times New Roman"/>
          <w:sz w:val="24"/>
          <w:szCs w:val="24"/>
        </w:rPr>
        <w:t>orcentagem</w:t>
      </w:r>
      <w:r w:rsidR="00E576B4">
        <w:rPr>
          <w:rFonts w:ascii="Times New Roman" w:hAnsi="Times New Roman" w:cs="Times New Roman"/>
          <w:sz w:val="24"/>
          <w:szCs w:val="24"/>
        </w:rPr>
        <w:t xml:space="preserve"> com intuito de demostrar</w:t>
      </w:r>
      <w:r w:rsidR="006223E6" w:rsidRPr="003D5577">
        <w:rPr>
          <w:rFonts w:ascii="Times New Roman" w:hAnsi="Times New Roman" w:cs="Times New Roman"/>
          <w:sz w:val="24"/>
          <w:szCs w:val="24"/>
        </w:rPr>
        <w:t xml:space="preserve"> a</w:t>
      </w:r>
      <w:r w:rsidR="00E576B4">
        <w:rPr>
          <w:rFonts w:ascii="Times New Roman" w:hAnsi="Times New Roman" w:cs="Times New Roman"/>
          <w:sz w:val="24"/>
          <w:szCs w:val="24"/>
        </w:rPr>
        <w:t>s</w:t>
      </w:r>
      <w:r w:rsidR="006223E6" w:rsidRPr="003D5577">
        <w:rPr>
          <w:rFonts w:ascii="Times New Roman" w:hAnsi="Times New Roman" w:cs="Times New Roman"/>
          <w:sz w:val="24"/>
          <w:szCs w:val="24"/>
        </w:rPr>
        <w:t xml:space="preserve"> </w:t>
      </w:r>
      <w:r w:rsidR="00E576B4">
        <w:rPr>
          <w:rFonts w:ascii="Times New Roman" w:hAnsi="Times New Roman" w:cs="Times New Roman"/>
          <w:sz w:val="24"/>
          <w:szCs w:val="24"/>
        </w:rPr>
        <w:t>várias formas de diagnosticar diferentes tipos de patologias em um indivíduo ou grupo</w:t>
      </w:r>
      <w:r w:rsidR="002429B6">
        <w:rPr>
          <w:rFonts w:ascii="Times New Roman" w:hAnsi="Times New Roman" w:cs="Times New Roman"/>
          <w:sz w:val="24"/>
          <w:szCs w:val="24"/>
        </w:rPr>
        <w:t>,</w:t>
      </w:r>
      <w:r w:rsidR="00E576B4">
        <w:rPr>
          <w:rFonts w:ascii="Times New Roman" w:hAnsi="Times New Roman" w:cs="Times New Roman"/>
          <w:sz w:val="24"/>
          <w:szCs w:val="24"/>
        </w:rPr>
        <w:t xml:space="preserve"> através das medidas antropométricas. </w:t>
      </w:r>
      <w:r w:rsidR="00D77FEB">
        <w:rPr>
          <w:rFonts w:ascii="Times New Roman" w:hAnsi="Times New Roman" w:cs="Times New Roman"/>
          <w:b/>
          <w:sz w:val="24"/>
          <w:szCs w:val="24"/>
        </w:rPr>
        <w:t>MATERIAIS E METODOS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E4D">
        <w:rPr>
          <w:rFonts w:ascii="Times New Roman" w:hAnsi="Times New Roman" w:cs="Times New Roman"/>
          <w:sz w:val="24"/>
          <w:szCs w:val="24"/>
        </w:rPr>
        <w:t>C</w:t>
      </w:r>
      <w:r w:rsidR="00C74465" w:rsidRPr="003D5577">
        <w:rPr>
          <w:rFonts w:ascii="Times New Roman" w:hAnsi="Times New Roman" w:cs="Times New Roman"/>
          <w:sz w:val="24"/>
          <w:szCs w:val="24"/>
        </w:rPr>
        <w:t>onsulta realizada</w:t>
      </w:r>
      <w:r w:rsidR="00ED5BC8">
        <w:rPr>
          <w:rFonts w:ascii="Times New Roman" w:hAnsi="Times New Roman" w:cs="Times New Roman"/>
          <w:sz w:val="24"/>
          <w:szCs w:val="24"/>
        </w:rPr>
        <w:t xml:space="preserve"> com 24 alunos(a) de nutrição</w:t>
      </w:r>
      <w:r w:rsidR="00C74465" w:rsidRPr="003D5577">
        <w:rPr>
          <w:rFonts w:ascii="Times New Roman" w:hAnsi="Times New Roman" w:cs="Times New Roman"/>
          <w:sz w:val="24"/>
          <w:szCs w:val="24"/>
        </w:rPr>
        <w:t xml:space="preserve"> </w:t>
      </w:r>
      <w:r w:rsidR="005655BA">
        <w:rPr>
          <w:rFonts w:ascii="Times New Roman" w:hAnsi="Times New Roman" w:cs="Times New Roman"/>
          <w:sz w:val="24"/>
          <w:szCs w:val="24"/>
        </w:rPr>
        <w:t>entre 18 a 29 anos</w:t>
      </w:r>
      <w:r w:rsidR="00024CA9">
        <w:rPr>
          <w:rFonts w:ascii="Times New Roman" w:hAnsi="Times New Roman" w:cs="Times New Roman"/>
          <w:sz w:val="24"/>
          <w:szCs w:val="24"/>
        </w:rPr>
        <w:t>.</w:t>
      </w:r>
      <w:r w:rsidR="00492631">
        <w:rPr>
          <w:rFonts w:ascii="Times New Roman" w:hAnsi="Times New Roman" w:cs="Times New Roman"/>
          <w:sz w:val="24"/>
          <w:szCs w:val="24"/>
        </w:rPr>
        <w:t xml:space="preserve"> </w:t>
      </w:r>
      <w:r w:rsidR="00E576B4">
        <w:rPr>
          <w:rFonts w:ascii="Times New Roman" w:hAnsi="Times New Roman" w:cs="Times New Roman"/>
          <w:sz w:val="24"/>
          <w:szCs w:val="24"/>
        </w:rPr>
        <w:t>Métodos; Índice de massa corpora</w:t>
      </w:r>
      <w:r w:rsidR="00C74465" w:rsidRPr="003D5577">
        <w:rPr>
          <w:rFonts w:ascii="Times New Roman" w:hAnsi="Times New Roman" w:cs="Times New Roman"/>
          <w:sz w:val="24"/>
          <w:szCs w:val="24"/>
        </w:rPr>
        <w:t xml:space="preserve"> de </w:t>
      </w:r>
      <w:r w:rsidR="00C66464" w:rsidRPr="003D5577">
        <w:rPr>
          <w:rFonts w:ascii="Times New Roman" w:hAnsi="Times New Roman" w:cs="Times New Roman"/>
          <w:sz w:val="24"/>
          <w:szCs w:val="24"/>
        </w:rPr>
        <w:t>a</w:t>
      </w:r>
      <w:r w:rsidR="00C74465" w:rsidRPr="003D5577">
        <w:rPr>
          <w:rFonts w:ascii="Times New Roman" w:hAnsi="Times New Roman" w:cs="Times New Roman"/>
          <w:sz w:val="24"/>
          <w:szCs w:val="24"/>
        </w:rPr>
        <w:t>cordo com</w:t>
      </w:r>
      <w:r w:rsidR="00E576B4">
        <w:rPr>
          <w:rFonts w:ascii="Times New Roman" w:hAnsi="Times New Roman" w:cs="Times New Roman"/>
          <w:sz w:val="24"/>
          <w:szCs w:val="24"/>
        </w:rPr>
        <w:t xml:space="preserve"> normas da organização mundial de saúde</w:t>
      </w:r>
      <w:r w:rsidR="00C74465" w:rsidRPr="003D5577">
        <w:rPr>
          <w:rFonts w:ascii="Times New Roman" w:hAnsi="Times New Roman" w:cs="Times New Roman"/>
          <w:sz w:val="24"/>
          <w:szCs w:val="24"/>
        </w:rPr>
        <w:t xml:space="preserve">, </w:t>
      </w:r>
      <w:r w:rsidR="00492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C66464" w:rsidRPr="003D55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ferições das dobras cutâneas e circunferências</w:t>
      </w:r>
      <w:r w:rsidR="00E576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 cintura e quadril. Sendo</w:t>
      </w:r>
      <w:r w:rsidR="00C66464" w:rsidRPr="003D55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parti dos equipamentos; fita métrica, adipômetro, balança digital e antropométrica.</w:t>
      </w:r>
      <w:r w:rsidR="002035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Cálculos;</w:t>
      </w:r>
      <w:r w:rsidR="00ED5B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relação quadril cintura</w:t>
      </w:r>
      <w:r w:rsidR="002035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1F674D" w:rsidRPr="003D55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IMC, e o valor</w:t>
      </w:r>
      <w:r w:rsidR="00242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bookmarkStart w:id="0" w:name="_GoBack"/>
      <w:bookmarkEnd w:id="0"/>
      <w:r w:rsidR="001F674D" w:rsidRPr="003D55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 aferição circunferência da cintura.</w:t>
      </w:r>
      <w:r w:rsidR="00C66464" w:rsidRPr="003D55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RESULTADOS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Í</w:t>
      </w:r>
      <w:r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ndice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massa corporal</w:t>
      </w:r>
      <w:r w:rsidR="00EF5E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37,5% </w:t>
      </w:r>
      <w:r w:rsidR="00EF5E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dos alunos 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estavam em estad</w:t>
      </w:r>
      <w:r w:rsidR="000531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de sobrepeso e os 62,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5%</w:t>
      </w:r>
      <w:r w:rsidR="00EF5E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restantes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eutróficos. Circunferência </w:t>
      </w:r>
      <w:r w:rsidR="005655BA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cintura</w:t>
      </w:r>
      <w:r w:rsidR="00EF5E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5655BA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todos fora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risco. Dobras cutâneas</w:t>
      </w:r>
      <w:r w:rsidR="00EF5E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5655BA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43% </w:t>
      </w:r>
      <w:r w:rsidR="005655BA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 risco moderado e 57%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fora de risco. Relação </w:t>
      </w:r>
      <w:r w:rsidR="005655BA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quadril cintura</w:t>
      </w:r>
      <w:r w:rsidR="00B607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33,3% baixo</w:t>
      </w:r>
      <w:r w:rsidR="005655BA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risco e</w:t>
      </w:r>
      <w:r w:rsidR="00024CA9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66,6% risco </w:t>
      </w:r>
      <w:r w:rsidR="00B14EA6" w:rsidRPr="005655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moderado.</w:t>
      </w:r>
      <w:r w:rsidR="00B14E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CONCLUSÃO</w:t>
      </w:r>
      <w:r w:rsidR="0079676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796763" w:rsidRP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Sabe-se que as doenças crônicas não transmissíveis estão relacionadas a diversos fatores, como principais os biológicos e os hábitos de vida.  Esses métodos antropométricos são utilizados para diagnosticar doenças especificas</w:t>
      </w:r>
      <w:r w:rsidR="00847F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002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47F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47F6E" w:rsidRP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Foi</w:t>
      </w:r>
      <w:r w:rsidR="00796763" w:rsidRP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152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visto que</w:t>
      </w:r>
      <w:r w:rsidR="00796763" w:rsidRP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diferentes </w:t>
      </w:r>
      <w:r w:rsidR="00796763" w:rsidRP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métodos diagnosticaram diferentes riscos e tipos de </w:t>
      </w:r>
      <w:r w:rsid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patologias</w:t>
      </w:r>
      <w:r w:rsidR="00796763" w:rsidRP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Cada método</w:t>
      </w:r>
      <w:r w:rsidR="00847F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antropométrico é</w:t>
      </w:r>
      <w:r w:rsidR="00796763" w:rsidRP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necessário e útil </w:t>
      </w:r>
      <w:r w:rsidR="00847F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</w:t>
      </w:r>
      <w:r w:rsidR="00796763" w:rsidRP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 diagnóstico de doenças</w:t>
      </w:r>
      <w:r w:rsidR="00847F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não transmissíveis</w:t>
      </w:r>
      <w:r w:rsidR="00796763" w:rsidRPr="0079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bem elaborado</w:t>
      </w:r>
      <w:r w:rsidR="002035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10B91" w:rsidRPr="00B10B91">
        <w:rPr>
          <w:rFonts w:ascii="Verdana" w:hAnsi="Verdana"/>
          <w:b/>
          <w:color w:val="222222"/>
          <w:sz w:val="21"/>
          <w:szCs w:val="21"/>
          <w:shd w:val="clear" w:color="auto" w:fill="FFFFFF"/>
        </w:rPr>
        <w:t xml:space="preserve"> </w:t>
      </w:r>
      <w:r w:rsidR="00B10B91" w:rsidRPr="00671A4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REFERÊNCIAS</w:t>
      </w:r>
      <w:r w:rsidR="00B10B91" w:rsidRPr="00671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71A41" w:rsidRPr="00671A41">
        <w:rPr>
          <w:rFonts w:ascii="Times New Roman" w:hAnsi="Times New Roman" w:cs="Times New Roman"/>
          <w:sz w:val="24"/>
          <w:szCs w:val="24"/>
        </w:rPr>
        <w:t xml:space="preserve">Ambulatorial e Hospitalar - Nutrição - Nutrição Clínica no Adulto - 3ª Ed. 2014 - Lilian </w:t>
      </w:r>
      <w:proofErr w:type="spellStart"/>
      <w:r w:rsidR="00671A41" w:rsidRPr="00671A41">
        <w:rPr>
          <w:rFonts w:ascii="Times New Roman" w:hAnsi="Times New Roman" w:cs="Times New Roman"/>
          <w:sz w:val="24"/>
          <w:szCs w:val="24"/>
        </w:rPr>
        <w:t>Cuppari</w:t>
      </w:r>
      <w:proofErr w:type="spellEnd"/>
      <w:r w:rsidR="00671A41" w:rsidRPr="00671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A41" w:rsidRPr="00671A41" w:rsidRDefault="00671A41" w:rsidP="00671A41">
      <w:pPr>
        <w:spacing w:after="0"/>
        <w:ind w:left="1417" w:right="1134"/>
        <w:jc w:val="both"/>
        <w:rPr>
          <w:rFonts w:ascii="Times New Roman" w:hAnsi="Times New Roman" w:cs="Times New Roman"/>
          <w:sz w:val="24"/>
          <w:szCs w:val="24"/>
        </w:rPr>
      </w:pPr>
      <w:r w:rsidRPr="00671A41">
        <w:rPr>
          <w:rFonts w:ascii="Times New Roman" w:hAnsi="Times New Roman" w:cs="Times New Roman"/>
          <w:sz w:val="24"/>
          <w:szCs w:val="24"/>
        </w:rPr>
        <w:t>ALMEIDA FILHO, N; BARRETO, ML. Epidemiologia &amp; Saúde. Rio de Janeiro: Guanabara Koogan, 2013. 699 p.</w:t>
      </w:r>
    </w:p>
    <w:p w:rsidR="00671A41" w:rsidRPr="00671A41" w:rsidRDefault="00671A41" w:rsidP="00671A41">
      <w:pPr>
        <w:spacing w:after="0"/>
        <w:ind w:left="1417" w:righ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1A41">
        <w:rPr>
          <w:rFonts w:ascii="Times New Roman" w:hAnsi="Times New Roman" w:cs="Times New Roman"/>
          <w:sz w:val="24"/>
          <w:szCs w:val="24"/>
        </w:rPr>
        <w:t>BONITA, R; BEAGLEHOLE, R; KJELLSTROM, T. Epidemiologia Básica. 2ª Ed. São Paulo: Ed. Santos, 2013. 175p.</w:t>
      </w:r>
    </w:p>
    <w:p w:rsidR="00671A41" w:rsidRPr="00671A41" w:rsidRDefault="00671A41" w:rsidP="00671A41">
      <w:pPr>
        <w:spacing w:after="0"/>
        <w:ind w:left="1417" w:righ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1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CUPPARI, L. </w:t>
      </w:r>
      <w:hyperlink r:id="rId4" w:tooltip="Nutrição" w:history="1">
        <w:r w:rsidRPr="009A58EB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Nutrição</w:t>
        </w:r>
      </w:hyperlink>
      <w:r w:rsidRPr="00671A4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clínica no adulto</w:t>
      </w:r>
      <w:r w:rsidRPr="00671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151-163, 2009.</w:t>
      </w:r>
    </w:p>
    <w:p w:rsidR="00B10B91" w:rsidRPr="00671A41" w:rsidRDefault="00B10B91" w:rsidP="00DE2908">
      <w:pPr>
        <w:spacing w:after="0"/>
        <w:ind w:left="1417" w:righ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1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Literatura Internacional em Ciências da Saúde (</w:t>
      </w:r>
      <w:proofErr w:type="spellStart"/>
      <w:r w:rsidRPr="00671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PubMed</w:t>
      </w:r>
      <w:proofErr w:type="spellEnd"/>
      <w:r w:rsidRPr="00671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671A41" w:rsidRPr="00671A41" w:rsidRDefault="00B10B91" w:rsidP="00DE2908">
      <w:pPr>
        <w:spacing w:after="0"/>
        <w:ind w:left="1417" w:right="1134"/>
        <w:jc w:val="both"/>
        <w:rPr>
          <w:rFonts w:ascii="Times New Roman" w:hAnsi="Times New Roman" w:cs="Times New Roman"/>
          <w:sz w:val="24"/>
          <w:szCs w:val="24"/>
        </w:rPr>
      </w:pPr>
      <w:r w:rsidRPr="00671A41">
        <w:rPr>
          <w:rFonts w:ascii="Times New Roman" w:hAnsi="Times New Roman" w:cs="Times New Roman"/>
          <w:sz w:val="24"/>
          <w:szCs w:val="24"/>
        </w:rPr>
        <w:t xml:space="preserve">CUPPARI, Lílian. Nutrição Clínica no Adulto. Guias de Medicina </w:t>
      </w:r>
    </w:p>
    <w:p w:rsidR="00671A41" w:rsidRPr="00671A41" w:rsidRDefault="00671A41" w:rsidP="00671A41">
      <w:pPr>
        <w:spacing w:after="0"/>
        <w:ind w:left="1417" w:righ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1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MAHAN, L.K.; ESCOTT-STUMP, S. </w:t>
      </w:r>
      <w:proofErr w:type="spellStart"/>
      <w:r w:rsidRPr="00671A4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Krause</w:t>
      </w:r>
      <w:proofErr w:type="spellEnd"/>
      <w:r w:rsidRPr="00671A4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Alimentos, Nutrição e </w:t>
      </w:r>
      <w:proofErr w:type="spellStart"/>
      <w:r w:rsidRPr="00671A4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Dietoterapia</w:t>
      </w:r>
      <w:proofErr w:type="spellEnd"/>
      <w:r w:rsidRPr="00671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758- 760, 10 ed. Roca, 2010.</w:t>
      </w:r>
    </w:p>
    <w:p w:rsidR="00671A41" w:rsidRPr="00671A41" w:rsidRDefault="00671A41" w:rsidP="00DE2908">
      <w:pPr>
        <w:spacing w:after="0"/>
        <w:ind w:left="1417" w:right="1134"/>
        <w:jc w:val="both"/>
        <w:rPr>
          <w:sz w:val="24"/>
          <w:szCs w:val="24"/>
        </w:rPr>
      </w:pPr>
    </w:p>
    <w:p w:rsidR="00671A41" w:rsidRDefault="00671A41" w:rsidP="00DE2908">
      <w:pPr>
        <w:spacing w:after="0"/>
        <w:ind w:left="1417" w:right="1134"/>
        <w:jc w:val="both"/>
      </w:pPr>
    </w:p>
    <w:p w:rsidR="005A74BA" w:rsidRPr="001C3345" w:rsidRDefault="005A74BA" w:rsidP="00DE2908">
      <w:pPr>
        <w:spacing w:after="0"/>
        <w:ind w:left="1417" w:righ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F5EEE" w:rsidRDefault="00EF5EEE" w:rsidP="00EF5EEE"/>
    <w:p w:rsidR="00EF5EEE" w:rsidRPr="00796763" w:rsidRDefault="00EF5EEE" w:rsidP="00796763">
      <w:pPr>
        <w:spacing w:after="0"/>
        <w:ind w:left="1417" w:right="113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13398" w:rsidRPr="001C3345" w:rsidRDefault="001C3345" w:rsidP="001C3345">
      <w:pPr>
        <w:ind w:left="1417" w:right="1134"/>
        <w:rPr>
          <w:rFonts w:ascii="Times New Roman" w:hAnsi="Times New Roman" w:cs="Times New Roman"/>
        </w:rPr>
      </w:pPr>
      <w:r w:rsidRPr="001C3345">
        <w:rPr>
          <w:rFonts w:ascii="Times New Roman" w:hAnsi="Times New Roman" w:cs="Times New Roman"/>
          <w:b/>
        </w:rPr>
        <w:t>PALAVRAS CHAVE</w:t>
      </w:r>
      <w:r w:rsidR="004D7A02">
        <w:rPr>
          <w:rFonts w:ascii="Times New Roman" w:hAnsi="Times New Roman" w:cs="Times New Roman"/>
        </w:rPr>
        <w:t xml:space="preserve"> MÉTODOS ANTROPOMÉ</w:t>
      </w:r>
      <w:r w:rsidRPr="001C3345">
        <w:rPr>
          <w:rFonts w:ascii="Times New Roman" w:hAnsi="Times New Roman" w:cs="Times New Roman"/>
        </w:rPr>
        <w:t>TRICOS, DIAGNOSTICO</w:t>
      </w:r>
      <w:r w:rsidR="00B14EA6">
        <w:rPr>
          <w:rFonts w:ascii="Times New Roman" w:hAnsi="Times New Roman" w:cs="Times New Roman"/>
        </w:rPr>
        <w:t>, DIVERSIDADE.</w:t>
      </w:r>
    </w:p>
    <w:p w:rsidR="005A7E1C" w:rsidRDefault="005A7E1C"/>
    <w:p w:rsidR="005A7E1C" w:rsidRDefault="00503E42">
      <w:r>
        <w:t xml:space="preserve"> </w:t>
      </w:r>
    </w:p>
    <w:p w:rsidR="00796763" w:rsidRDefault="00796763"/>
    <w:sectPr w:rsidR="00796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27"/>
    <w:rsid w:val="00015235"/>
    <w:rsid w:val="00024CA9"/>
    <w:rsid w:val="00046CFE"/>
    <w:rsid w:val="0005317C"/>
    <w:rsid w:val="000A4D08"/>
    <w:rsid w:val="00100215"/>
    <w:rsid w:val="0012411E"/>
    <w:rsid w:val="001303A2"/>
    <w:rsid w:val="001C3345"/>
    <w:rsid w:val="001F674D"/>
    <w:rsid w:val="002035A6"/>
    <w:rsid w:val="002429B6"/>
    <w:rsid w:val="002501CC"/>
    <w:rsid w:val="0027074B"/>
    <w:rsid w:val="003B0924"/>
    <w:rsid w:val="003D5577"/>
    <w:rsid w:val="00492631"/>
    <w:rsid w:val="004D7A02"/>
    <w:rsid w:val="00503E42"/>
    <w:rsid w:val="005655BA"/>
    <w:rsid w:val="005668D7"/>
    <w:rsid w:val="005979BA"/>
    <w:rsid w:val="005A74BA"/>
    <w:rsid w:val="005A7E1C"/>
    <w:rsid w:val="006223E6"/>
    <w:rsid w:val="00671A41"/>
    <w:rsid w:val="0069780D"/>
    <w:rsid w:val="00796763"/>
    <w:rsid w:val="00847F6E"/>
    <w:rsid w:val="00891E4D"/>
    <w:rsid w:val="00900DFA"/>
    <w:rsid w:val="009A58EB"/>
    <w:rsid w:val="009C6EE8"/>
    <w:rsid w:val="009E4CF7"/>
    <w:rsid w:val="009F1DC8"/>
    <w:rsid w:val="00A57028"/>
    <w:rsid w:val="00B10B91"/>
    <w:rsid w:val="00B14EA6"/>
    <w:rsid w:val="00B30C1C"/>
    <w:rsid w:val="00B60753"/>
    <w:rsid w:val="00B6422F"/>
    <w:rsid w:val="00C170A0"/>
    <w:rsid w:val="00C26955"/>
    <w:rsid w:val="00C66464"/>
    <w:rsid w:val="00C74465"/>
    <w:rsid w:val="00D77574"/>
    <w:rsid w:val="00D77FEB"/>
    <w:rsid w:val="00DA11C3"/>
    <w:rsid w:val="00DB56CC"/>
    <w:rsid w:val="00DE2908"/>
    <w:rsid w:val="00E11687"/>
    <w:rsid w:val="00E13398"/>
    <w:rsid w:val="00E576B4"/>
    <w:rsid w:val="00E755FB"/>
    <w:rsid w:val="00ED5BC8"/>
    <w:rsid w:val="00EF5EEE"/>
    <w:rsid w:val="00F13C11"/>
    <w:rsid w:val="00F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BD24A-3E38-4756-A032-55E81346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3C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13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ucleodoconhecimento.com.br/nutri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soares</dc:creator>
  <cp:keywords/>
  <dc:description/>
  <cp:lastModifiedBy>filipe soares</cp:lastModifiedBy>
  <cp:revision>32</cp:revision>
  <dcterms:created xsi:type="dcterms:W3CDTF">2019-10-09T02:26:00Z</dcterms:created>
  <dcterms:modified xsi:type="dcterms:W3CDTF">2019-10-12T21:20:00Z</dcterms:modified>
</cp:coreProperties>
</file>