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860C2" w14:textId="639ADB81" w:rsidR="00981FED" w:rsidRDefault="0078321A">
      <w:pPr>
        <w:spacing w:line="240" w:lineRule="auto"/>
        <w:jc w:val="both"/>
        <w:rPr>
          <w:b/>
          <w:sz w:val="20"/>
          <w:szCs w:val="20"/>
          <w:lang w:val="pt-BR"/>
        </w:rPr>
      </w:pPr>
      <w:r>
        <w:rPr>
          <w:b/>
          <w:sz w:val="20"/>
          <w:szCs w:val="20"/>
        </w:rPr>
        <w:t xml:space="preserve">ARÉA TEMÁTICA: </w:t>
      </w:r>
      <w:r>
        <w:rPr>
          <w:b/>
          <w:sz w:val="20"/>
          <w:szCs w:val="20"/>
          <w:lang w:val="pt-BR"/>
        </w:rPr>
        <w:t>Taxonomia</w:t>
      </w:r>
    </w:p>
    <w:p w14:paraId="04A4E532" w14:textId="46E3C618" w:rsidR="00981FED" w:rsidRDefault="0078321A">
      <w:pPr>
        <w:spacing w:line="240" w:lineRule="auto"/>
        <w:jc w:val="both"/>
        <w:rPr>
          <w:b/>
          <w:sz w:val="20"/>
          <w:szCs w:val="20"/>
          <w:lang w:val="pt-BR"/>
        </w:rPr>
      </w:pPr>
      <w:r>
        <w:rPr>
          <w:b/>
          <w:sz w:val="20"/>
          <w:szCs w:val="20"/>
        </w:rPr>
        <w:t xml:space="preserve">SUBÁREA TEMÁTICA: </w:t>
      </w:r>
      <w:r>
        <w:rPr>
          <w:b/>
          <w:sz w:val="20"/>
          <w:szCs w:val="20"/>
          <w:lang w:val="pt-BR"/>
        </w:rPr>
        <w:t>Vertebrados</w:t>
      </w:r>
    </w:p>
    <w:p w14:paraId="44F96629" w14:textId="77777777" w:rsidR="00981FED" w:rsidRDefault="00981FED">
      <w:pPr>
        <w:spacing w:line="240" w:lineRule="auto"/>
        <w:jc w:val="center"/>
        <w:rPr>
          <w:b/>
          <w:sz w:val="20"/>
          <w:szCs w:val="20"/>
        </w:rPr>
      </w:pPr>
    </w:p>
    <w:p w14:paraId="2ED1192C" w14:textId="3DC83AC2" w:rsidR="00981FED" w:rsidRDefault="0078321A">
      <w:pPr>
        <w:spacing w:line="240" w:lineRule="auto"/>
        <w:jc w:val="center"/>
        <w:rPr>
          <w:rFonts w:eastAsiaTheme="minorEastAsia"/>
          <w:b/>
          <w:sz w:val="20"/>
          <w:szCs w:val="20"/>
          <w:lang w:eastAsia="zh-CN"/>
        </w:rPr>
      </w:pPr>
      <w:r w:rsidRPr="00514E59">
        <w:rPr>
          <w:rFonts w:eastAsia="Times New Roman"/>
          <w:b/>
          <w:color w:val="000000"/>
          <w:sz w:val="20"/>
          <w:szCs w:val="20"/>
          <w:lang w:val="pt-BR"/>
        </w:rPr>
        <w:t>Avifauna da Pimenteira: Primeira Unidade de Conservação Estadual da Caatinga Pernambucana.</w:t>
      </w:r>
    </w:p>
    <w:p w14:paraId="26BF8481" w14:textId="77777777" w:rsidR="00981FED" w:rsidRDefault="00981FED">
      <w:pPr>
        <w:spacing w:line="240" w:lineRule="auto"/>
        <w:jc w:val="center"/>
        <w:rPr>
          <w:rFonts w:eastAsiaTheme="minorEastAsia"/>
          <w:sz w:val="20"/>
          <w:szCs w:val="20"/>
          <w:lang w:eastAsia="zh-CN"/>
        </w:rPr>
      </w:pPr>
    </w:p>
    <w:p w14:paraId="1C4B0256" w14:textId="77777777" w:rsidR="00981FED" w:rsidRDefault="0078321A">
      <w:pPr>
        <w:spacing w:line="240" w:lineRule="auto"/>
        <w:jc w:val="center"/>
        <w:rPr>
          <w:sz w:val="20"/>
          <w:szCs w:val="20"/>
          <w:vertAlign w:val="superscript"/>
          <w:lang w:val="pt-BR"/>
        </w:rPr>
      </w:pPr>
      <w:r>
        <w:rPr>
          <w:sz w:val="20"/>
          <w:szCs w:val="20"/>
        </w:rPr>
        <w:t>Rafael Salú Cavalcante¹, Rodrigo Ferraz Jardim Marques²,</w:t>
      </w:r>
      <w:r>
        <w:rPr>
          <w:sz w:val="20"/>
          <w:szCs w:val="20"/>
          <w:lang w:val="pt-BR"/>
        </w:rPr>
        <w:t xml:space="preserve"> Ângela Maria Mateus Boaventura³,</w:t>
      </w:r>
      <w:r>
        <w:rPr>
          <w:sz w:val="20"/>
          <w:szCs w:val="20"/>
        </w:rPr>
        <w:t xml:space="preserve"> Regina Carolina Ferreira de Souza Gomes</w:t>
      </w:r>
      <w:r>
        <w:rPr>
          <w:sz w:val="20"/>
          <w:szCs w:val="20"/>
          <w:vertAlign w:val="superscript"/>
          <w:lang w:val="pt-BR"/>
        </w:rPr>
        <w:t>4</w:t>
      </w:r>
      <w:r>
        <w:rPr>
          <w:sz w:val="20"/>
          <w:szCs w:val="20"/>
          <w:lang w:val="pt-BR"/>
        </w:rPr>
        <w:t>,</w:t>
      </w:r>
      <w:r>
        <w:t xml:space="preserve"> </w:t>
      </w:r>
      <w:r>
        <w:rPr>
          <w:sz w:val="20"/>
          <w:szCs w:val="20"/>
          <w:lang w:val="pt-BR"/>
        </w:rPr>
        <w:t>Hélio Francisco Leite</w:t>
      </w:r>
      <w:r>
        <w:rPr>
          <w:sz w:val="20"/>
          <w:szCs w:val="20"/>
          <w:vertAlign w:val="superscript"/>
          <w:lang w:val="pt-BR"/>
        </w:rPr>
        <w:t>5</w:t>
      </w:r>
      <w:r>
        <w:rPr>
          <w:rFonts w:eastAsiaTheme="minorEastAsia"/>
          <w:sz w:val="20"/>
          <w:szCs w:val="20"/>
          <w:lang w:eastAsia="zh-CN"/>
        </w:rPr>
        <w:t>,</w:t>
      </w:r>
      <w:r>
        <w:rPr>
          <w:rFonts w:eastAsiaTheme="minorEastAsia"/>
          <w:sz w:val="20"/>
          <w:szCs w:val="20"/>
          <w:lang w:val="pt-BR" w:eastAsia="zh-CN"/>
        </w:rPr>
        <w:t xml:space="preserve"> Gabriel Príncipe Gomes</w:t>
      </w:r>
      <w:r>
        <w:rPr>
          <w:rFonts w:eastAsiaTheme="minorEastAsia"/>
          <w:sz w:val="20"/>
          <w:szCs w:val="20"/>
          <w:vertAlign w:val="superscript"/>
          <w:lang w:val="pt-BR" w:eastAsia="zh-CN"/>
        </w:rPr>
        <w:t>6</w:t>
      </w:r>
      <w:r>
        <w:rPr>
          <w:rFonts w:eastAsiaTheme="minorEastAsia"/>
          <w:sz w:val="20"/>
          <w:szCs w:val="20"/>
          <w:lang w:val="pt-BR" w:eastAsia="zh-CN"/>
        </w:rPr>
        <w:t xml:space="preserve"> A</w:t>
      </w:r>
      <w:r>
        <w:rPr>
          <w:sz w:val="20"/>
          <w:szCs w:val="20"/>
        </w:rPr>
        <w:t>lexandre Mendes Fernandes</w:t>
      </w:r>
      <w:r>
        <w:rPr>
          <w:sz w:val="20"/>
          <w:szCs w:val="20"/>
          <w:vertAlign w:val="superscript"/>
          <w:lang w:val="pt-BR"/>
        </w:rPr>
        <w:t>7</w:t>
      </w:r>
    </w:p>
    <w:p w14:paraId="04A55CEF" w14:textId="77777777" w:rsidR="00981FED" w:rsidRDefault="00981FED">
      <w:pPr>
        <w:spacing w:line="240" w:lineRule="auto"/>
        <w:jc w:val="center"/>
        <w:rPr>
          <w:rFonts w:eastAsiaTheme="minorEastAsia"/>
          <w:sz w:val="20"/>
          <w:szCs w:val="20"/>
          <w:lang w:val="pt-BR" w:eastAsia="zh-CN"/>
        </w:rPr>
      </w:pPr>
    </w:p>
    <w:p w14:paraId="56EAFF6F" w14:textId="77777777" w:rsidR="00981FED" w:rsidRDefault="0078321A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¹ Universidade Federal Rural de Pernambuco (UFRPE),</w:t>
      </w:r>
      <w:r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</w:rPr>
        <w:t>Unidade Acadêmica de Serra Talhada (UAST). E-mail: (</w:t>
      </w:r>
      <w:r>
        <w:rPr>
          <w:rFonts w:eastAsiaTheme="minorEastAsia"/>
          <w:sz w:val="20"/>
          <w:szCs w:val="20"/>
          <w:lang w:eastAsia="zh-CN"/>
        </w:rPr>
        <w:t>R</w:t>
      </w:r>
      <w:r>
        <w:rPr>
          <w:rFonts w:eastAsiaTheme="minorEastAsia"/>
          <w:sz w:val="20"/>
          <w:szCs w:val="20"/>
          <w:lang w:val="pt-BR" w:eastAsia="zh-CN"/>
        </w:rPr>
        <w:t>SC</w:t>
      </w:r>
      <w:r>
        <w:rPr>
          <w:sz w:val="20"/>
          <w:szCs w:val="20"/>
        </w:rPr>
        <w:t xml:space="preserve">) </w:t>
      </w:r>
      <w:r>
        <w:rPr>
          <w:sz w:val="20"/>
          <w:szCs w:val="20"/>
          <w:lang w:val="pt-BR"/>
        </w:rPr>
        <w:t>r</w:t>
      </w:r>
      <w:r>
        <w:rPr>
          <w:sz w:val="20"/>
          <w:szCs w:val="20"/>
        </w:rPr>
        <w:t>afael</w:t>
      </w:r>
      <w:r>
        <w:rPr>
          <w:sz w:val="20"/>
          <w:szCs w:val="20"/>
          <w:lang w:val="pt-BR"/>
        </w:rPr>
        <w:t>.</w:t>
      </w:r>
      <w:proofErr w:type="spellStart"/>
      <w:r>
        <w:rPr>
          <w:sz w:val="20"/>
          <w:szCs w:val="20"/>
          <w:lang w:val="pt-BR"/>
        </w:rPr>
        <w:t>cavalcante</w:t>
      </w:r>
      <w:proofErr w:type="spellEnd"/>
      <w:r>
        <w:rPr>
          <w:sz w:val="20"/>
          <w:szCs w:val="20"/>
        </w:rPr>
        <w:t>@</w:t>
      </w:r>
      <w:r>
        <w:rPr>
          <w:sz w:val="20"/>
          <w:szCs w:val="20"/>
          <w:lang w:val="pt-BR"/>
        </w:rPr>
        <w:t>ufrpe.br</w:t>
      </w:r>
      <w:r>
        <w:rPr>
          <w:sz w:val="20"/>
          <w:szCs w:val="20"/>
        </w:rPr>
        <w:t xml:space="preserve"> </w:t>
      </w:r>
    </w:p>
    <w:p w14:paraId="10563186" w14:textId="77777777" w:rsidR="00981FED" w:rsidRDefault="0078321A">
      <w:pPr>
        <w:spacing w:line="240" w:lineRule="auto"/>
        <w:jc w:val="center"/>
        <w:rPr>
          <w:rFonts w:eastAsiaTheme="minorEastAsia"/>
          <w:sz w:val="20"/>
          <w:szCs w:val="20"/>
          <w:lang w:eastAsia="zh-CN"/>
        </w:rPr>
      </w:pPr>
      <w:r>
        <w:rPr>
          <w:sz w:val="20"/>
          <w:szCs w:val="20"/>
        </w:rPr>
        <w:t xml:space="preserve"> ² Universidade Federal Rural de Pernambuco (UFRPE), Unidade Acadêmica de Serra Talhada (UAST)</w:t>
      </w:r>
      <w:r>
        <w:rPr>
          <w:i/>
          <w:sz w:val="20"/>
          <w:szCs w:val="20"/>
        </w:rPr>
        <w:t xml:space="preserve">. </w:t>
      </w:r>
      <w:r>
        <w:rPr>
          <w:sz w:val="20"/>
          <w:szCs w:val="20"/>
        </w:rPr>
        <w:t>E-mail: (</w:t>
      </w:r>
      <w:r>
        <w:rPr>
          <w:rFonts w:eastAsiaTheme="minorEastAsia"/>
          <w:sz w:val="20"/>
          <w:szCs w:val="20"/>
          <w:lang w:eastAsia="zh-CN"/>
        </w:rPr>
        <w:t>R</w:t>
      </w:r>
      <w:r>
        <w:rPr>
          <w:rFonts w:eastAsiaTheme="minorEastAsia"/>
          <w:sz w:val="20"/>
          <w:szCs w:val="20"/>
          <w:lang w:val="pt-BR" w:eastAsia="zh-CN"/>
        </w:rPr>
        <w:t>FJM</w:t>
      </w:r>
      <w:r>
        <w:rPr>
          <w:sz w:val="20"/>
          <w:szCs w:val="20"/>
        </w:rPr>
        <w:t>) rodrigo.ferraz@cprh.pe.gov.br</w:t>
      </w:r>
    </w:p>
    <w:p w14:paraId="55B6A03E" w14:textId="77777777" w:rsidR="00981FED" w:rsidRDefault="0078321A">
      <w:pPr>
        <w:spacing w:line="240" w:lineRule="auto"/>
        <w:jc w:val="center"/>
        <w:rPr>
          <w:rFonts w:eastAsiaTheme="minorEastAsia"/>
          <w:sz w:val="20"/>
          <w:szCs w:val="20"/>
          <w:lang w:val="pt-BR" w:eastAsia="zh-CN"/>
        </w:rPr>
      </w:pPr>
      <w:r>
        <w:rPr>
          <w:sz w:val="20"/>
          <w:szCs w:val="20"/>
          <w:vertAlign w:val="superscript"/>
          <w:lang w:val="pt-BR"/>
        </w:rPr>
        <w:t xml:space="preserve">3 </w:t>
      </w:r>
      <w:r>
        <w:rPr>
          <w:sz w:val="20"/>
          <w:szCs w:val="20"/>
        </w:rPr>
        <w:t>Universidade Federal Rural de Pernambuco (UFRPE), Unidade Acadêmica de Serra Talhada (UAST)</w:t>
      </w:r>
      <w:r>
        <w:rPr>
          <w:i/>
          <w:sz w:val="20"/>
          <w:szCs w:val="20"/>
        </w:rPr>
        <w:t xml:space="preserve">. </w:t>
      </w:r>
      <w:r>
        <w:rPr>
          <w:sz w:val="20"/>
          <w:szCs w:val="20"/>
        </w:rPr>
        <w:t>E-mail: (</w:t>
      </w:r>
      <w:r>
        <w:rPr>
          <w:rFonts w:eastAsiaTheme="minorEastAsia"/>
          <w:sz w:val="20"/>
          <w:szCs w:val="20"/>
          <w:lang w:eastAsia="zh-CN"/>
        </w:rPr>
        <w:t>A</w:t>
      </w:r>
      <w:r>
        <w:rPr>
          <w:rFonts w:eastAsiaTheme="minorEastAsia"/>
          <w:sz w:val="20"/>
          <w:szCs w:val="20"/>
          <w:lang w:val="pt-BR" w:eastAsia="zh-CN"/>
        </w:rPr>
        <w:t>MMB</w:t>
      </w:r>
      <w:r>
        <w:rPr>
          <w:sz w:val="20"/>
          <w:szCs w:val="20"/>
        </w:rPr>
        <w:t>)</w:t>
      </w:r>
      <w:r>
        <w:rPr>
          <w:sz w:val="20"/>
          <w:szCs w:val="20"/>
          <w:lang w:val="pt-BR"/>
        </w:rPr>
        <w:t xml:space="preserve"> angela.boaventura@ufrpe.br</w:t>
      </w:r>
    </w:p>
    <w:p w14:paraId="5A2E5E10" w14:textId="77777777" w:rsidR="00981FED" w:rsidRDefault="0078321A">
      <w:pPr>
        <w:spacing w:line="240" w:lineRule="auto"/>
        <w:jc w:val="center"/>
        <w:rPr>
          <w:rFonts w:eastAsiaTheme="minorEastAsia"/>
          <w:sz w:val="20"/>
          <w:szCs w:val="20"/>
          <w:lang w:eastAsia="zh-CN"/>
        </w:rPr>
      </w:pPr>
      <w:r>
        <w:rPr>
          <w:sz w:val="20"/>
          <w:szCs w:val="20"/>
          <w:vertAlign w:val="superscript"/>
          <w:lang w:val="pt-BR"/>
        </w:rPr>
        <w:t>4</w:t>
      </w:r>
      <w:r>
        <w:rPr>
          <w:sz w:val="20"/>
          <w:szCs w:val="20"/>
        </w:rPr>
        <w:t>Universidade Federal Rural de Pernambuco (UFRPE), Unidade Acadêmica de Serra Talhada (UAST)</w:t>
      </w:r>
      <w:r>
        <w:rPr>
          <w:i/>
          <w:sz w:val="20"/>
          <w:szCs w:val="20"/>
        </w:rPr>
        <w:t xml:space="preserve">. </w:t>
      </w:r>
      <w:r>
        <w:rPr>
          <w:sz w:val="20"/>
          <w:szCs w:val="20"/>
        </w:rPr>
        <w:t>E-mail: (</w:t>
      </w:r>
      <w:r>
        <w:rPr>
          <w:rFonts w:eastAsiaTheme="minorEastAsia"/>
          <w:sz w:val="20"/>
          <w:szCs w:val="20"/>
          <w:lang w:eastAsia="zh-CN"/>
        </w:rPr>
        <w:t>R</w:t>
      </w:r>
      <w:r>
        <w:rPr>
          <w:rFonts w:eastAsiaTheme="minorEastAsia"/>
          <w:sz w:val="20"/>
          <w:szCs w:val="20"/>
          <w:lang w:val="pt-BR" w:eastAsia="zh-CN"/>
        </w:rPr>
        <w:t>CFSG</w:t>
      </w:r>
      <w:r>
        <w:rPr>
          <w:sz w:val="20"/>
          <w:szCs w:val="20"/>
        </w:rPr>
        <w:t xml:space="preserve">) </w:t>
      </w:r>
      <w:r>
        <w:rPr>
          <w:rFonts w:eastAsiaTheme="minorEastAsia"/>
          <w:sz w:val="20"/>
          <w:szCs w:val="20"/>
          <w:lang w:eastAsia="zh-CN"/>
        </w:rPr>
        <w:t>regina_carolina@hotmail.com</w:t>
      </w:r>
    </w:p>
    <w:p w14:paraId="3FDB6919" w14:textId="77777777" w:rsidR="00981FED" w:rsidRDefault="0078321A">
      <w:pPr>
        <w:spacing w:line="240" w:lineRule="auto"/>
        <w:jc w:val="center"/>
        <w:rPr>
          <w:rFonts w:eastAsiaTheme="minorEastAsia"/>
          <w:sz w:val="20"/>
          <w:szCs w:val="20"/>
          <w:lang w:eastAsia="zh-CN"/>
        </w:rPr>
      </w:pPr>
      <w:r>
        <w:rPr>
          <w:sz w:val="20"/>
          <w:szCs w:val="20"/>
          <w:vertAlign w:val="superscript"/>
          <w:lang w:val="pt-BR"/>
        </w:rPr>
        <w:t>5</w:t>
      </w:r>
      <w:r>
        <w:rPr>
          <w:sz w:val="20"/>
          <w:szCs w:val="20"/>
        </w:rPr>
        <w:t xml:space="preserve">E-mail: </w:t>
      </w:r>
      <w:r>
        <w:rPr>
          <w:rFonts w:eastAsiaTheme="minorEastAsia"/>
          <w:sz w:val="20"/>
          <w:szCs w:val="20"/>
          <w:lang w:val="pt-BR" w:eastAsia="zh-CN"/>
        </w:rPr>
        <w:t xml:space="preserve">(HFL) </w:t>
      </w:r>
      <w:r>
        <w:rPr>
          <w:rFonts w:eastAsiaTheme="minorEastAsia"/>
          <w:sz w:val="20"/>
          <w:szCs w:val="20"/>
          <w:lang w:eastAsia="zh-CN"/>
        </w:rPr>
        <w:t>poetahelioleite@hotmail.com</w:t>
      </w:r>
    </w:p>
    <w:p w14:paraId="5F5BC364" w14:textId="77777777" w:rsidR="00981FED" w:rsidRDefault="0078321A">
      <w:pPr>
        <w:spacing w:line="240" w:lineRule="auto"/>
        <w:jc w:val="center"/>
      </w:pPr>
      <w:r>
        <w:rPr>
          <w:sz w:val="20"/>
          <w:szCs w:val="20"/>
          <w:vertAlign w:val="superscript"/>
          <w:lang w:val="pt-BR"/>
        </w:rPr>
        <w:t>6</w:t>
      </w:r>
      <w:r>
        <w:rPr>
          <w:sz w:val="20"/>
          <w:szCs w:val="20"/>
        </w:rPr>
        <w:t xml:space="preserve">Universidade Federal de Pernambuco (UFPE), </w:t>
      </w:r>
      <w:r>
        <w:rPr>
          <w:sz w:val="20"/>
          <w:szCs w:val="20"/>
          <w:lang w:val="pt-BR"/>
        </w:rPr>
        <w:t>Recife</w:t>
      </w:r>
      <w:r>
        <w:rPr>
          <w:i/>
          <w:sz w:val="20"/>
          <w:szCs w:val="20"/>
        </w:rPr>
        <w:t xml:space="preserve">. </w:t>
      </w:r>
      <w:r>
        <w:rPr>
          <w:sz w:val="20"/>
          <w:szCs w:val="20"/>
        </w:rPr>
        <w:t>E-mail:(</w:t>
      </w:r>
      <w:r>
        <w:rPr>
          <w:rFonts w:eastAsiaTheme="minorEastAsia"/>
          <w:sz w:val="20"/>
          <w:szCs w:val="20"/>
          <w:lang w:val="pt-BR" w:eastAsia="zh-CN"/>
        </w:rPr>
        <w:t>GPG</w:t>
      </w:r>
      <w:r>
        <w:rPr>
          <w:sz w:val="20"/>
          <w:szCs w:val="20"/>
        </w:rPr>
        <w:t xml:space="preserve">) </w:t>
      </w:r>
      <w:r>
        <w:t>gabriel.principe@ufpe.br</w:t>
      </w:r>
    </w:p>
    <w:p w14:paraId="5E63AEF7" w14:textId="77777777" w:rsidR="00981FED" w:rsidRDefault="0078321A">
      <w:pPr>
        <w:spacing w:line="240" w:lineRule="auto"/>
        <w:jc w:val="center"/>
        <w:rPr>
          <w:rFonts w:eastAsiaTheme="minorEastAsia"/>
          <w:sz w:val="20"/>
          <w:szCs w:val="20"/>
          <w:lang w:eastAsia="zh-CN"/>
        </w:rPr>
      </w:pPr>
      <w:r>
        <w:rPr>
          <w:sz w:val="20"/>
          <w:szCs w:val="20"/>
          <w:vertAlign w:val="superscript"/>
          <w:lang w:val="pt-BR"/>
        </w:rPr>
        <w:t>7</w:t>
      </w:r>
      <w:r>
        <w:rPr>
          <w:sz w:val="20"/>
          <w:szCs w:val="20"/>
        </w:rPr>
        <w:t>Universidade Federal Rural de Pernambuco (UFRPE), Unidade Acadêmica de Serra Talhada (UAST)</w:t>
      </w:r>
      <w:r>
        <w:rPr>
          <w:i/>
          <w:sz w:val="20"/>
          <w:szCs w:val="20"/>
        </w:rPr>
        <w:t xml:space="preserve">. </w:t>
      </w:r>
      <w:r>
        <w:rPr>
          <w:sz w:val="20"/>
          <w:szCs w:val="20"/>
        </w:rPr>
        <w:t>E-mail: (</w:t>
      </w:r>
      <w:r>
        <w:rPr>
          <w:rFonts w:eastAsiaTheme="minorEastAsia"/>
          <w:sz w:val="20"/>
          <w:szCs w:val="20"/>
          <w:lang w:val="pt-BR" w:eastAsia="zh-CN"/>
        </w:rPr>
        <w:t>AMF</w:t>
      </w:r>
      <w:r>
        <w:rPr>
          <w:sz w:val="20"/>
          <w:szCs w:val="20"/>
        </w:rPr>
        <w:t>) alexandre.mendesfernandes@ufrpe.br</w:t>
      </w:r>
    </w:p>
    <w:p w14:paraId="313C1931" w14:textId="77777777" w:rsidR="00981FED" w:rsidRDefault="00981FED">
      <w:pPr>
        <w:spacing w:line="240" w:lineRule="auto"/>
        <w:jc w:val="center"/>
        <w:rPr>
          <w:rFonts w:eastAsiaTheme="minorEastAsia"/>
          <w:sz w:val="20"/>
          <w:szCs w:val="20"/>
          <w:lang w:eastAsia="zh-CN"/>
        </w:rPr>
      </w:pPr>
    </w:p>
    <w:p w14:paraId="699F3002" w14:textId="77777777" w:rsidR="00981FED" w:rsidRDefault="0078321A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INTRODUÇÃO</w:t>
      </w:r>
    </w:p>
    <w:p w14:paraId="1B01BA4F" w14:textId="178A30F9" w:rsidR="00981FED" w:rsidRDefault="0078321A">
      <w:pPr>
        <w:spacing w:line="240" w:lineRule="auto"/>
        <w:ind w:firstLine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domínio morfoclimático da </w:t>
      </w:r>
      <w:r w:rsidR="000F1ED7">
        <w:rPr>
          <w:color w:val="000000"/>
          <w:sz w:val="20"/>
          <w:szCs w:val="20"/>
          <w:lang w:val="pt-BR"/>
        </w:rPr>
        <w:t>C</w:t>
      </w:r>
      <w:r>
        <w:rPr>
          <w:color w:val="000000"/>
          <w:sz w:val="20"/>
          <w:szCs w:val="20"/>
        </w:rPr>
        <w:t>aatinga tem ocorrência exclusiva no Brasil, e estende-se por cerca de 912.529 km²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entre os estados da região Nordeste e ao </w:t>
      </w:r>
      <w:r>
        <w:rPr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orte do estado de </w:t>
      </w:r>
      <w:r>
        <w:rPr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inas </w:t>
      </w:r>
      <w:r>
        <w:rPr>
          <w:sz w:val="20"/>
          <w:szCs w:val="20"/>
        </w:rPr>
        <w:t>G</w:t>
      </w:r>
      <w:r>
        <w:rPr>
          <w:color w:val="000000"/>
          <w:sz w:val="20"/>
          <w:szCs w:val="20"/>
        </w:rPr>
        <w:t>erais, o que equivale a cerca de 11% do território nacional</w:t>
      </w:r>
      <w:r>
        <w:rPr>
          <w:sz w:val="20"/>
          <w:szCs w:val="20"/>
        </w:rPr>
        <w:t>. C</w:t>
      </w:r>
      <w:r>
        <w:rPr>
          <w:color w:val="000000"/>
          <w:sz w:val="20"/>
          <w:szCs w:val="20"/>
        </w:rPr>
        <w:t>erca de 27 milhões de pessoas estão localizadas nessa área e dependem diretamente dos seus recursos naturais. A paisagem desta região consiste em um mosaico</w:t>
      </w:r>
      <w:r w:rsidR="000F1ED7">
        <w:rPr>
          <w:color w:val="000000"/>
          <w:sz w:val="20"/>
          <w:szCs w:val="20"/>
          <w:lang w:val="pt-BR"/>
        </w:rPr>
        <w:t xml:space="preserve"> de</w:t>
      </w:r>
      <w:r>
        <w:rPr>
          <w:color w:val="000000"/>
          <w:sz w:val="20"/>
          <w:szCs w:val="20"/>
        </w:rPr>
        <w:t xml:space="preserve"> </w:t>
      </w:r>
      <w:r w:rsidR="00EA1DED">
        <w:rPr>
          <w:color w:val="000000"/>
          <w:sz w:val="20"/>
          <w:szCs w:val="20"/>
          <w:lang w:val="pt-BR"/>
        </w:rPr>
        <w:t xml:space="preserve">fitofisionomias </w:t>
      </w:r>
      <w:r w:rsidR="000F1ED7">
        <w:rPr>
          <w:color w:val="000000"/>
          <w:sz w:val="20"/>
          <w:szCs w:val="20"/>
          <w:lang w:val="pt-BR"/>
        </w:rPr>
        <w:t>com</w:t>
      </w:r>
      <w:r>
        <w:rPr>
          <w:color w:val="000000"/>
          <w:sz w:val="20"/>
          <w:szCs w:val="20"/>
        </w:rPr>
        <w:t xml:space="preserve"> arbustos espinhosos, florestas sazonalmente secas e algumas áreas de enclaves de floresta estacional decidual (Leal </w:t>
      </w:r>
      <w:r>
        <w:rPr>
          <w:i/>
          <w:color w:val="000000"/>
          <w:sz w:val="20"/>
          <w:szCs w:val="20"/>
        </w:rPr>
        <w:t>et al</w:t>
      </w:r>
      <w:r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  <w:lang w:val="pt-BR"/>
        </w:rPr>
        <w:t>,</w:t>
      </w:r>
      <w:r>
        <w:rPr>
          <w:color w:val="000000"/>
          <w:sz w:val="20"/>
          <w:szCs w:val="20"/>
        </w:rPr>
        <w:t xml:space="preserve"> 2005; Silva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et al</w:t>
      </w:r>
      <w:r>
        <w:rPr>
          <w:sz w:val="20"/>
          <w:szCs w:val="20"/>
        </w:rPr>
        <w:t xml:space="preserve">., </w:t>
      </w:r>
      <w:r>
        <w:rPr>
          <w:color w:val="000000"/>
          <w:sz w:val="20"/>
          <w:szCs w:val="20"/>
        </w:rPr>
        <w:t>2017). </w:t>
      </w:r>
    </w:p>
    <w:p w14:paraId="2C552CA9" w14:textId="641D84F0" w:rsidR="00981FED" w:rsidRDefault="0078321A">
      <w:pPr>
        <w:spacing w:line="240" w:lineRule="auto"/>
        <w:ind w:firstLine="567"/>
        <w:jc w:val="both"/>
        <w:rPr>
          <w:rFonts w:eastAsiaTheme="minorEastAsia"/>
          <w:color w:val="000000"/>
          <w:sz w:val="20"/>
          <w:szCs w:val="20"/>
          <w:lang w:eastAsia="zh-CN"/>
        </w:rPr>
      </w:pPr>
      <w:r>
        <w:rPr>
          <w:color w:val="000000"/>
          <w:sz w:val="20"/>
          <w:szCs w:val="20"/>
        </w:rPr>
        <w:t xml:space="preserve">Para as aves sul-americanas a </w:t>
      </w:r>
      <w:r w:rsidR="00317A34">
        <w:rPr>
          <w:rFonts w:eastAsiaTheme="minorEastAsia"/>
          <w:color w:val="000000"/>
          <w:sz w:val="20"/>
          <w:szCs w:val="20"/>
          <w:lang w:val="pt-BR" w:eastAsia="zh-CN"/>
        </w:rPr>
        <w:t>C</w:t>
      </w:r>
      <w:r>
        <w:rPr>
          <w:color w:val="000000"/>
          <w:sz w:val="20"/>
          <w:szCs w:val="20"/>
        </w:rPr>
        <w:t xml:space="preserve">aatinga é considerada um importante centro de endemismo, devido ao grande número de ecossistemas encontrados nessa região (Haffer, 1985). Silva </w:t>
      </w:r>
      <w:r>
        <w:rPr>
          <w:i/>
          <w:color w:val="000000"/>
          <w:sz w:val="20"/>
          <w:szCs w:val="20"/>
        </w:rPr>
        <w:t>et al</w:t>
      </w:r>
      <w:r>
        <w:rPr>
          <w:color w:val="000000"/>
          <w:sz w:val="20"/>
          <w:szCs w:val="20"/>
        </w:rPr>
        <w:t>. (2003)</w:t>
      </w:r>
      <w:r>
        <w:rPr>
          <w:color w:val="000000"/>
          <w:sz w:val="20"/>
          <w:szCs w:val="20"/>
          <w:lang w:val="pt-BR"/>
        </w:rPr>
        <w:t xml:space="preserve"> </w:t>
      </w:r>
      <w:r>
        <w:rPr>
          <w:color w:val="000000"/>
          <w:sz w:val="20"/>
          <w:szCs w:val="20"/>
        </w:rPr>
        <w:t xml:space="preserve">documentaram 510 espécies de aves para a </w:t>
      </w:r>
      <w:r w:rsidR="00317A34">
        <w:rPr>
          <w:color w:val="000000"/>
          <w:sz w:val="20"/>
          <w:szCs w:val="20"/>
          <w:lang w:val="pt-BR"/>
        </w:rPr>
        <w:t>C</w:t>
      </w:r>
      <w:r>
        <w:rPr>
          <w:color w:val="000000"/>
          <w:sz w:val="20"/>
          <w:szCs w:val="20"/>
        </w:rPr>
        <w:t>aatinga. Mas, esse número de espécies varia entre outros estudos: Pacheco (2004) reporta 347 espécies,</w:t>
      </w:r>
      <w:r>
        <w:rPr>
          <w:color w:val="000000"/>
          <w:sz w:val="20"/>
          <w:szCs w:val="20"/>
          <w:lang w:val="pt-BR"/>
        </w:rPr>
        <w:t xml:space="preserve"> </w:t>
      </w:r>
      <w:r>
        <w:rPr>
          <w:color w:val="000000"/>
          <w:sz w:val="20"/>
          <w:szCs w:val="20"/>
        </w:rPr>
        <w:t>enquanto Araújo e Silva (2017) 548 espécies de aves; já a revisão feita por Lima (2021) aponta que o domínio abrange</w:t>
      </w:r>
      <w:r w:rsidR="00C27975">
        <w:rPr>
          <w:color w:val="000000"/>
          <w:sz w:val="20"/>
          <w:szCs w:val="20"/>
          <w:lang w:val="pt-BR"/>
        </w:rPr>
        <w:t xml:space="preserve"> apenas</w:t>
      </w:r>
      <w:r>
        <w:rPr>
          <w:color w:val="000000"/>
          <w:sz w:val="20"/>
          <w:szCs w:val="20"/>
        </w:rPr>
        <w:t xml:space="preserve"> 442 espécies, e 13 espécies endêmicas</w:t>
      </w:r>
      <w:r w:rsidR="00532D17">
        <w:rPr>
          <w:color w:val="000000"/>
          <w:sz w:val="20"/>
          <w:szCs w:val="20"/>
          <w:lang w:val="pt-BR"/>
        </w:rPr>
        <w:t xml:space="preserve">. </w:t>
      </w:r>
      <w:r w:rsidR="00C27975">
        <w:rPr>
          <w:color w:val="000000"/>
          <w:sz w:val="20"/>
          <w:szCs w:val="20"/>
          <w:lang w:val="pt-BR"/>
        </w:rPr>
        <w:t>Essa</w:t>
      </w:r>
      <w:r w:rsidR="00514E59">
        <w:rPr>
          <w:color w:val="000000"/>
          <w:sz w:val="20"/>
          <w:szCs w:val="20"/>
          <w:lang w:val="pt-BR"/>
        </w:rPr>
        <w:t xml:space="preserve"> variação</w:t>
      </w:r>
      <w:r w:rsidR="00C27975">
        <w:rPr>
          <w:color w:val="000000"/>
          <w:sz w:val="20"/>
          <w:szCs w:val="20"/>
          <w:lang w:val="pt-BR"/>
        </w:rPr>
        <w:t xml:space="preserve"> </w:t>
      </w:r>
      <w:r w:rsidR="00C4110B">
        <w:rPr>
          <w:color w:val="000000"/>
          <w:sz w:val="20"/>
          <w:szCs w:val="20"/>
          <w:lang w:val="pt-BR"/>
        </w:rPr>
        <w:t>sucede</w:t>
      </w:r>
      <w:r>
        <w:rPr>
          <w:color w:val="000000"/>
          <w:sz w:val="20"/>
          <w:szCs w:val="20"/>
          <w:lang w:val="pt-BR"/>
        </w:rPr>
        <w:t xml:space="preserve"> devid</w:t>
      </w:r>
      <w:r w:rsidR="00514E59">
        <w:rPr>
          <w:color w:val="000000"/>
          <w:sz w:val="20"/>
          <w:szCs w:val="20"/>
          <w:lang w:val="pt-BR"/>
        </w:rPr>
        <w:t>o</w:t>
      </w:r>
      <w:r>
        <w:rPr>
          <w:color w:val="000000"/>
          <w:sz w:val="20"/>
          <w:szCs w:val="20"/>
          <w:lang w:val="pt-BR"/>
        </w:rPr>
        <w:t xml:space="preserve"> </w:t>
      </w:r>
      <w:r w:rsidR="00AB7E05">
        <w:rPr>
          <w:color w:val="000000"/>
          <w:sz w:val="20"/>
          <w:szCs w:val="20"/>
          <w:lang w:val="pt-BR"/>
        </w:rPr>
        <w:t xml:space="preserve">a </w:t>
      </w:r>
      <w:r>
        <w:rPr>
          <w:color w:val="000000"/>
          <w:sz w:val="20"/>
          <w:szCs w:val="20"/>
          <w:lang w:val="pt-BR"/>
        </w:rPr>
        <w:t>não co</w:t>
      </w:r>
      <w:r w:rsidR="00AB7E05">
        <w:rPr>
          <w:color w:val="000000"/>
          <w:sz w:val="20"/>
          <w:szCs w:val="20"/>
          <w:lang w:val="pt-BR"/>
        </w:rPr>
        <w:t>nsideração de</w:t>
      </w:r>
      <w:r>
        <w:rPr>
          <w:color w:val="000000"/>
          <w:sz w:val="20"/>
          <w:szCs w:val="20"/>
          <w:lang w:val="pt-BR"/>
        </w:rPr>
        <w:t xml:space="preserve"> espécies que ocorrem exclusivamente nos enclaves de florestas úmidas, os chamados Brejos de Altitude</w:t>
      </w:r>
      <w:r>
        <w:rPr>
          <w:color w:val="000000"/>
          <w:sz w:val="20"/>
          <w:szCs w:val="20"/>
        </w:rPr>
        <w:t>.</w:t>
      </w:r>
    </w:p>
    <w:p w14:paraId="5A9F1F91" w14:textId="4B50F114" w:rsidR="00981FED" w:rsidRDefault="00C27975" w:rsidP="00C27975">
      <w:pPr>
        <w:spacing w:line="240" w:lineRule="auto"/>
        <w:jc w:val="both"/>
      </w:pPr>
      <w:r>
        <w:rPr>
          <w:rFonts w:eastAsiaTheme="minorEastAsia"/>
          <w:color w:val="000000"/>
          <w:sz w:val="20"/>
          <w:szCs w:val="20"/>
          <w:lang w:eastAsia="zh-CN"/>
        </w:rPr>
        <w:tab/>
      </w:r>
      <w:r>
        <w:rPr>
          <w:color w:val="000000"/>
          <w:sz w:val="20"/>
          <w:szCs w:val="20"/>
        </w:rPr>
        <w:t>O Parque Estadual Mata da Pimenteira</w:t>
      </w:r>
      <w:r>
        <w:rPr>
          <w:color w:val="000000"/>
          <w:sz w:val="20"/>
          <w:szCs w:val="20"/>
          <w:lang w:val="pt-BR"/>
        </w:rPr>
        <w:t xml:space="preserve"> (PEMP)</w:t>
      </w:r>
      <w:r>
        <w:rPr>
          <w:color w:val="000000"/>
          <w:sz w:val="20"/>
          <w:szCs w:val="20"/>
        </w:rPr>
        <w:t xml:space="preserve"> foi a primeira unidade de conservação</w:t>
      </w:r>
      <w:r>
        <w:rPr>
          <w:color w:val="000000"/>
          <w:sz w:val="20"/>
          <w:szCs w:val="20"/>
          <w:lang w:val="pt-BR"/>
        </w:rPr>
        <w:t xml:space="preserve"> estadual</w:t>
      </w:r>
      <w:r>
        <w:rPr>
          <w:color w:val="000000"/>
          <w:sz w:val="20"/>
          <w:szCs w:val="20"/>
        </w:rPr>
        <w:t xml:space="preserve"> criada na </w:t>
      </w:r>
      <w:r w:rsidR="00C4110B">
        <w:rPr>
          <w:color w:val="000000"/>
          <w:sz w:val="20"/>
          <w:szCs w:val="20"/>
          <w:lang w:val="pt-BR"/>
        </w:rPr>
        <w:t>C</w:t>
      </w:r>
      <w:r>
        <w:rPr>
          <w:color w:val="000000"/>
          <w:sz w:val="20"/>
          <w:szCs w:val="20"/>
        </w:rPr>
        <w:t xml:space="preserve">aatinga </w:t>
      </w:r>
      <w:r>
        <w:rPr>
          <w:color w:val="000000"/>
          <w:sz w:val="20"/>
          <w:szCs w:val="20"/>
          <w:lang w:val="pt-BR"/>
        </w:rPr>
        <w:t>pernambucana, estabelecido pelo decreto  N°37.823 de 30 de janeiro de 2012</w:t>
      </w:r>
      <w:r>
        <w:rPr>
          <w:color w:val="000000"/>
          <w:sz w:val="20"/>
          <w:szCs w:val="20"/>
        </w:rPr>
        <w:t xml:space="preserve">. Para que o </w:t>
      </w:r>
      <w:r w:rsidR="00C447C5">
        <w:rPr>
          <w:color w:val="000000"/>
          <w:sz w:val="20"/>
          <w:szCs w:val="20"/>
          <w:lang w:val="pt-BR"/>
        </w:rPr>
        <w:t>p</w:t>
      </w:r>
      <w:r>
        <w:rPr>
          <w:color w:val="000000"/>
          <w:sz w:val="20"/>
          <w:szCs w:val="20"/>
        </w:rPr>
        <w:t xml:space="preserve">arque fosse implementado foi feito um levantamento preliminar de fauna a partir de observações oportunistas, em que foram registradas 53 espécies de aves, distribuídas entre 24 famílias (Santos </w:t>
      </w:r>
      <w:r>
        <w:rPr>
          <w:i/>
          <w:color w:val="000000"/>
          <w:sz w:val="20"/>
          <w:szCs w:val="20"/>
        </w:rPr>
        <w:t>et al</w:t>
      </w:r>
      <w:r>
        <w:rPr>
          <w:color w:val="000000"/>
          <w:sz w:val="20"/>
          <w:szCs w:val="20"/>
        </w:rPr>
        <w:t>., 2013)</w:t>
      </w:r>
      <w:r>
        <w:rPr>
          <w:sz w:val="20"/>
          <w:szCs w:val="20"/>
        </w:rPr>
        <w:t>. E</w:t>
      </w:r>
      <w:r>
        <w:rPr>
          <w:color w:val="000000"/>
          <w:sz w:val="20"/>
          <w:szCs w:val="20"/>
        </w:rPr>
        <w:t xml:space="preserve">ntre as espécies documentadas, o registro mais surpreendente foi do </w:t>
      </w:r>
      <w:r>
        <w:rPr>
          <w:i/>
          <w:color w:val="000000"/>
          <w:sz w:val="20"/>
          <w:szCs w:val="20"/>
        </w:rPr>
        <w:t>Spinus yarrelli</w:t>
      </w:r>
      <w:r w:rsidR="00C17FDF">
        <w:rPr>
          <w:i/>
          <w:color w:val="000000"/>
          <w:sz w:val="20"/>
          <w:szCs w:val="20"/>
          <w:lang w:val="pt-BR"/>
        </w:rPr>
        <w:t>i</w:t>
      </w:r>
      <w:r>
        <w:rPr>
          <w:i/>
          <w:color w:val="000000"/>
          <w:sz w:val="20"/>
          <w:szCs w:val="20"/>
          <w:lang w:val="pt-BR"/>
        </w:rPr>
        <w:t xml:space="preserve"> (</w:t>
      </w:r>
      <w:r>
        <w:rPr>
          <w:color w:val="000000"/>
          <w:sz w:val="20"/>
          <w:szCs w:val="20"/>
        </w:rPr>
        <w:t>pintassilgo-do-nordeste</w:t>
      </w:r>
      <w:r>
        <w:rPr>
          <w:color w:val="000000"/>
          <w:sz w:val="20"/>
          <w:szCs w:val="20"/>
          <w:lang w:val="pt-BR"/>
        </w:rPr>
        <w:t>)</w:t>
      </w:r>
      <w:r>
        <w:rPr>
          <w:i/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 xml:space="preserve">espécie ameaçada de extinção. Esse registro e a localização do </w:t>
      </w:r>
      <w:r w:rsidR="00C447C5">
        <w:rPr>
          <w:color w:val="000000"/>
          <w:sz w:val="20"/>
          <w:szCs w:val="20"/>
          <w:lang w:val="pt-BR"/>
        </w:rPr>
        <w:t>p</w:t>
      </w:r>
      <w:r>
        <w:rPr>
          <w:color w:val="000000"/>
          <w:sz w:val="20"/>
          <w:szCs w:val="20"/>
        </w:rPr>
        <w:t>arque,</w:t>
      </w:r>
      <w:r>
        <w:rPr>
          <w:color w:val="000000"/>
          <w:sz w:val="20"/>
          <w:szCs w:val="20"/>
          <w:lang w:val="pt-BR"/>
        </w:rPr>
        <w:t xml:space="preserve"> que em sua maior parte corresponde a topos de serras de paisagens naturais exuberantes em meio a vegetação e clima da </w:t>
      </w:r>
      <w:r w:rsidR="00C447C5">
        <w:rPr>
          <w:color w:val="000000"/>
          <w:sz w:val="20"/>
          <w:szCs w:val="20"/>
          <w:lang w:val="pt-BR"/>
        </w:rPr>
        <w:t>C</w:t>
      </w:r>
      <w:r>
        <w:rPr>
          <w:color w:val="000000"/>
          <w:sz w:val="20"/>
          <w:szCs w:val="20"/>
          <w:lang w:val="pt-BR"/>
        </w:rPr>
        <w:t xml:space="preserve">aatinga, </w:t>
      </w:r>
      <w:r>
        <w:rPr>
          <w:color w:val="000000"/>
          <w:sz w:val="20"/>
          <w:szCs w:val="20"/>
        </w:rPr>
        <w:t>chama</w:t>
      </w:r>
      <w:proofErr w:type="spellStart"/>
      <w:r w:rsidR="00FD110A">
        <w:rPr>
          <w:color w:val="000000"/>
          <w:sz w:val="20"/>
          <w:szCs w:val="20"/>
          <w:lang w:val="pt-BR"/>
        </w:rPr>
        <w:t>ram</w:t>
      </w:r>
      <w:proofErr w:type="spellEnd"/>
      <w:r>
        <w:rPr>
          <w:color w:val="000000"/>
          <w:sz w:val="20"/>
          <w:szCs w:val="20"/>
        </w:rPr>
        <w:t xml:space="preserve"> a atenção para a necessidade de realizar estudos mais detalhados sobre a avifauna d</w:t>
      </w:r>
      <w:r w:rsidR="00186471">
        <w:rPr>
          <w:color w:val="000000"/>
          <w:sz w:val="20"/>
          <w:szCs w:val="20"/>
          <w:lang w:val="pt-BR"/>
        </w:rPr>
        <w:t>a</w:t>
      </w:r>
      <w:r>
        <w:rPr>
          <w:color w:val="000000"/>
          <w:sz w:val="20"/>
          <w:szCs w:val="20"/>
        </w:rPr>
        <w:t xml:space="preserve"> </w:t>
      </w:r>
      <w:r w:rsidR="00C447C5">
        <w:rPr>
          <w:color w:val="000000"/>
          <w:sz w:val="20"/>
          <w:szCs w:val="20"/>
          <w:lang w:val="pt-BR"/>
        </w:rPr>
        <w:t>unidade</w:t>
      </w:r>
      <w:r w:rsidR="00FD110A">
        <w:rPr>
          <w:color w:val="000000"/>
          <w:sz w:val="20"/>
          <w:szCs w:val="20"/>
          <w:lang w:val="pt-BR"/>
        </w:rPr>
        <w:t>,</w:t>
      </w:r>
      <w:r>
        <w:rPr>
          <w:color w:val="000000"/>
          <w:sz w:val="20"/>
          <w:szCs w:val="20"/>
        </w:rPr>
        <w:t xml:space="preserve"> para que se possa elaborar</w:t>
      </w:r>
      <w:r w:rsidR="00C0360F">
        <w:rPr>
          <w:color w:val="000000"/>
          <w:sz w:val="20"/>
          <w:szCs w:val="20"/>
          <w:lang w:val="pt-BR"/>
        </w:rPr>
        <w:t xml:space="preserve"> </w:t>
      </w:r>
      <w:r w:rsidR="00C17FDF">
        <w:rPr>
          <w:color w:val="000000"/>
          <w:sz w:val="20"/>
          <w:szCs w:val="20"/>
          <w:lang w:val="pt-BR"/>
        </w:rPr>
        <w:t>políticas</w:t>
      </w:r>
      <w:r w:rsidR="00C0360F">
        <w:rPr>
          <w:color w:val="000000"/>
          <w:sz w:val="20"/>
          <w:szCs w:val="20"/>
          <w:lang w:val="pt-BR"/>
        </w:rPr>
        <w:t xml:space="preserve"> públicas de conservação e</w:t>
      </w:r>
      <w:r w:rsidR="00DD163B">
        <w:rPr>
          <w:color w:val="000000"/>
          <w:sz w:val="20"/>
          <w:szCs w:val="20"/>
          <w:lang w:val="pt-BR"/>
        </w:rPr>
        <w:t xml:space="preserve"> novo</w:t>
      </w:r>
      <w:r>
        <w:rPr>
          <w:color w:val="000000"/>
          <w:sz w:val="20"/>
          <w:szCs w:val="20"/>
        </w:rPr>
        <w:t xml:space="preserve"> plano de manejo</w:t>
      </w:r>
      <w:r>
        <w:rPr>
          <w:color w:val="000000"/>
          <w:sz w:val="20"/>
          <w:szCs w:val="20"/>
          <w:lang w:val="pt-BR"/>
        </w:rPr>
        <w:t>.</w:t>
      </w:r>
      <w:r>
        <w:rPr>
          <w:color w:val="000000"/>
          <w:sz w:val="20"/>
          <w:szCs w:val="20"/>
        </w:rPr>
        <w:t xml:space="preserve"> Assim, este estudo teve como objetivo realizar um levantamento da</w:t>
      </w:r>
      <w:r>
        <w:rPr>
          <w:color w:val="000000"/>
          <w:sz w:val="20"/>
          <w:szCs w:val="20"/>
          <w:lang w:val="pt-BR"/>
        </w:rPr>
        <w:t xml:space="preserve"> </w:t>
      </w:r>
      <w:r>
        <w:rPr>
          <w:color w:val="000000"/>
          <w:sz w:val="20"/>
          <w:szCs w:val="20"/>
        </w:rPr>
        <w:t>avifauna do parque com registros documentados por fotos, coletas</w:t>
      </w:r>
      <w:r>
        <w:rPr>
          <w:color w:val="000000"/>
          <w:sz w:val="20"/>
          <w:szCs w:val="20"/>
          <w:lang w:val="pt-BR"/>
        </w:rPr>
        <w:t xml:space="preserve"> de espécime</w:t>
      </w:r>
      <w:r w:rsidR="00236D2C">
        <w:rPr>
          <w:color w:val="000000"/>
          <w:sz w:val="20"/>
          <w:szCs w:val="20"/>
          <w:lang w:val="pt-BR"/>
        </w:rPr>
        <w:t>,</w:t>
      </w:r>
      <w:r>
        <w:rPr>
          <w:color w:val="000000"/>
          <w:sz w:val="20"/>
          <w:szCs w:val="20"/>
        </w:rPr>
        <w:t xml:space="preserve"> gravações de vocalizações</w:t>
      </w:r>
      <w:r w:rsidR="00236D2C">
        <w:rPr>
          <w:color w:val="000000"/>
          <w:sz w:val="20"/>
          <w:szCs w:val="20"/>
          <w:lang w:val="pt-BR"/>
        </w:rPr>
        <w:t xml:space="preserve"> e observaç</w:t>
      </w:r>
      <w:r w:rsidR="00363580">
        <w:rPr>
          <w:color w:val="000000"/>
          <w:sz w:val="20"/>
          <w:szCs w:val="20"/>
          <w:lang w:val="pt-BR"/>
        </w:rPr>
        <w:t>ões</w:t>
      </w:r>
      <w:r w:rsidR="00236D2C">
        <w:rPr>
          <w:color w:val="000000"/>
          <w:sz w:val="20"/>
          <w:szCs w:val="20"/>
          <w:lang w:val="pt-BR"/>
        </w:rPr>
        <w:t xml:space="preserve"> oportunistas</w:t>
      </w:r>
      <w:r>
        <w:rPr>
          <w:color w:val="000000"/>
          <w:sz w:val="20"/>
          <w:szCs w:val="20"/>
        </w:rPr>
        <w:t>.</w:t>
      </w:r>
    </w:p>
    <w:p w14:paraId="258AE527" w14:textId="77777777" w:rsidR="00981FED" w:rsidRDefault="00981FED">
      <w:pPr>
        <w:spacing w:line="240" w:lineRule="auto"/>
        <w:jc w:val="both"/>
        <w:rPr>
          <w:b/>
          <w:sz w:val="20"/>
          <w:szCs w:val="20"/>
        </w:rPr>
      </w:pPr>
    </w:p>
    <w:p w14:paraId="167F7F9E" w14:textId="0E980A2C" w:rsidR="00981FED" w:rsidRDefault="0078321A">
      <w:pPr>
        <w:spacing w:line="240" w:lineRule="auto"/>
        <w:jc w:val="both"/>
        <w:rPr>
          <w:b/>
          <w:i/>
          <w:sz w:val="20"/>
          <w:szCs w:val="20"/>
        </w:rPr>
      </w:pPr>
      <w:r>
        <w:rPr>
          <w:b/>
          <w:sz w:val="20"/>
          <w:szCs w:val="20"/>
        </w:rPr>
        <w:t>MATERIAL E MÉTODOS</w:t>
      </w:r>
    </w:p>
    <w:p w14:paraId="344F9615" w14:textId="77777777" w:rsidR="00981FED" w:rsidRDefault="0078321A">
      <w:pPr>
        <w:spacing w:line="240" w:lineRule="auto"/>
        <w:ind w:firstLine="720"/>
        <w:jc w:val="both"/>
        <w:rPr>
          <w:i/>
          <w:sz w:val="20"/>
          <w:szCs w:val="20"/>
        </w:rPr>
      </w:pPr>
      <w:r>
        <w:rPr>
          <w:color w:val="000000"/>
          <w:sz w:val="20"/>
          <w:szCs w:val="20"/>
        </w:rPr>
        <w:t xml:space="preserve">O PEMP, também conhecido como Mata da Pimenteira, encontra-se em uma propriedade do Instituto Agronômico de Pernambuco (IPA) denominada Fazenda Saco, em Serra Talhada. Ele está situado geograficamente nas coordenadas: 7°53’21”S, 38°18'42"W e 7°57'36”S, 38°17'7"W e sua área total é de 887,24 hectares (Fig.1) (Santos </w:t>
      </w:r>
      <w:r>
        <w:rPr>
          <w:i/>
          <w:color w:val="000000"/>
          <w:sz w:val="20"/>
          <w:szCs w:val="20"/>
        </w:rPr>
        <w:t>et al</w:t>
      </w:r>
      <w:r>
        <w:rPr>
          <w:color w:val="000000"/>
          <w:sz w:val="20"/>
          <w:szCs w:val="20"/>
        </w:rPr>
        <w:t xml:space="preserve">., 2013). </w:t>
      </w:r>
    </w:p>
    <w:p w14:paraId="6C3D7A9E" w14:textId="1A6FB14B" w:rsidR="00981FED" w:rsidRDefault="0078321A">
      <w:pPr>
        <w:spacing w:line="240" w:lineRule="auto"/>
        <w:ind w:firstLine="720"/>
        <w:jc w:val="both"/>
        <w:rPr>
          <w:rFonts w:eastAsiaTheme="minorEastAsia"/>
          <w:color w:val="000000"/>
          <w:sz w:val="20"/>
          <w:szCs w:val="20"/>
          <w:lang w:eastAsia="zh-CN"/>
        </w:rPr>
      </w:pPr>
      <w:bookmarkStart w:id="0" w:name="_heading=h.gjdgxs"/>
      <w:bookmarkEnd w:id="0"/>
      <w:r>
        <w:rPr>
          <w:color w:val="000000"/>
          <w:sz w:val="20"/>
          <w:szCs w:val="20"/>
        </w:rPr>
        <w:lastRenderedPageBreak/>
        <w:t xml:space="preserve">O clima da região seguindo a classificação estabelecida por Köppen é o BSh característico do semiárido quente, apresenta irregularidade de chuvas e precipitação média anual de no máximo 750mm (Alvares </w:t>
      </w:r>
      <w:r>
        <w:rPr>
          <w:i/>
          <w:color w:val="000000"/>
          <w:sz w:val="20"/>
          <w:szCs w:val="20"/>
        </w:rPr>
        <w:t>et al</w:t>
      </w:r>
      <w:r>
        <w:rPr>
          <w:color w:val="000000"/>
          <w:sz w:val="20"/>
          <w:szCs w:val="20"/>
        </w:rPr>
        <w:t xml:space="preserve">., 2013). A vegetação do </w:t>
      </w:r>
      <w:r w:rsidR="00C0360F">
        <w:rPr>
          <w:color w:val="000000"/>
          <w:sz w:val="20"/>
          <w:szCs w:val="20"/>
          <w:lang w:val="pt-BR"/>
        </w:rPr>
        <w:t>p</w:t>
      </w:r>
      <w:r>
        <w:rPr>
          <w:color w:val="000000"/>
          <w:sz w:val="20"/>
          <w:szCs w:val="20"/>
        </w:rPr>
        <w:t xml:space="preserve">arque é predominantemente de </w:t>
      </w:r>
      <w:r w:rsidR="00C0360F">
        <w:rPr>
          <w:color w:val="000000"/>
          <w:sz w:val="20"/>
          <w:szCs w:val="20"/>
          <w:lang w:val="pt-BR"/>
        </w:rPr>
        <w:t>C</w:t>
      </w:r>
      <w:r>
        <w:rPr>
          <w:color w:val="000000"/>
          <w:sz w:val="20"/>
          <w:szCs w:val="20"/>
        </w:rPr>
        <w:t xml:space="preserve">aatinga caducifólia, que tem como características plantas arbóreas e arbustivas resistentes a períodos de estiagem, as matas ciliares se destacam com </w:t>
      </w:r>
      <w:r>
        <w:rPr>
          <w:sz w:val="20"/>
          <w:szCs w:val="20"/>
        </w:rPr>
        <w:t>árvores</w:t>
      </w:r>
      <w:r>
        <w:rPr>
          <w:color w:val="000000"/>
          <w:sz w:val="20"/>
          <w:szCs w:val="20"/>
        </w:rPr>
        <w:t xml:space="preserve"> de porte arbóreo com maior longevidade foliar (Melo</w:t>
      </w:r>
      <w:r w:rsidR="0022272D">
        <w:rPr>
          <w:color w:val="000000"/>
          <w:sz w:val="20"/>
          <w:szCs w:val="20"/>
          <w:lang w:val="pt-BR"/>
        </w:rPr>
        <w:t>,</w:t>
      </w:r>
      <w:r>
        <w:rPr>
          <w:color w:val="000000"/>
          <w:sz w:val="20"/>
          <w:szCs w:val="20"/>
        </w:rPr>
        <w:t xml:space="preserve"> 2013).</w:t>
      </w:r>
    </w:p>
    <w:p w14:paraId="0D95FB2F" w14:textId="77777777" w:rsidR="00981FED" w:rsidRDefault="00981FED">
      <w:pPr>
        <w:spacing w:line="240" w:lineRule="auto"/>
        <w:jc w:val="both"/>
        <w:rPr>
          <w:color w:val="000000"/>
          <w:sz w:val="20"/>
          <w:szCs w:val="20"/>
        </w:rPr>
      </w:pPr>
    </w:p>
    <w:p w14:paraId="4DD1F03F" w14:textId="77777777" w:rsidR="00981FED" w:rsidRDefault="0078321A">
      <w:pPr>
        <w:spacing w:line="240" w:lineRule="auto"/>
        <w:ind w:hanging="2"/>
        <w:jc w:val="center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8EAA818" wp14:editId="5D3F87F8">
            <wp:extent cx="3644900" cy="290385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873E" w14:textId="77777777" w:rsidR="00981FED" w:rsidRDefault="0078321A">
      <w:pPr>
        <w:spacing w:line="240" w:lineRule="auto"/>
        <w:jc w:val="center"/>
        <w:rPr>
          <w:color w:val="000000"/>
          <w:sz w:val="20"/>
          <w:szCs w:val="20"/>
          <w:vertAlign w:val="superscript"/>
        </w:rPr>
      </w:pPr>
      <w:r>
        <w:rPr>
          <w:color w:val="000000"/>
          <w:sz w:val="20"/>
          <w:szCs w:val="20"/>
          <w:vertAlign w:val="superscript"/>
        </w:rPr>
        <w:t>Figura 1. Mapa de localização e limites do PEMP.</w:t>
      </w:r>
    </w:p>
    <w:p w14:paraId="6B230DA4" w14:textId="77777777" w:rsidR="00981FED" w:rsidRDefault="0078321A">
      <w:pPr>
        <w:spacing w:line="240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A amostragem foi realizada pelos seguintes métodos:</w:t>
      </w:r>
    </w:p>
    <w:p w14:paraId="3E094318" w14:textId="17D59CC0" w:rsidR="00981FED" w:rsidRDefault="00981FED">
      <w:pPr>
        <w:spacing w:line="240" w:lineRule="auto"/>
        <w:jc w:val="both"/>
        <w:rPr>
          <w:sz w:val="20"/>
          <w:szCs w:val="20"/>
        </w:rPr>
      </w:pPr>
    </w:p>
    <w:p w14:paraId="6CD16977" w14:textId="2A8C6DD0" w:rsidR="00C0360F" w:rsidRDefault="00626172" w:rsidP="00C0360F">
      <w:pPr>
        <w:spacing w:line="240" w:lineRule="auto"/>
        <w:jc w:val="both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sz w:val="20"/>
          <w:szCs w:val="20"/>
          <w:lang w:val="pt-BR" w:eastAsia="zh-CN"/>
        </w:rPr>
        <w:tab/>
        <w:t>Utilizou-se</w:t>
      </w:r>
      <w:r>
        <w:rPr>
          <w:sz w:val="20"/>
          <w:szCs w:val="20"/>
        </w:rPr>
        <w:t xml:space="preserve"> redes de neblina de 2,5m x</w:t>
      </w:r>
      <w:r w:rsidR="00406D59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</w:rPr>
        <w:t>10m de forma intercalada em trilhas do PEMP, número v</w:t>
      </w:r>
      <w:r w:rsidR="00B9568C">
        <w:rPr>
          <w:rFonts w:eastAsiaTheme="minorEastAsia" w:hint="eastAsia"/>
          <w:sz w:val="20"/>
          <w:szCs w:val="20"/>
          <w:lang w:eastAsia="zh-CN"/>
        </w:rPr>
        <w:t>a</w:t>
      </w:r>
      <w:r>
        <w:rPr>
          <w:sz w:val="20"/>
          <w:szCs w:val="20"/>
        </w:rPr>
        <w:t>ri</w:t>
      </w:r>
      <w:r w:rsidR="00B9568C">
        <w:rPr>
          <w:sz w:val="20"/>
          <w:szCs w:val="20"/>
          <w:lang w:val="pt-BR"/>
        </w:rPr>
        <w:t>á</w:t>
      </w:r>
      <w:r>
        <w:rPr>
          <w:sz w:val="20"/>
          <w:szCs w:val="20"/>
        </w:rPr>
        <w:t>vel</w:t>
      </w:r>
      <w:r w:rsidR="005A5054">
        <w:rPr>
          <w:sz w:val="20"/>
          <w:szCs w:val="20"/>
          <w:lang w:val="pt-BR"/>
        </w:rPr>
        <w:t xml:space="preserve"> entre 10 e 12 redes</w:t>
      </w:r>
      <w:r w:rsidR="00CA0E5B">
        <w:rPr>
          <w:sz w:val="20"/>
          <w:szCs w:val="20"/>
          <w:lang w:val="pt-BR"/>
        </w:rPr>
        <w:t>,</w:t>
      </w:r>
      <w:r>
        <w:rPr>
          <w:sz w:val="20"/>
          <w:szCs w:val="20"/>
        </w:rPr>
        <w:t xml:space="preserve"> mont</w:t>
      </w:r>
      <w:r w:rsidR="00C267F5">
        <w:rPr>
          <w:sz w:val="20"/>
          <w:szCs w:val="20"/>
          <w:lang w:val="pt-BR"/>
        </w:rPr>
        <w:t>adas</w:t>
      </w:r>
      <w:r>
        <w:rPr>
          <w:sz w:val="20"/>
          <w:szCs w:val="20"/>
        </w:rPr>
        <w:t xml:space="preserve"> </w:t>
      </w:r>
      <w:r w:rsidR="00F21D60">
        <w:rPr>
          <w:sz w:val="20"/>
          <w:szCs w:val="20"/>
          <w:lang w:val="pt-BR"/>
        </w:rPr>
        <w:t>em dias</w:t>
      </w:r>
      <w:r w:rsidR="00C267F5">
        <w:rPr>
          <w:sz w:val="20"/>
          <w:szCs w:val="20"/>
          <w:lang w:val="pt-BR"/>
        </w:rPr>
        <w:t xml:space="preserve"> ante</w:t>
      </w:r>
      <w:r w:rsidR="00F21D60">
        <w:rPr>
          <w:sz w:val="20"/>
          <w:szCs w:val="20"/>
          <w:lang w:val="pt-BR"/>
        </w:rPr>
        <w:t>riores as coletas</w:t>
      </w:r>
      <w:r>
        <w:rPr>
          <w:sz w:val="20"/>
          <w:szCs w:val="20"/>
          <w:lang w:val="pt-BR"/>
        </w:rPr>
        <w:t>.</w:t>
      </w:r>
      <w:r>
        <w:rPr>
          <w:sz w:val="20"/>
          <w:szCs w:val="20"/>
        </w:rPr>
        <w:t xml:space="preserve"> As aves capturadas foram identificadas com o auxílio de guias de campo e por aplicativo de identificação de aves </w:t>
      </w:r>
      <w:r w:rsidR="00B9568C">
        <w:rPr>
          <w:sz w:val="20"/>
          <w:szCs w:val="20"/>
          <w:lang w:val="pt-BR"/>
        </w:rPr>
        <w:t>“</w:t>
      </w:r>
      <w:r>
        <w:rPr>
          <w:i/>
          <w:sz w:val="20"/>
          <w:szCs w:val="20"/>
        </w:rPr>
        <w:t>Merlin</w:t>
      </w:r>
      <w:r w:rsidR="00B9568C">
        <w:rPr>
          <w:i/>
          <w:sz w:val="20"/>
          <w:szCs w:val="20"/>
          <w:lang w:val="pt-BR"/>
        </w:rPr>
        <w:t>”</w:t>
      </w:r>
      <w:r>
        <w:rPr>
          <w:sz w:val="20"/>
          <w:szCs w:val="20"/>
        </w:rPr>
        <w:t xml:space="preserve"> em </w:t>
      </w:r>
      <w:r w:rsidRPr="007A786F">
        <w:rPr>
          <w:i/>
          <w:sz w:val="20"/>
          <w:szCs w:val="20"/>
        </w:rPr>
        <w:t>smartphones</w:t>
      </w:r>
      <w:r w:rsidR="007A786F" w:rsidRPr="007A786F">
        <w:rPr>
          <w:i/>
          <w:sz w:val="20"/>
          <w:szCs w:val="20"/>
          <w:lang w:val="pt-BR"/>
        </w:rPr>
        <w:t xml:space="preserve"> </w:t>
      </w:r>
      <w:r w:rsidR="007A786F" w:rsidRPr="007A786F">
        <w:rPr>
          <w:color w:val="222222"/>
          <w:sz w:val="20"/>
          <w:szCs w:val="20"/>
          <w:shd w:val="clear" w:color="auto" w:fill="FFFFFF"/>
        </w:rPr>
        <w:t xml:space="preserve">(Von Matter </w:t>
      </w:r>
      <w:r w:rsidR="007A786F" w:rsidRPr="007A786F">
        <w:rPr>
          <w:i/>
          <w:iCs/>
          <w:color w:val="222222"/>
          <w:sz w:val="20"/>
          <w:szCs w:val="20"/>
          <w:shd w:val="clear" w:color="auto" w:fill="FFFFFF"/>
        </w:rPr>
        <w:t>et al</w:t>
      </w:r>
      <w:r w:rsidR="007A786F" w:rsidRPr="007A786F">
        <w:rPr>
          <w:color w:val="222222"/>
          <w:sz w:val="20"/>
          <w:szCs w:val="20"/>
          <w:shd w:val="clear" w:color="auto" w:fill="FFFFFF"/>
        </w:rPr>
        <w:t>., 2010)</w:t>
      </w:r>
      <w:r w:rsidRPr="007A786F">
        <w:rPr>
          <w:sz w:val="20"/>
          <w:szCs w:val="20"/>
        </w:rPr>
        <w:t>.</w:t>
      </w:r>
      <w:r w:rsidR="008E4F73" w:rsidRPr="007A786F">
        <w:rPr>
          <w:sz w:val="20"/>
          <w:szCs w:val="20"/>
          <w:lang w:val="pt-BR"/>
        </w:rPr>
        <w:t xml:space="preserve"> </w:t>
      </w:r>
      <w:r w:rsidRPr="007A786F">
        <w:rPr>
          <w:sz w:val="20"/>
          <w:szCs w:val="20"/>
        </w:rPr>
        <w:t xml:space="preserve"> </w:t>
      </w:r>
    </w:p>
    <w:p w14:paraId="421635A7" w14:textId="5AB96BF0" w:rsidR="00C0360F" w:rsidRDefault="00C0360F" w:rsidP="00C0360F">
      <w:pPr>
        <w:spacing w:line="240" w:lineRule="auto"/>
        <w:jc w:val="both"/>
        <w:rPr>
          <w:sz w:val="20"/>
          <w:szCs w:val="20"/>
          <w:lang w:val="pt-BR"/>
        </w:rPr>
      </w:pPr>
      <w:r>
        <w:rPr>
          <w:rFonts w:eastAsiaTheme="minorEastAsia"/>
          <w:sz w:val="20"/>
          <w:szCs w:val="20"/>
          <w:lang w:eastAsia="zh-CN"/>
        </w:rPr>
        <w:tab/>
      </w:r>
      <w:r w:rsidR="003839D3">
        <w:rPr>
          <w:rFonts w:eastAsiaTheme="minorEastAsia"/>
          <w:sz w:val="20"/>
          <w:szCs w:val="20"/>
          <w:lang w:val="pt-BR" w:eastAsia="zh-CN"/>
        </w:rPr>
        <w:t xml:space="preserve">Foram feitos </w:t>
      </w:r>
      <w:r w:rsidR="0071209D">
        <w:rPr>
          <w:sz w:val="20"/>
          <w:szCs w:val="20"/>
          <w:lang w:val="pt-BR"/>
        </w:rPr>
        <w:t>r</w:t>
      </w:r>
      <w:r>
        <w:rPr>
          <w:sz w:val="20"/>
          <w:szCs w:val="20"/>
        </w:rPr>
        <w:t>egistros fotográficos d</w:t>
      </w:r>
      <w:r w:rsidR="003839D3">
        <w:rPr>
          <w:sz w:val="20"/>
          <w:szCs w:val="20"/>
          <w:lang w:val="pt-BR"/>
        </w:rPr>
        <w:t>as</w:t>
      </w:r>
      <w:r>
        <w:rPr>
          <w:sz w:val="20"/>
          <w:szCs w:val="20"/>
        </w:rPr>
        <w:t xml:space="preserve"> aves</w:t>
      </w:r>
      <w:r w:rsidR="00087E6F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</w:rPr>
        <w:t>n</w:t>
      </w:r>
      <w:r>
        <w:rPr>
          <w:rFonts w:eastAsiaTheme="minorEastAsia"/>
          <w:sz w:val="20"/>
          <w:szCs w:val="20"/>
          <w:lang w:eastAsia="zh-CN"/>
        </w:rPr>
        <w:t>o</w:t>
      </w:r>
      <w:r>
        <w:rPr>
          <w:sz w:val="20"/>
          <w:szCs w:val="20"/>
        </w:rPr>
        <w:t xml:space="preserve"> PEMP e disponibilizados n</w:t>
      </w:r>
      <w:r>
        <w:rPr>
          <w:rFonts w:eastAsiaTheme="minorEastAsia"/>
          <w:sz w:val="20"/>
          <w:szCs w:val="20"/>
          <w:lang w:val="pt-BR" w:eastAsia="zh-CN"/>
        </w:rPr>
        <w:t>a plataforma digital</w:t>
      </w:r>
      <w:r>
        <w:rPr>
          <w:sz w:val="20"/>
          <w:szCs w:val="20"/>
        </w:rPr>
        <w:t xml:space="preserve"> </w:t>
      </w:r>
      <w:r w:rsidRPr="005A5054">
        <w:rPr>
          <w:i/>
          <w:iCs/>
          <w:sz w:val="20"/>
          <w:szCs w:val="20"/>
        </w:rPr>
        <w:t>Wikiaves.</w:t>
      </w:r>
      <w:r>
        <w:rPr>
          <w:sz w:val="20"/>
          <w:szCs w:val="20"/>
          <w:lang w:val="pt-BR"/>
        </w:rPr>
        <w:t xml:space="preserve"> As fotografias foram feitas com auxílio de câmeras super </w:t>
      </w:r>
      <w:r w:rsidR="00B9568C">
        <w:rPr>
          <w:sz w:val="20"/>
          <w:szCs w:val="20"/>
          <w:lang w:val="pt-BR"/>
        </w:rPr>
        <w:t>z</w:t>
      </w:r>
      <w:r>
        <w:rPr>
          <w:sz w:val="20"/>
          <w:szCs w:val="20"/>
          <w:lang w:val="pt-BR"/>
        </w:rPr>
        <w:t xml:space="preserve">oom, Nikon p610, Canon </w:t>
      </w:r>
      <w:proofErr w:type="spellStart"/>
      <w:r>
        <w:rPr>
          <w:sz w:val="20"/>
          <w:szCs w:val="20"/>
          <w:lang w:val="pt-BR"/>
        </w:rPr>
        <w:t>PoweShot</w:t>
      </w:r>
      <w:proofErr w:type="spellEnd"/>
      <w:r>
        <w:rPr>
          <w:sz w:val="20"/>
          <w:szCs w:val="20"/>
          <w:lang w:val="pt-BR"/>
        </w:rPr>
        <w:t xml:space="preserve"> sx60 HS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pt-BR"/>
        </w:rPr>
        <w:t xml:space="preserve">e </w:t>
      </w:r>
      <w:r w:rsidR="00B9568C">
        <w:rPr>
          <w:sz w:val="20"/>
          <w:szCs w:val="20"/>
          <w:lang w:val="pt-BR"/>
        </w:rPr>
        <w:t>S</w:t>
      </w:r>
      <w:r>
        <w:rPr>
          <w:sz w:val="20"/>
          <w:szCs w:val="20"/>
          <w:lang w:val="pt-BR"/>
        </w:rPr>
        <w:t>ony-h400</w:t>
      </w:r>
      <w:r w:rsidR="003839D3">
        <w:rPr>
          <w:sz w:val="20"/>
          <w:szCs w:val="20"/>
          <w:lang w:val="pt-BR"/>
        </w:rPr>
        <w:t xml:space="preserve"> em trilhas e estradas da unidade</w:t>
      </w:r>
      <w:r>
        <w:rPr>
          <w:sz w:val="20"/>
          <w:szCs w:val="20"/>
          <w:lang w:val="pt-BR"/>
        </w:rPr>
        <w:t>.</w:t>
      </w:r>
    </w:p>
    <w:p w14:paraId="3117051D" w14:textId="4AE923BF" w:rsidR="00081CCA" w:rsidRPr="00081CCA" w:rsidRDefault="00C0360F" w:rsidP="00C0360F">
      <w:pPr>
        <w:spacing w:line="240" w:lineRule="auto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ab/>
      </w:r>
      <w:r w:rsidR="003839D3">
        <w:rPr>
          <w:sz w:val="20"/>
          <w:szCs w:val="20"/>
          <w:lang w:val="pt-BR"/>
        </w:rPr>
        <w:t>Além disso,</w:t>
      </w:r>
      <w:r>
        <w:rPr>
          <w:rFonts w:eastAsiaTheme="minorEastAsia"/>
          <w:i/>
          <w:sz w:val="20"/>
          <w:szCs w:val="20"/>
          <w:lang w:val="pt-BR" w:eastAsia="zh-CN"/>
        </w:rPr>
        <w:t xml:space="preserve"> </w:t>
      </w:r>
      <w:r>
        <w:rPr>
          <w:sz w:val="20"/>
          <w:szCs w:val="20"/>
        </w:rPr>
        <w:t>gravações</w:t>
      </w:r>
      <w:r w:rsidR="003618FC">
        <w:rPr>
          <w:sz w:val="20"/>
          <w:szCs w:val="20"/>
          <w:lang w:val="pt-BR"/>
        </w:rPr>
        <w:t xml:space="preserve"> </w:t>
      </w:r>
      <w:r w:rsidR="003E40BD">
        <w:rPr>
          <w:sz w:val="20"/>
          <w:szCs w:val="20"/>
        </w:rPr>
        <w:t>de vocalizações d</w:t>
      </w:r>
      <w:r w:rsidR="003E40BD">
        <w:rPr>
          <w:sz w:val="20"/>
          <w:szCs w:val="20"/>
          <w:lang w:val="pt-BR"/>
        </w:rPr>
        <w:t>as</w:t>
      </w:r>
      <w:r w:rsidR="003E40BD">
        <w:rPr>
          <w:sz w:val="20"/>
          <w:szCs w:val="20"/>
        </w:rPr>
        <w:t xml:space="preserve"> aves</w:t>
      </w:r>
      <w:r w:rsidR="003618FC">
        <w:rPr>
          <w:sz w:val="20"/>
          <w:szCs w:val="20"/>
          <w:lang w:val="pt-BR"/>
        </w:rPr>
        <w:t xml:space="preserve"> foram feitas </w:t>
      </w:r>
      <w:r>
        <w:rPr>
          <w:sz w:val="20"/>
          <w:szCs w:val="20"/>
        </w:rPr>
        <w:t xml:space="preserve">no período diurno </w:t>
      </w:r>
      <w:r w:rsidR="003618FC">
        <w:rPr>
          <w:sz w:val="20"/>
          <w:szCs w:val="20"/>
          <w:lang w:val="pt-BR"/>
        </w:rPr>
        <w:t xml:space="preserve">e </w:t>
      </w:r>
      <w:r>
        <w:rPr>
          <w:sz w:val="20"/>
          <w:szCs w:val="20"/>
        </w:rPr>
        <w:t xml:space="preserve">noturno. Para o período noturno as gravações iniciaram a partir de 18h30 e podendo se estender até às 23h00, sempre nas fases da lua crescente ou cheia, em transectos e por ponto de observação, cada ponto teve um raio de 400 metros. </w:t>
      </w:r>
      <w:r w:rsidR="00B74092">
        <w:rPr>
          <w:sz w:val="20"/>
          <w:szCs w:val="20"/>
          <w:lang w:val="pt-BR"/>
        </w:rPr>
        <w:t>Enquanto que</w:t>
      </w:r>
      <w:r w:rsidR="005A5054">
        <w:rPr>
          <w:sz w:val="20"/>
          <w:szCs w:val="20"/>
          <w:lang w:val="pt-BR"/>
        </w:rPr>
        <w:t xml:space="preserve"> </w:t>
      </w:r>
      <w:r w:rsidR="00B74092">
        <w:rPr>
          <w:sz w:val="20"/>
          <w:szCs w:val="20"/>
          <w:lang w:val="pt-BR"/>
        </w:rPr>
        <w:t xml:space="preserve">no </w:t>
      </w:r>
      <w:r w:rsidR="005A5054">
        <w:rPr>
          <w:sz w:val="20"/>
          <w:szCs w:val="20"/>
          <w:lang w:val="pt-BR"/>
        </w:rPr>
        <w:t>período diurno eram feitas</w:t>
      </w:r>
      <w:r w:rsidR="0000326E">
        <w:rPr>
          <w:sz w:val="20"/>
          <w:szCs w:val="20"/>
          <w:lang w:val="pt-BR"/>
        </w:rPr>
        <w:t xml:space="preserve"> as gravações</w:t>
      </w:r>
      <w:r w:rsidR="005A5054">
        <w:rPr>
          <w:sz w:val="20"/>
          <w:szCs w:val="20"/>
          <w:lang w:val="pt-BR"/>
        </w:rPr>
        <w:t xml:space="preserve"> quando não se conseguia identificação vocalização da espécie.</w:t>
      </w:r>
      <w:r w:rsidR="00626172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</w:rPr>
        <w:t xml:space="preserve">As gravações dos áudios foram realizadas pelos gravadores Zoom H4n e Tascam dr 05 com microfone direcional ME66/K6 Sennheiser. </w:t>
      </w:r>
    </w:p>
    <w:p w14:paraId="0C13A90C" w14:textId="404ABB47" w:rsidR="00981FED" w:rsidRPr="00C0360F" w:rsidRDefault="00081CCA" w:rsidP="00C0360F">
      <w:pPr>
        <w:spacing w:line="240" w:lineRule="auto"/>
        <w:jc w:val="both"/>
        <w:rPr>
          <w:rFonts w:eastAsiaTheme="minorEastAsia"/>
          <w:sz w:val="20"/>
          <w:szCs w:val="20"/>
          <w:lang w:val="pt-BR" w:eastAsia="zh-CN"/>
        </w:rPr>
      </w:pPr>
      <w:r>
        <w:rPr>
          <w:iCs/>
          <w:sz w:val="20"/>
          <w:szCs w:val="20"/>
          <w:lang w:val="pt-BR"/>
        </w:rPr>
        <w:tab/>
      </w:r>
      <w:r w:rsidR="00B64610">
        <w:rPr>
          <w:iCs/>
          <w:sz w:val="20"/>
          <w:szCs w:val="20"/>
          <w:lang w:val="pt-BR"/>
        </w:rPr>
        <w:t>N</w:t>
      </w:r>
      <w:r w:rsidR="00135824">
        <w:rPr>
          <w:iCs/>
          <w:sz w:val="20"/>
          <w:szCs w:val="20"/>
          <w:lang w:val="pt-BR"/>
        </w:rPr>
        <w:t xml:space="preserve">a ausência desses registros </w:t>
      </w:r>
      <w:r w:rsidR="001A0583">
        <w:rPr>
          <w:iCs/>
          <w:sz w:val="20"/>
          <w:szCs w:val="20"/>
          <w:lang w:val="pt-BR"/>
        </w:rPr>
        <w:t xml:space="preserve">realizou-se </w:t>
      </w:r>
      <w:r w:rsidR="00DD163B">
        <w:rPr>
          <w:rFonts w:eastAsiaTheme="minorEastAsia"/>
          <w:sz w:val="20"/>
          <w:szCs w:val="20"/>
          <w:lang w:val="pt-BR" w:eastAsia="zh-CN"/>
        </w:rPr>
        <w:t xml:space="preserve">observações oportunistas </w:t>
      </w:r>
      <w:r w:rsidR="009A4644">
        <w:rPr>
          <w:rFonts w:eastAsiaTheme="minorEastAsia"/>
          <w:sz w:val="20"/>
          <w:szCs w:val="20"/>
          <w:lang w:val="pt-BR" w:eastAsia="zh-CN"/>
        </w:rPr>
        <w:t xml:space="preserve">no </w:t>
      </w:r>
      <w:r w:rsidR="00DD163B">
        <w:rPr>
          <w:rFonts w:eastAsiaTheme="minorEastAsia"/>
          <w:sz w:val="20"/>
          <w:szCs w:val="20"/>
          <w:lang w:val="pt-BR" w:eastAsia="zh-CN"/>
        </w:rPr>
        <w:t>PEMP</w:t>
      </w:r>
      <w:r w:rsidR="00F2300B">
        <w:rPr>
          <w:rFonts w:eastAsiaTheme="minorEastAsia"/>
          <w:sz w:val="20"/>
          <w:szCs w:val="20"/>
          <w:lang w:val="pt-BR" w:eastAsia="zh-CN"/>
        </w:rPr>
        <w:t xml:space="preserve"> para a </w:t>
      </w:r>
      <w:r w:rsidR="008F26E5">
        <w:rPr>
          <w:rFonts w:eastAsiaTheme="minorEastAsia"/>
          <w:sz w:val="20"/>
          <w:szCs w:val="20"/>
          <w:lang w:val="pt-BR" w:eastAsia="zh-CN"/>
        </w:rPr>
        <w:t>identificação das aves</w:t>
      </w:r>
      <w:r w:rsidR="00DD163B">
        <w:rPr>
          <w:rFonts w:eastAsiaTheme="minorEastAsia"/>
          <w:sz w:val="20"/>
          <w:szCs w:val="20"/>
          <w:lang w:val="pt-BR" w:eastAsia="zh-CN"/>
        </w:rPr>
        <w:t xml:space="preserve"> </w:t>
      </w:r>
      <w:r w:rsidR="007D08D9">
        <w:rPr>
          <w:rFonts w:eastAsiaTheme="minorEastAsia"/>
          <w:sz w:val="20"/>
          <w:szCs w:val="20"/>
          <w:lang w:val="pt-BR" w:eastAsia="zh-CN"/>
        </w:rPr>
        <w:t xml:space="preserve">a </w:t>
      </w:r>
      <w:r w:rsidR="00774CD3">
        <w:rPr>
          <w:rFonts w:eastAsiaTheme="minorEastAsia"/>
          <w:sz w:val="20"/>
          <w:szCs w:val="20"/>
          <w:lang w:val="pt-BR" w:eastAsia="zh-CN"/>
        </w:rPr>
        <w:t>partir do registro visual e discussão entre os observadores</w:t>
      </w:r>
      <w:r w:rsidR="00DD163B">
        <w:rPr>
          <w:rFonts w:eastAsiaTheme="minorEastAsia"/>
          <w:sz w:val="20"/>
          <w:szCs w:val="20"/>
          <w:lang w:val="pt-BR" w:eastAsia="zh-CN"/>
        </w:rPr>
        <w:t xml:space="preserve"> para confirmar a presença da espécie</w:t>
      </w:r>
      <w:r w:rsidR="001A0583">
        <w:rPr>
          <w:rFonts w:eastAsiaTheme="minorEastAsia"/>
          <w:sz w:val="20"/>
          <w:szCs w:val="20"/>
          <w:lang w:val="pt-BR" w:eastAsia="zh-CN"/>
        </w:rPr>
        <w:t xml:space="preserve"> avistada</w:t>
      </w:r>
      <w:r w:rsidR="00DD163B">
        <w:rPr>
          <w:rFonts w:eastAsiaTheme="minorEastAsia"/>
          <w:sz w:val="20"/>
          <w:szCs w:val="20"/>
          <w:lang w:val="pt-BR" w:eastAsia="zh-CN"/>
        </w:rPr>
        <w:t>.</w:t>
      </w:r>
    </w:p>
    <w:p w14:paraId="6948DA6B" w14:textId="77777777" w:rsidR="00981FED" w:rsidRDefault="00981FED">
      <w:pPr>
        <w:spacing w:line="240" w:lineRule="auto"/>
        <w:ind w:firstLine="720"/>
        <w:jc w:val="both"/>
        <w:rPr>
          <w:rFonts w:eastAsiaTheme="minorEastAsia"/>
          <w:sz w:val="20"/>
          <w:szCs w:val="20"/>
          <w:lang w:val="pt-BR" w:eastAsia="zh-CN"/>
        </w:rPr>
      </w:pPr>
    </w:p>
    <w:p w14:paraId="2AF02964" w14:textId="77777777" w:rsidR="00981FED" w:rsidRDefault="0078321A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RESULTADOS E DISCUSSÃO</w:t>
      </w:r>
    </w:p>
    <w:p w14:paraId="5A70B818" w14:textId="42EE6261" w:rsidR="00981FED" w:rsidRDefault="0078321A">
      <w:pPr>
        <w:spacing w:line="240" w:lineRule="auto"/>
        <w:ind w:firstLine="720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Registramos 136</w:t>
      </w:r>
      <w:r>
        <w:rPr>
          <w:sz w:val="20"/>
          <w:szCs w:val="20"/>
          <w:lang w:val="pt-BR"/>
        </w:rPr>
        <w:t xml:space="preserve"> espécies</w:t>
      </w:r>
      <w:r>
        <w:rPr>
          <w:sz w:val="20"/>
          <w:szCs w:val="20"/>
        </w:rPr>
        <w:t xml:space="preserve"> de aves para o PEMP distribuídas em </w:t>
      </w:r>
      <w:r>
        <w:rPr>
          <w:sz w:val="20"/>
          <w:szCs w:val="20"/>
          <w:lang w:val="pt-BR"/>
        </w:rPr>
        <w:t>40</w:t>
      </w:r>
      <w:r>
        <w:rPr>
          <w:sz w:val="20"/>
          <w:szCs w:val="20"/>
        </w:rPr>
        <w:t xml:space="preserve"> famílias, esse número totaliza 24,8% das espécies de aves que potencialmente ocorrem na </w:t>
      </w:r>
      <w:r w:rsidR="006F1F20">
        <w:rPr>
          <w:sz w:val="20"/>
          <w:szCs w:val="20"/>
          <w:lang w:val="pt-BR"/>
        </w:rPr>
        <w:t>C</w:t>
      </w:r>
      <w:r>
        <w:rPr>
          <w:sz w:val="20"/>
          <w:szCs w:val="20"/>
        </w:rPr>
        <w:t xml:space="preserve">aatinga conforme a lista de </w:t>
      </w:r>
      <w:r>
        <w:rPr>
          <w:color w:val="000000"/>
          <w:sz w:val="20"/>
          <w:szCs w:val="20"/>
        </w:rPr>
        <w:t xml:space="preserve">Araújo e </w:t>
      </w:r>
      <w:r w:rsidR="00C17FDF">
        <w:rPr>
          <w:color w:val="000000"/>
          <w:sz w:val="20"/>
          <w:szCs w:val="20"/>
          <w:lang w:val="pt-BR"/>
        </w:rPr>
        <w:t>S</w:t>
      </w:r>
      <w:r>
        <w:rPr>
          <w:color w:val="000000"/>
          <w:sz w:val="20"/>
          <w:szCs w:val="20"/>
        </w:rPr>
        <w:t xml:space="preserve">ilva (2017). Para a </w:t>
      </w:r>
      <w:r w:rsidR="006F1F20">
        <w:rPr>
          <w:color w:val="000000"/>
          <w:sz w:val="20"/>
          <w:szCs w:val="20"/>
          <w:lang w:val="pt-BR"/>
        </w:rPr>
        <w:t>C</w:t>
      </w:r>
      <w:r>
        <w:rPr>
          <w:color w:val="000000"/>
          <w:sz w:val="20"/>
          <w:szCs w:val="20"/>
        </w:rPr>
        <w:t xml:space="preserve">aatinga pernambucana, de acordo com o </w:t>
      </w:r>
      <w:r>
        <w:rPr>
          <w:sz w:val="20"/>
          <w:szCs w:val="20"/>
        </w:rPr>
        <w:t>inventário</w:t>
      </w:r>
      <w:r>
        <w:rPr>
          <w:color w:val="000000"/>
          <w:sz w:val="20"/>
          <w:szCs w:val="20"/>
        </w:rPr>
        <w:t xml:space="preserve"> de Farias e Pereira (2011), esse número representa 50,3%. Já conforme o estudo de Almeida </w:t>
      </w:r>
      <w:r>
        <w:rPr>
          <w:i/>
          <w:color w:val="000000"/>
          <w:sz w:val="20"/>
          <w:szCs w:val="20"/>
        </w:rPr>
        <w:t>et al</w:t>
      </w:r>
      <w:r>
        <w:rPr>
          <w:color w:val="000000"/>
          <w:sz w:val="20"/>
          <w:szCs w:val="20"/>
        </w:rPr>
        <w:t xml:space="preserve">. (2021), para a </w:t>
      </w:r>
      <w:r>
        <w:rPr>
          <w:sz w:val="20"/>
          <w:szCs w:val="20"/>
        </w:rPr>
        <w:t>microrregião</w:t>
      </w:r>
      <w:r>
        <w:rPr>
          <w:color w:val="000000"/>
          <w:sz w:val="20"/>
          <w:szCs w:val="20"/>
        </w:rPr>
        <w:t xml:space="preserve"> do Pajeú corresponde </w:t>
      </w:r>
      <w:r>
        <w:rPr>
          <w:sz w:val="20"/>
          <w:szCs w:val="20"/>
        </w:rPr>
        <w:t>a 61,8</w:t>
      </w:r>
      <w:r>
        <w:rPr>
          <w:color w:val="000000"/>
          <w:sz w:val="20"/>
          <w:szCs w:val="20"/>
        </w:rPr>
        <w:t xml:space="preserve">% das </w:t>
      </w:r>
      <w:r>
        <w:rPr>
          <w:sz w:val="20"/>
          <w:szCs w:val="20"/>
        </w:rPr>
        <w:t>espécies</w:t>
      </w:r>
      <w:r>
        <w:rPr>
          <w:color w:val="000000"/>
          <w:sz w:val="20"/>
          <w:szCs w:val="20"/>
        </w:rPr>
        <w:t xml:space="preserve"> de aves que ocorrem nessa região. Identificamos </w:t>
      </w:r>
      <w:r>
        <w:rPr>
          <w:sz w:val="20"/>
          <w:szCs w:val="20"/>
        </w:rPr>
        <w:t>10</w:t>
      </w:r>
      <w:r>
        <w:rPr>
          <w:color w:val="000000"/>
          <w:sz w:val="20"/>
          <w:szCs w:val="20"/>
        </w:rPr>
        <w:t xml:space="preserve"> espécies endêmicas do domínio da </w:t>
      </w:r>
      <w:r w:rsidR="00C832C1">
        <w:rPr>
          <w:color w:val="000000"/>
          <w:sz w:val="20"/>
          <w:szCs w:val="20"/>
          <w:lang w:val="pt-BR"/>
        </w:rPr>
        <w:t>C</w:t>
      </w:r>
      <w:r>
        <w:rPr>
          <w:color w:val="000000"/>
          <w:sz w:val="20"/>
          <w:szCs w:val="20"/>
        </w:rPr>
        <w:t xml:space="preserve">aatinga de acordo com Silva (2017): </w:t>
      </w:r>
      <w:r>
        <w:rPr>
          <w:i/>
          <w:color w:val="000000"/>
          <w:sz w:val="20"/>
          <w:szCs w:val="20"/>
        </w:rPr>
        <w:t xml:space="preserve">Penelope jacucaca </w:t>
      </w:r>
      <w:r>
        <w:rPr>
          <w:color w:val="000000"/>
          <w:sz w:val="20"/>
          <w:szCs w:val="20"/>
        </w:rPr>
        <w:t>(jacucaca)</w:t>
      </w:r>
      <w:r>
        <w:rPr>
          <w:i/>
          <w:color w:val="000000"/>
          <w:sz w:val="20"/>
          <w:szCs w:val="20"/>
        </w:rPr>
        <w:t xml:space="preserve">, </w:t>
      </w:r>
      <w:r>
        <w:rPr>
          <w:i/>
          <w:sz w:val="20"/>
          <w:szCs w:val="20"/>
        </w:rPr>
        <w:t>Anopetia</w:t>
      </w:r>
      <w:r>
        <w:rPr>
          <w:i/>
          <w:color w:val="000000"/>
          <w:sz w:val="20"/>
          <w:szCs w:val="20"/>
        </w:rPr>
        <w:t xml:space="preserve"> gounellei</w:t>
      </w:r>
      <w:r>
        <w:rPr>
          <w:i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(eremita-de-cauda-larga)</w:t>
      </w:r>
      <w:r>
        <w:rPr>
          <w:i/>
          <w:color w:val="000000"/>
          <w:sz w:val="20"/>
          <w:szCs w:val="20"/>
        </w:rPr>
        <w:t>, Picumnus limae (</w:t>
      </w:r>
      <w:r>
        <w:rPr>
          <w:color w:val="000000"/>
          <w:sz w:val="20"/>
          <w:szCs w:val="20"/>
        </w:rPr>
        <w:t>picapauzinho-da-caatinga)</w:t>
      </w:r>
      <w:r>
        <w:rPr>
          <w:i/>
          <w:color w:val="000000"/>
          <w:sz w:val="20"/>
          <w:szCs w:val="20"/>
        </w:rPr>
        <w:t xml:space="preserve">, Eupsittula cactorum </w:t>
      </w:r>
      <w:r>
        <w:rPr>
          <w:color w:val="000000"/>
          <w:sz w:val="20"/>
          <w:szCs w:val="20"/>
        </w:rPr>
        <w:t>(periquito-da-caatinga)</w:t>
      </w:r>
      <w:r>
        <w:rPr>
          <w:i/>
          <w:color w:val="000000"/>
          <w:sz w:val="20"/>
          <w:szCs w:val="20"/>
        </w:rPr>
        <w:t xml:space="preserve">, Myrmorchilus strigilatus </w:t>
      </w:r>
      <w:r>
        <w:rPr>
          <w:color w:val="000000"/>
          <w:sz w:val="20"/>
          <w:szCs w:val="20"/>
        </w:rPr>
        <w:t>(tem-farinha-aí)</w:t>
      </w:r>
      <w:r>
        <w:rPr>
          <w:i/>
          <w:color w:val="000000"/>
          <w:sz w:val="20"/>
          <w:szCs w:val="20"/>
        </w:rPr>
        <w:t>, ,</w:t>
      </w:r>
      <w:r>
        <w:rPr>
          <w:rFonts w:eastAsiaTheme="minorEastAsia"/>
          <w:i/>
          <w:color w:val="000000"/>
          <w:sz w:val="20"/>
          <w:szCs w:val="20"/>
          <w:lang w:eastAsia="zh-CN"/>
        </w:rPr>
        <w:t xml:space="preserve"> </w:t>
      </w:r>
      <w:r>
        <w:rPr>
          <w:i/>
          <w:color w:val="000000"/>
          <w:sz w:val="20"/>
          <w:szCs w:val="20"/>
        </w:rPr>
        <w:t xml:space="preserve">Radinopsyche sellowi </w:t>
      </w:r>
      <w:r>
        <w:rPr>
          <w:color w:val="000000"/>
          <w:sz w:val="20"/>
          <w:szCs w:val="20"/>
        </w:rPr>
        <w:t>(chorozinho-da-caatinga</w:t>
      </w:r>
      <w:r>
        <w:rPr>
          <w:i/>
          <w:color w:val="000000"/>
          <w:sz w:val="20"/>
          <w:szCs w:val="20"/>
        </w:rPr>
        <w:t>, Sakespho</w:t>
      </w:r>
      <w:proofErr w:type="spellStart"/>
      <w:r w:rsidR="00625EFF">
        <w:rPr>
          <w:i/>
          <w:color w:val="000000"/>
          <w:sz w:val="20"/>
          <w:szCs w:val="20"/>
          <w:lang w:val="pt-BR"/>
        </w:rPr>
        <w:t>roides</w:t>
      </w:r>
      <w:proofErr w:type="spellEnd"/>
      <w:r>
        <w:rPr>
          <w:i/>
          <w:color w:val="000000"/>
          <w:sz w:val="20"/>
          <w:szCs w:val="20"/>
        </w:rPr>
        <w:t xml:space="preserve"> cristatus </w:t>
      </w:r>
      <w:r>
        <w:rPr>
          <w:color w:val="000000"/>
          <w:sz w:val="20"/>
          <w:szCs w:val="20"/>
        </w:rPr>
        <w:t>(choca-do-nordeste)</w:t>
      </w:r>
      <w:r>
        <w:rPr>
          <w:i/>
          <w:color w:val="000000"/>
          <w:sz w:val="20"/>
          <w:szCs w:val="20"/>
        </w:rPr>
        <w:t xml:space="preserve">, </w:t>
      </w:r>
      <w:r>
        <w:rPr>
          <w:i/>
          <w:color w:val="000000"/>
          <w:sz w:val="20"/>
          <w:szCs w:val="20"/>
        </w:rPr>
        <w:lastRenderedPageBreak/>
        <w:t>Thamnophilus capistratus (</w:t>
      </w:r>
      <w:r>
        <w:rPr>
          <w:color w:val="000000"/>
          <w:sz w:val="20"/>
          <w:szCs w:val="20"/>
        </w:rPr>
        <w:t>choca-barrada-do-nordeste</w:t>
      </w:r>
      <w:r>
        <w:rPr>
          <w:i/>
          <w:color w:val="000000"/>
          <w:sz w:val="20"/>
          <w:szCs w:val="20"/>
        </w:rPr>
        <w:t xml:space="preserve">), Agelaioides fringillarius </w:t>
      </w:r>
      <w:r>
        <w:rPr>
          <w:color w:val="000000"/>
          <w:sz w:val="20"/>
          <w:szCs w:val="20"/>
        </w:rPr>
        <w:t>(asa-de-telha-pálido)</w:t>
      </w:r>
      <w:r>
        <w:rPr>
          <w:i/>
          <w:color w:val="000000"/>
          <w:sz w:val="20"/>
          <w:szCs w:val="20"/>
        </w:rPr>
        <w:t xml:space="preserve">, e Spinus yarrellii </w:t>
      </w:r>
      <w:r>
        <w:rPr>
          <w:color w:val="000000"/>
          <w:sz w:val="20"/>
          <w:szCs w:val="20"/>
        </w:rPr>
        <w:t>(pintassilgo-do-nordeste)</w:t>
      </w:r>
      <w:r>
        <w:rPr>
          <w:i/>
          <w:color w:val="000000"/>
          <w:sz w:val="20"/>
          <w:szCs w:val="20"/>
        </w:rPr>
        <w:t xml:space="preserve">. </w:t>
      </w:r>
    </w:p>
    <w:p w14:paraId="31535799" w14:textId="16A040E4" w:rsidR="00981FED" w:rsidRDefault="0078321A">
      <w:pPr>
        <w:spacing w:line="240" w:lineRule="auto"/>
        <w:jc w:val="both"/>
        <w:rPr>
          <w:i/>
          <w:color w:val="000000"/>
          <w:sz w:val="20"/>
          <w:szCs w:val="20"/>
        </w:rPr>
      </w:pPr>
      <w:r>
        <w:rPr>
          <w:rFonts w:eastAsiaTheme="minorEastAsia"/>
          <w:sz w:val="20"/>
          <w:szCs w:val="20"/>
          <w:lang w:eastAsia="zh-CN"/>
        </w:rPr>
        <w:tab/>
      </w:r>
      <w:r>
        <w:rPr>
          <w:sz w:val="20"/>
          <w:szCs w:val="20"/>
        </w:rPr>
        <w:t xml:space="preserve">A família mais abundante para os limites do parque foi Tyrannidae com 13,9% (19 </w:t>
      </w:r>
      <w:r w:rsidRPr="00E7245D">
        <w:rPr>
          <w:rFonts w:eastAsiaTheme="minorEastAsia"/>
          <w:sz w:val="20"/>
          <w:szCs w:val="20"/>
          <w:lang w:eastAsia="zh-CN"/>
        </w:rPr>
        <w:t>S</w:t>
      </w:r>
      <w:r w:rsidRPr="00E7245D">
        <w:rPr>
          <w:sz w:val="20"/>
          <w:szCs w:val="20"/>
        </w:rPr>
        <w:t>p</w:t>
      </w:r>
      <w:r w:rsidR="00D25C0F" w:rsidRPr="00E7245D">
        <w:rPr>
          <w:sz w:val="20"/>
          <w:szCs w:val="20"/>
          <w:lang w:val="pt-BR"/>
        </w:rPr>
        <w:t>p</w:t>
      </w:r>
      <w:r>
        <w:rPr>
          <w:sz w:val="20"/>
          <w:szCs w:val="20"/>
        </w:rPr>
        <w:t xml:space="preserve">.), </w:t>
      </w:r>
      <w:r>
        <w:rPr>
          <w:rFonts w:eastAsiaTheme="minorEastAsia"/>
          <w:sz w:val="20"/>
          <w:szCs w:val="20"/>
          <w:lang w:eastAsia="zh-CN"/>
        </w:rPr>
        <w:t>a</w:t>
      </w:r>
      <w:r>
        <w:rPr>
          <w:sz w:val="20"/>
          <w:szCs w:val="20"/>
        </w:rPr>
        <w:t xml:space="preserve"> segunda foi Thraupidae com 9,56 (13</w:t>
      </w:r>
      <w:r>
        <w:rPr>
          <w:i/>
          <w:sz w:val="20"/>
          <w:szCs w:val="20"/>
        </w:rPr>
        <w:t xml:space="preserve"> </w:t>
      </w:r>
      <w:r w:rsidRPr="00E7245D">
        <w:rPr>
          <w:iCs/>
          <w:sz w:val="20"/>
          <w:szCs w:val="20"/>
        </w:rPr>
        <w:t>Sp</w:t>
      </w:r>
      <w:r w:rsidR="00D25C0F" w:rsidRPr="00E7245D">
        <w:rPr>
          <w:iCs/>
          <w:sz w:val="20"/>
          <w:szCs w:val="20"/>
          <w:lang w:val="pt-BR"/>
        </w:rPr>
        <w:t>p</w:t>
      </w:r>
      <w:r>
        <w:rPr>
          <w:i/>
          <w:sz w:val="20"/>
          <w:szCs w:val="20"/>
        </w:rPr>
        <w:t>.)</w:t>
      </w:r>
      <w:r>
        <w:rPr>
          <w:sz w:val="20"/>
          <w:szCs w:val="20"/>
        </w:rPr>
        <w:t xml:space="preserve">, e em terceiro lugar a família Thamnophilidae com 5,15% (7 </w:t>
      </w:r>
      <w:r w:rsidRPr="00E7245D">
        <w:rPr>
          <w:sz w:val="20"/>
          <w:szCs w:val="20"/>
        </w:rPr>
        <w:t>Sp</w:t>
      </w:r>
      <w:r w:rsidR="00D25C0F" w:rsidRPr="00E7245D">
        <w:rPr>
          <w:sz w:val="20"/>
          <w:szCs w:val="20"/>
          <w:lang w:val="pt-BR"/>
        </w:rPr>
        <w:t>p</w:t>
      </w:r>
      <w:r>
        <w:rPr>
          <w:sz w:val="20"/>
          <w:szCs w:val="20"/>
        </w:rPr>
        <w:t>.</w:t>
      </w:r>
      <w:r>
        <w:rPr>
          <w:sz w:val="20"/>
          <w:szCs w:val="20"/>
          <w:lang w:val="pt-BR"/>
        </w:rPr>
        <w:t xml:space="preserve">). </w:t>
      </w:r>
      <w:r>
        <w:rPr>
          <w:sz w:val="20"/>
          <w:szCs w:val="20"/>
        </w:rPr>
        <w:t>Além disso, foram</w:t>
      </w:r>
      <w:r>
        <w:rPr>
          <w:color w:val="000000"/>
          <w:sz w:val="20"/>
          <w:szCs w:val="20"/>
        </w:rPr>
        <w:t xml:space="preserve"> identificadas duas espécies ameaçadas de extinção: </w:t>
      </w:r>
      <w:r>
        <w:rPr>
          <w:i/>
          <w:color w:val="000000"/>
          <w:sz w:val="20"/>
          <w:szCs w:val="20"/>
        </w:rPr>
        <w:t>Spinus yarrel</w:t>
      </w:r>
      <w:r w:rsidR="00C17FDF">
        <w:rPr>
          <w:i/>
          <w:color w:val="000000"/>
          <w:sz w:val="20"/>
          <w:szCs w:val="20"/>
          <w:lang w:val="pt-BR"/>
        </w:rPr>
        <w:t>l</w:t>
      </w:r>
      <w:r>
        <w:rPr>
          <w:i/>
          <w:color w:val="000000"/>
          <w:sz w:val="20"/>
          <w:szCs w:val="20"/>
        </w:rPr>
        <w:t>i</w:t>
      </w:r>
      <w:r w:rsidR="00C17FDF">
        <w:rPr>
          <w:i/>
          <w:color w:val="000000"/>
          <w:sz w:val="20"/>
          <w:szCs w:val="20"/>
          <w:lang w:val="pt-BR"/>
        </w:rPr>
        <w:t>i</w:t>
      </w:r>
      <w:r>
        <w:rPr>
          <w:i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(pintassilgo-do-nordeste)</w:t>
      </w:r>
      <w:r>
        <w:rPr>
          <w:i/>
          <w:color w:val="000000"/>
          <w:sz w:val="20"/>
          <w:szCs w:val="20"/>
        </w:rPr>
        <w:t xml:space="preserve"> e Penelope jacucaca </w:t>
      </w:r>
      <w:r>
        <w:rPr>
          <w:color w:val="000000"/>
          <w:sz w:val="20"/>
          <w:szCs w:val="20"/>
        </w:rPr>
        <w:t xml:space="preserve">(jacucaca) na categoria vulnerável. </w:t>
      </w:r>
      <w:r>
        <w:rPr>
          <w:sz w:val="20"/>
          <w:szCs w:val="20"/>
        </w:rPr>
        <w:t>Por fim,</w:t>
      </w:r>
      <w:r>
        <w:rPr>
          <w:color w:val="000000"/>
          <w:sz w:val="20"/>
          <w:szCs w:val="20"/>
        </w:rPr>
        <w:t xml:space="preserve"> também </w:t>
      </w:r>
      <w:r>
        <w:rPr>
          <w:sz w:val="20"/>
          <w:szCs w:val="20"/>
        </w:rPr>
        <w:t>foram</w:t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registradas</w:t>
      </w:r>
      <w:r>
        <w:rPr>
          <w:color w:val="000000"/>
          <w:sz w:val="20"/>
          <w:szCs w:val="20"/>
        </w:rPr>
        <w:t xml:space="preserve"> duas espécies exóticas, sendo o </w:t>
      </w:r>
      <w:r>
        <w:rPr>
          <w:i/>
          <w:color w:val="000000"/>
          <w:sz w:val="20"/>
          <w:szCs w:val="20"/>
        </w:rPr>
        <w:t xml:space="preserve">Passer domesticus </w:t>
      </w:r>
      <w:r>
        <w:rPr>
          <w:color w:val="000000"/>
          <w:sz w:val="20"/>
          <w:szCs w:val="20"/>
        </w:rPr>
        <w:t>(pardal) e</w:t>
      </w:r>
      <w:r>
        <w:rPr>
          <w:i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</w:rPr>
        <w:t xml:space="preserve">Estrilda astrild </w:t>
      </w:r>
      <w:r>
        <w:rPr>
          <w:color w:val="000000"/>
          <w:sz w:val="20"/>
          <w:szCs w:val="20"/>
        </w:rPr>
        <w:t>(bico-de-lacre)</w:t>
      </w:r>
      <w:r>
        <w:rPr>
          <w:i/>
          <w:color w:val="000000"/>
          <w:sz w:val="20"/>
          <w:szCs w:val="20"/>
        </w:rPr>
        <w:t>.</w:t>
      </w:r>
    </w:p>
    <w:p w14:paraId="65544B1E" w14:textId="77777777" w:rsidR="00981FED" w:rsidRDefault="00981FED">
      <w:pPr>
        <w:spacing w:line="240" w:lineRule="auto"/>
        <w:jc w:val="both"/>
        <w:rPr>
          <w:i/>
          <w:color w:val="000000"/>
          <w:sz w:val="20"/>
          <w:szCs w:val="20"/>
          <w:lang w:eastAsia="zh-CN"/>
        </w:rPr>
      </w:pPr>
    </w:p>
    <w:p w14:paraId="6DD2A320" w14:textId="77777777" w:rsidR="00981FED" w:rsidRDefault="0078321A">
      <w:pPr>
        <w:spacing w:line="240" w:lineRule="auto"/>
        <w:jc w:val="both"/>
        <w:rPr>
          <w:rFonts w:eastAsiaTheme="minorEastAsia"/>
          <w:b/>
          <w:sz w:val="20"/>
          <w:szCs w:val="20"/>
          <w:lang w:eastAsia="zh-CN"/>
        </w:rPr>
      </w:pPr>
      <w:r>
        <w:rPr>
          <w:b/>
          <w:sz w:val="20"/>
          <w:szCs w:val="20"/>
        </w:rPr>
        <w:t>CONCLUSÕES</w:t>
      </w:r>
    </w:p>
    <w:p w14:paraId="44C8EBAD" w14:textId="3F1B1C52" w:rsidR="00981FED" w:rsidRDefault="0078321A">
      <w:pPr>
        <w:spacing w:line="240" w:lineRule="auto"/>
        <w:jc w:val="both"/>
        <w:rPr>
          <w:rFonts w:eastAsiaTheme="minorEastAsia"/>
          <w:bCs/>
          <w:sz w:val="20"/>
          <w:szCs w:val="20"/>
          <w:lang w:eastAsia="zh-CN"/>
        </w:rPr>
      </w:pPr>
      <w:r>
        <w:rPr>
          <w:rFonts w:eastAsiaTheme="minorEastAsia"/>
          <w:b/>
          <w:sz w:val="20"/>
          <w:szCs w:val="20"/>
          <w:lang w:eastAsia="zh-CN"/>
        </w:rPr>
        <w:tab/>
      </w:r>
      <w:r>
        <w:rPr>
          <w:rFonts w:eastAsiaTheme="minorEastAsia"/>
          <w:bCs/>
          <w:sz w:val="20"/>
          <w:szCs w:val="20"/>
          <w:lang w:eastAsia="zh-CN"/>
        </w:rPr>
        <w:t>A</w:t>
      </w:r>
      <w:r>
        <w:rPr>
          <w:rFonts w:eastAsiaTheme="minorEastAsia"/>
          <w:bCs/>
          <w:sz w:val="20"/>
          <w:szCs w:val="20"/>
          <w:lang w:val="pt-BR" w:eastAsia="zh-CN"/>
        </w:rPr>
        <w:t xml:space="preserve"> </w:t>
      </w:r>
      <w:r>
        <w:rPr>
          <w:rFonts w:eastAsiaTheme="minorEastAsia"/>
          <w:bCs/>
          <w:sz w:val="20"/>
          <w:szCs w:val="20"/>
          <w:lang w:eastAsia="zh-CN"/>
        </w:rPr>
        <w:t xml:space="preserve">Unidade de Conservação apresenta uma </w:t>
      </w:r>
      <w:r>
        <w:rPr>
          <w:rFonts w:eastAsiaTheme="minorEastAsia"/>
          <w:bCs/>
          <w:sz w:val="20"/>
          <w:szCs w:val="20"/>
          <w:lang w:val="pt-BR" w:eastAsia="zh-CN"/>
        </w:rPr>
        <w:t xml:space="preserve">riqueza </w:t>
      </w:r>
      <w:r>
        <w:rPr>
          <w:rFonts w:eastAsiaTheme="minorEastAsia"/>
          <w:bCs/>
          <w:sz w:val="20"/>
          <w:szCs w:val="20"/>
          <w:lang w:eastAsia="zh-CN"/>
        </w:rPr>
        <w:t xml:space="preserve">de aves significativa para a região do sertão do Pajeú, na </w:t>
      </w:r>
      <w:r w:rsidR="00831924">
        <w:rPr>
          <w:rFonts w:eastAsiaTheme="minorEastAsia"/>
          <w:bCs/>
          <w:sz w:val="20"/>
          <w:szCs w:val="20"/>
          <w:lang w:val="pt-BR" w:eastAsia="zh-CN"/>
        </w:rPr>
        <w:t>C</w:t>
      </w:r>
      <w:r>
        <w:rPr>
          <w:rFonts w:eastAsiaTheme="minorEastAsia"/>
          <w:bCs/>
          <w:sz w:val="20"/>
          <w:szCs w:val="20"/>
          <w:lang w:eastAsia="zh-CN"/>
        </w:rPr>
        <w:t xml:space="preserve">aatinga pernambucana. Além disso, destaca-se como uma área importante para a conservação dessas aves, pois abriga espécies endêmicas e ameaçadas de extinção. Os resultados obtidos ressaltam a necessidade de realizar levantamentos mais sistemáticos para melhor compreender a estrutura da comunidade de aves e, assim, apoiar medidas de conservação efetivas para o </w:t>
      </w:r>
      <w:r w:rsidR="003A748D">
        <w:rPr>
          <w:rFonts w:eastAsiaTheme="minorEastAsia"/>
          <w:bCs/>
          <w:sz w:val="20"/>
          <w:szCs w:val="20"/>
          <w:lang w:val="pt-BR" w:eastAsia="zh-CN"/>
        </w:rPr>
        <w:t>p</w:t>
      </w:r>
      <w:r>
        <w:rPr>
          <w:rFonts w:eastAsiaTheme="minorEastAsia"/>
          <w:bCs/>
          <w:sz w:val="20"/>
          <w:szCs w:val="20"/>
          <w:lang w:eastAsia="zh-CN"/>
        </w:rPr>
        <w:t>arque.</w:t>
      </w:r>
    </w:p>
    <w:p w14:paraId="6B0618CC" w14:textId="77777777" w:rsidR="00981FED" w:rsidRDefault="00981FED">
      <w:pPr>
        <w:spacing w:line="240" w:lineRule="auto"/>
        <w:jc w:val="both"/>
        <w:rPr>
          <w:sz w:val="20"/>
          <w:szCs w:val="20"/>
        </w:rPr>
      </w:pPr>
    </w:p>
    <w:p w14:paraId="63F238DA" w14:textId="77777777" w:rsidR="00981FED" w:rsidRDefault="0078321A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7FB3B4E2" w14:textId="77777777" w:rsidR="00623D8F" w:rsidRPr="00625EFF" w:rsidRDefault="00623D8F" w:rsidP="004B229D">
      <w:pPr>
        <w:widowControl w:val="0"/>
        <w:spacing w:line="240" w:lineRule="auto"/>
        <w:jc w:val="both"/>
        <w:rPr>
          <w:rFonts w:eastAsiaTheme="minorEastAsia"/>
          <w:sz w:val="20"/>
          <w:szCs w:val="20"/>
          <w:lang w:eastAsia="zh-CN"/>
        </w:rPr>
      </w:pPr>
      <w:r w:rsidRPr="00625EFF">
        <w:rPr>
          <w:sz w:val="20"/>
          <w:szCs w:val="20"/>
        </w:rPr>
        <w:t>Almeida, G. V. L.</w:t>
      </w:r>
      <w:r w:rsidRPr="00625EFF">
        <w:rPr>
          <w:sz w:val="20"/>
          <w:szCs w:val="20"/>
          <w:lang w:val="pt-BR"/>
        </w:rPr>
        <w:t xml:space="preserve">; J.M.S. Correia.; M.F. Rodrigues.; A.L.B. Silva.; L.A.M Silva </w:t>
      </w:r>
      <w:r w:rsidRPr="00625EFF">
        <w:rPr>
          <w:rFonts w:eastAsia="Times New Roman"/>
          <w:sz w:val="20"/>
          <w:szCs w:val="20"/>
        </w:rPr>
        <w:t>&amp;</w:t>
      </w:r>
      <w:r w:rsidRPr="00625EFF">
        <w:rPr>
          <w:sz w:val="20"/>
          <w:szCs w:val="20"/>
          <w:lang w:val="pt-BR"/>
        </w:rPr>
        <w:t xml:space="preserve"> E.M Santos. </w:t>
      </w:r>
      <w:r w:rsidRPr="00625EFF">
        <w:rPr>
          <w:sz w:val="20"/>
          <w:szCs w:val="20"/>
        </w:rPr>
        <w:t>2021</w:t>
      </w:r>
      <w:r w:rsidRPr="00625EFF">
        <w:rPr>
          <w:sz w:val="20"/>
          <w:szCs w:val="20"/>
          <w:lang w:val="pt-BR"/>
        </w:rPr>
        <w:t>.</w:t>
      </w:r>
      <w:r w:rsidRPr="00625EFF">
        <w:rPr>
          <w:sz w:val="20"/>
          <w:szCs w:val="20"/>
        </w:rPr>
        <w:t xml:space="preserve"> Vertebrados da bacia hidrográfica do Rio Pajeú/Sertão de Pernambuco. Revista Ibero-Americana de Ciências Ambientais, v. 12, n. 4, p. 155–175</w:t>
      </w:r>
      <w:r w:rsidRPr="00625EFF">
        <w:rPr>
          <w:sz w:val="20"/>
          <w:szCs w:val="20"/>
          <w:lang w:val="pt-BR"/>
        </w:rPr>
        <w:t>.</w:t>
      </w:r>
      <w:r w:rsidRPr="00625EFF">
        <w:rPr>
          <w:sz w:val="20"/>
          <w:szCs w:val="20"/>
        </w:rPr>
        <w:t xml:space="preserve"> </w:t>
      </w:r>
    </w:p>
    <w:p w14:paraId="45813C69" w14:textId="7BFB5091" w:rsidR="00623D8F" w:rsidRPr="00625EFF" w:rsidRDefault="00623D8F" w:rsidP="004B229D">
      <w:pPr>
        <w:widowControl w:val="0"/>
        <w:spacing w:line="240" w:lineRule="auto"/>
        <w:jc w:val="both"/>
        <w:rPr>
          <w:rFonts w:eastAsiaTheme="minorEastAsia"/>
          <w:sz w:val="20"/>
          <w:szCs w:val="20"/>
          <w:lang w:eastAsia="zh-CN"/>
        </w:rPr>
      </w:pPr>
      <w:r w:rsidRPr="00625EFF">
        <w:rPr>
          <w:sz w:val="20"/>
          <w:szCs w:val="20"/>
        </w:rPr>
        <w:t>Alvares, C. A.</w:t>
      </w:r>
      <w:r w:rsidRPr="00625EFF">
        <w:rPr>
          <w:sz w:val="20"/>
          <w:szCs w:val="20"/>
          <w:lang w:val="pt-BR"/>
        </w:rPr>
        <w:t xml:space="preserve">; J.L. </w:t>
      </w:r>
      <w:proofErr w:type="spellStart"/>
      <w:r w:rsidRPr="00625EFF">
        <w:rPr>
          <w:sz w:val="20"/>
          <w:szCs w:val="20"/>
          <w:lang w:val="pt-BR"/>
        </w:rPr>
        <w:t>Stape</w:t>
      </w:r>
      <w:proofErr w:type="spellEnd"/>
      <w:r w:rsidRPr="00625EFF">
        <w:rPr>
          <w:sz w:val="20"/>
          <w:szCs w:val="20"/>
          <w:lang w:val="pt-BR"/>
        </w:rPr>
        <w:t xml:space="preserve">.; P.C. </w:t>
      </w:r>
      <w:proofErr w:type="spellStart"/>
      <w:r w:rsidRPr="00625EFF">
        <w:rPr>
          <w:sz w:val="20"/>
          <w:szCs w:val="20"/>
          <w:lang w:val="pt-BR"/>
        </w:rPr>
        <w:t>Sentelhas</w:t>
      </w:r>
      <w:proofErr w:type="spellEnd"/>
      <w:r w:rsidRPr="00625EFF">
        <w:rPr>
          <w:sz w:val="20"/>
          <w:szCs w:val="20"/>
          <w:lang w:val="pt-BR"/>
        </w:rPr>
        <w:t xml:space="preserve">.; J.L.M. Gonçalves </w:t>
      </w:r>
      <w:r w:rsidRPr="00625EFF">
        <w:rPr>
          <w:rFonts w:eastAsia="Times New Roman"/>
          <w:sz w:val="20"/>
          <w:szCs w:val="20"/>
        </w:rPr>
        <w:t>&amp;</w:t>
      </w:r>
      <w:r w:rsidRPr="00625EFF">
        <w:rPr>
          <w:rFonts w:eastAsia="Times New Roman"/>
          <w:sz w:val="20"/>
          <w:szCs w:val="20"/>
          <w:lang w:val="pt-BR"/>
        </w:rPr>
        <w:t xml:space="preserve"> </w:t>
      </w:r>
      <w:r w:rsidRPr="00625EFF">
        <w:rPr>
          <w:sz w:val="20"/>
          <w:szCs w:val="20"/>
          <w:lang w:val="pt-BR"/>
        </w:rPr>
        <w:t xml:space="preserve">G. </w:t>
      </w:r>
      <w:proofErr w:type="spellStart"/>
      <w:r w:rsidR="009457FA" w:rsidRPr="00625EFF">
        <w:rPr>
          <w:sz w:val="20"/>
          <w:szCs w:val="20"/>
          <w:lang w:val="pt-BR"/>
        </w:rPr>
        <w:t>S</w:t>
      </w:r>
      <w:r w:rsidRPr="00625EFF">
        <w:rPr>
          <w:sz w:val="20"/>
          <w:szCs w:val="20"/>
          <w:lang w:val="pt-BR"/>
        </w:rPr>
        <w:t>parovek</w:t>
      </w:r>
      <w:proofErr w:type="spellEnd"/>
      <w:r w:rsidR="009457FA" w:rsidRPr="00625EFF">
        <w:rPr>
          <w:sz w:val="20"/>
          <w:szCs w:val="20"/>
          <w:lang w:val="pt-BR"/>
        </w:rPr>
        <w:t>.</w:t>
      </w:r>
      <w:r w:rsidRPr="00625EFF">
        <w:rPr>
          <w:sz w:val="20"/>
          <w:szCs w:val="20"/>
        </w:rPr>
        <w:t xml:space="preserve"> 2013. Köppen’s climate classification map for Brazil. Meteorologische Zeitschrift, v. 22, n. 6, p. 711–728.</w:t>
      </w:r>
    </w:p>
    <w:p w14:paraId="78CB45ED" w14:textId="294694A1" w:rsidR="00623D8F" w:rsidRPr="00625EFF" w:rsidRDefault="00623D8F" w:rsidP="004B229D">
      <w:pPr>
        <w:widowControl w:val="0"/>
        <w:spacing w:line="240" w:lineRule="auto"/>
        <w:jc w:val="both"/>
        <w:rPr>
          <w:rFonts w:eastAsiaTheme="minorEastAsia"/>
          <w:sz w:val="20"/>
          <w:szCs w:val="20"/>
          <w:lang w:eastAsia="zh-CN"/>
        </w:rPr>
      </w:pPr>
      <w:r w:rsidRPr="00625EFF">
        <w:rPr>
          <w:sz w:val="20"/>
          <w:szCs w:val="20"/>
        </w:rPr>
        <w:t>Araújo, H. F. P &amp;</w:t>
      </w:r>
      <w:r w:rsidRPr="00625EFF">
        <w:rPr>
          <w:sz w:val="20"/>
          <w:szCs w:val="20"/>
          <w:lang w:val="pt-BR"/>
        </w:rPr>
        <w:t xml:space="preserve"> J.M.C</w:t>
      </w:r>
      <w:r w:rsidRPr="00625EFF">
        <w:rPr>
          <w:sz w:val="20"/>
          <w:szCs w:val="20"/>
        </w:rPr>
        <w:t xml:space="preserve"> Silva. 2017. The avifauna of the Caatinga: biogeography, ecology, and conservation. Caatinga: The largest tropical dry forest region in South America, p. 181- 210.</w:t>
      </w:r>
    </w:p>
    <w:p w14:paraId="6888B6B8" w14:textId="6F0E0597" w:rsidR="00623D8F" w:rsidRPr="00625EFF" w:rsidRDefault="00623D8F" w:rsidP="004B229D">
      <w:pPr>
        <w:widowControl w:val="0"/>
        <w:spacing w:line="240" w:lineRule="auto"/>
        <w:jc w:val="both"/>
        <w:rPr>
          <w:sz w:val="20"/>
          <w:szCs w:val="20"/>
          <w:lang w:val="pt-BR"/>
        </w:rPr>
      </w:pPr>
      <w:r w:rsidRPr="00625EFF">
        <w:rPr>
          <w:sz w:val="20"/>
          <w:szCs w:val="20"/>
        </w:rPr>
        <w:t xml:space="preserve">Farias, G. B. &amp; </w:t>
      </w:r>
      <w:r w:rsidR="007A48D4" w:rsidRPr="00625EFF">
        <w:rPr>
          <w:sz w:val="20"/>
          <w:szCs w:val="20"/>
        </w:rPr>
        <w:t xml:space="preserve">G. A. </w:t>
      </w:r>
      <w:r w:rsidR="007A48D4">
        <w:rPr>
          <w:sz w:val="20"/>
          <w:szCs w:val="20"/>
          <w:lang w:val="pt-BR"/>
        </w:rPr>
        <w:t xml:space="preserve"> </w:t>
      </w:r>
      <w:r w:rsidRPr="00625EFF">
        <w:rPr>
          <w:sz w:val="20"/>
          <w:szCs w:val="20"/>
        </w:rPr>
        <w:t>Pereira</w:t>
      </w:r>
      <w:r w:rsidR="007A48D4">
        <w:rPr>
          <w:sz w:val="20"/>
          <w:szCs w:val="20"/>
          <w:lang w:val="pt-BR"/>
        </w:rPr>
        <w:t>.</w:t>
      </w:r>
      <w:r w:rsidRPr="00625EFF">
        <w:rPr>
          <w:sz w:val="20"/>
          <w:szCs w:val="20"/>
        </w:rPr>
        <w:t>2011. Aves de Pernambuco: o estado atual do conhecimento ornitológico. Biotemas, v. 22, n. 3, p. 1–10</w:t>
      </w:r>
      <w:r w:rsidRPr="00625EFF">
        <w:rPr>
          <w:sz w:val="20"/>
          <w:szCs w:val="20"/>
          <w:lang w:val="pt-BR"/>
        </w:rPr>
        <w:t>.</w:t>
      </w:r>
    </w:p>
    <w:p w14:paraId="0B959B47" w14:textId="6C962D74" w:rsidR="00623D8F" w:rsidRPr="00625EFF" w:rsidRDefault="00623D8F" w:rsidP="004B229D">
      <w:pPr>
        <w:widowControl w:val="0"/>
        <w:spacing w:line="240" w:lineRule="auto"/>
        <w:jc w:val="both"/>
        <w:rPr>
          <w:sz w:val="20"/>
          <w:szCs w:val="20"/>
          <w:lang w:val="pt-BR"/>
        </w:rPr>
      </w:pPr>
      <w:r w:rsidRPr="00625EFF">
        <w:rPr>
          <w:sz w:val="20"/>
          <w:szCs w:val="20"/>
        </w:rPr>
        <w:t>Haffer, J. 1985. Avian zoogeography of the Neotropical lowlands. Ornithological Monographs, p. 113-146</w:t>
      </w:r>
      <w:r w:rsidRPr="00625EFF">
        <w:rPr>
          <w:sz w:val="20"/>
          <w:szCs w:val="20"/>
          <w:lang w:val="pt-BR"/>
        </w:rPr>
        <w:t>.</w:t>
      </w:r>
    </w:p>
    <w:p w14:paraId="586F98B1" w14:textId="4A0DAD7C" w:rsidR="00623D8F" w:rsidRPr="00625EFF" w:rsidRDefault="00623D8F" w:rsidP="004B229D">
      <w:pPr>
        <w:widowControl w:val="0"/>
        <w:spacing w:line="240" w:lineRule="auto"/>
        <w:jc w:val="both"/>
        <w:rPr>
          <w:sz w:val="20"/>
          <w:szCs w:val="20"/>
          <w:lang w:val="pt-BR"/>
        </w:rPr>
      </w:pPr>
      <w:r w:rsidRPr="00625EFF">
        <w:rPr>
          <w:sz w:val="20"/>
          <w:szCs w:val="20"/>
          <w:highlight w:val="white"/>
        </w:rPr>
        <w:t>Lima, R. D. 2021. Birds of the Caatinga revisited: the problem of enclaves within, but not of, the Caatinga. Journal of Arid Environments, v. 191, p. 104537</w:t>
      </w:r>
      <w:r w:rsidRPr="00625EFF">
        <w:rPr>
          <w:sz w:val="20"/>
          <w:szCs w:val="20"/>
          <w:lang w:val="pt-BR"/>
        </w:rPr>
        <w:t>.</w:t>
      </w:r>
    </w:p>
    <w:p w14:paraId="652E3FDC" w14:textId="7B20D307" w:rsidR="00844130" w:rsidRPr="004B229D" w:rsidRDefault="00844130" w:rsidP="004B229D">
      <w:pPr>
        <w:widowControl w:val="0"/>
        <w:spacing w:line="240" w:lineRule="auto"/>
        <w:jc w:val="both"/>
        <w:rPr>
          <w:rStyle w:val="selectable-text"/>
          <w:rFonts w:eastAsiaTheme="minorEastAsia" w:hint="eastAsia"/>
          <w:sz w:val="20"/>
          <w:szCs w:val="20"/>
          <w:lang w:val="pt-BR" w:eastAsia="zh-CN"/>
        </w:rPr>
      </w:pPr>
      <w:r w:rsidRPr="00625EFF">
        <w:rPr>
          <w:rStyle w:val="selectable-text"/>
          <w:sz w:val="20"/>
          <w:szCs w:val="20"/>
        </w:rPr>
        <w:t>Melo, A. L.</w:t>
      </w:r>
      <w:r w:rsidRPr="00625EFF">
        <w:rPr>
          <w:rStyle w:val="selectable-text"/>
          <w:sz w:val="20"/>
          <w:szCs w:val="20"/>
          <w:lang w:val="pt-BR"/>
        </w:rPr>
        <w:t xml:space="preserve"> </w:t>
      </w:r>
      <w:r w:rsidRPr="00625EFF">
        <w:rPr>
          <w:rStyle w:val="selectable-text"/>
          <w:sz w:val="20"/>
          <w:szCs w:val="20"/>
        </w:rPr>
        <w:t>2013. Flora vascular terrestre. Parque Estadual Mata da Pimenteira: Riqueza Natural e Conservação da Caatinga. Edufrpe, Recife</w:t>
      </w:r>
      <w:r w:rsidR="004B229D">
        <w:rPr>
          <w:rStyle w:val="selectable-text"/>
          <w:sz w:val="20"/>
          <w:szCs w:val="20"/>
          <w:lang w:val="pt-BR"/>
        </w:rPr>
        <w:t>.</w:t>
      </w:r>
    </w:p>
    <w:p w14:paraId="65D897B7" w14:textId="57961ACB" w:rsidR="004B229D" w:rsidRPr="004B229D" w:rsidRDefault="0076135B" w:rsidP="004B229D">
      <w:pPr>
        <w:widowControl w:val="0"/>
        <w:spacing w:line="240" w:lineRule="auto"/>
        <w:jc w:val="both"/>
        <w:rPr>
          <w:rFonts w:eastAsiaTheme="minorEastAsia" w:hint="eastAsia"/>
          <w:sz w:val="20"/>
          <w:szCs w:val="20"/>
          <w:lang w:eastAsia="zh-CN"/>
        </w:rPr>
      </w:pPr>
      <w:r w:rsidRPr="00625EFF">
        <w:rPr>
          <w:sz w:val="20"/>
          <w:szCs w:val="20"/>
        </w:rPr>
        <w:t>Pacheco, J. F. 2004. As Aves Da Caatinga – Apreciação Histórica Do Processo De Conhecimento. Mma. p. 1–60.</w:t>
      </w:r>
    </w:p>
    <w:p w14:paraId="4B592F9B" w14:textId="07F7D975" w:rsidR="004B229D" w:rsidRPr="004B229D" w:rsidRDefault="00C17FDF" w:rsidP="004B229D">
      <w:pPr>
        <w:spacing w:line="240" w:lineRule="auto"/>
        <w:jc w:val="both"/>
        <w:rPr>
          <w:rFonts w:eastAsiaTheme="minorEastAsia" w:hint="eastAsia"/>
          <w:color w:val="222222"/>
          <w:sz w:val="20"/>
          <w:szCs w:val="20"/>
          <w:shd w:val="clear" w:color="auto" w:fill="FFFFFF"/>
          <w:lang w:eastAsia="zh-CN"/>
        </w:rPr>
      </w:pPr>
      <w:bookmarkStart w:id="1" w:name="_Hlk140009449"/>
      <w:r w:rsidRPr="00625EFF">
        <w:rPr>
          <w:color w:val="222222"/>
          <w:sz w:val="20"/>
          <w:szCs w:val="20"/>
          <w:shd w:val="clear" w:color="auto" w:fill="FFFFFF"/>
        </w:rPr>
        <w:t>S</w:t>
      </w:r>
      <w:r w:rsidRPr="00625EFF">
        <w:rPr>
          <w:color w:val="222222"/>
          <w:sz w:val="20"/>
          <w:szCs w:val="20"/>
          <w:shd w:val="clear" w:color="auto" w:fill="FFFFFF"/>
          <w:lang w:val="pt-BR"/>
        </w:rPr>
        <w:t>antos</w:t>
      </w:r>
      <w:r w:rsidRPr="00625EFF">
        <w:rPr>
          <w:color w:val="222222"/>
          <w:sz w:val="20"/>
          <w:szCs w:val="20"/>
          <w:shd w:val="clear" w:color="auto" w:fill="FFFFFF"/>
        </w:rPr>
        <w:t>, E M</w:t>
      </w:r>
      <w:r w:rsidR="00625EFF" w:rsidRPr="00625EFF">
        <w:rPr>
          <w:color w:val="222222"/>
          <w:sz w:val="20"/>
          <w:szCs w:val="20"/>
          <w:shd w:val="clear" w:color="auto" w:fill="FFFFFF"/>
          <w:lang w:val="pt-BR"/>
        </w:rPr>
        <w:t xml:space="preserve">.; </w:t>
      </w:r>
      <w:r w:rsidR="007A48D4" w:rsidRPr="00625EFF">
        <w:rPr>
          <w:color w:val="222222"/>
          <w:sz w:val="20"/>
          <w:szCs w:val="20"/>
          <w:shd w:val="clear" w:color="auto" w:fill="FFFFFF"/>
          <w:lang w:val="pt-BR"/>
        </w:rPr>
        <w:t xml:space="preserve">B.L.C </w:t>
      </w:r>
      <w:r w:rsidR="007A48D4">
        <w:rPr>
          <w:color w:val="222222"/>
          <w:sz w:val="20"/>
          <w:szCs w:val="20"/>
          <w:shd w:val="clear" w:color="auto" w:fill="FFFFFF"/>
          <w:lang w:val="pt-BR"/>
        </w:rPr>
        <w:t>Moraes</w:t>
      </w:r>
      <w:r w:rsidR="00625EFF" w:rsidRPr="00625EFF">
        <w:rPr>
          <w:color w:val="222222"/>
          <w:sz w:val="20"/>
          <w:szCs w:val="20"/>
          <w:shd w:val="clear" w:color="auto" w:fill="FFFFFF"/>
          <w:lang w:val="pt-BR"/>
        </w:rPr>
        <w:t xml:space="preserve">; </w:t>
      </w:r>
      <w:r w:rsidR="007A48D4" w:rsidRPr="00625EFF">
        <w:rPr>
          <w:color w:val="222222"/>
          <w:sz w:val="20"/>
          <w:szCs w:val="20"/>
          <w:shd w:val="clear" w:color="auto" w:fill="FFFFFF"/>
          <w:lang w:val="pt-BR"/>
        </w:rPr>
        <w:t xml:space="preserve">G.V.L </w:t>
      </w:r>
      <w:r w:rsidR="007A48D4">
        <w:rPr>
          <w:color w:val="222222"/>
          <w:sz w:val="20"/>
          <w:szCs w:val="20"/>
          <w:shd w:val="clear" w:color="auto" w:fill="FFFFFF"/>
          <w:lang w:val="pt-BR"/>
        </w:rPr>
        <w:t>Almeida</w:t>
      </w:r>
      <w:r w:rsidR="00625EFF" w:rsidRPr="00625EFF">
        <w:rPr>
          <w:color w:val="222222"/>
          <w:sz w:val="20"/>
          <w:szCs w:val="20"/>
          <w:shd w:val="clear" w:color="auto" w:fill="FFFFFF"/>
          <w:lang w:val="pt-BR"/>
        </w:rPr>
        <w:t xml:space="preserve"> </w:t>
      </w:r>
      <w:r w:rsidR="00625EFF" w:rsidRPr="00625EFF">
        <w:rPr>
          <w:rFonts w:eastAsia="Times New Roman"/>
          <w:sz w:val="20"/>
          <w:szCs w:val="20"/>
        </w:rPr>
        <w:t>&amp;</w:t>
      </w:r>
      <w:r w:rsidR="00625EFF" w:rsidRPr="00625EFF">
        <w:rPr>
          <w:rFonts w:eastAsia="Times New Roman"/>
          <w:sz w:val="20"/>
          <w:szCs w:val="20"/>
          <w:lang w:val="pt-BR"/>
        </w:rPr>
        <w:t xml:space="preserve"> </w:t>
      </w:r>
      <w:r w:rsidR="007A48D4" w:rsidRPr="00625EFF">
        <w:rPr>
          <w:color w:val="222222"/>
          <w:sz w:val="20"/>
          <w:szCs w:val="20"/>
          <w:shd w:val="clear" w:color="auto" w:fill="FFFFFF"/>
          <w:lang w:val="pt-BR"/>
        </w:rPr>
        <w:t xml:space="preserve">F.G.C </w:t>
      </w:r>
      <w:r w:rsidR="007A48D4">
        <w:rPr>
          <w:color w:val="222222"/>
          <w:sz w:val="20"/>
          <w:szCs w:val="20"/>
          <w:shd w:val="clear" w:color="auto" w:fill="FFFFFF"/>
          <w:lang w:val="pt-BR"/>
        </w:rPr>
        <w:t>Neto</w:t>
      </w:r>
      <w:r w:rsidR="00625EFF" w:rsidRPr="00625EFF">
        <w:rPr>
          <w:color w:val="222222"/>
          <w:sz w:val="20"/>
          <w:szCs w:val="20"/>
          <w:shd w:val="clear" w:color="auto" w:fill="FFFFFF"/>
          <w:lang w:val="pt-BR"/>
        </w:rPr>
        <w:t xml:space="preserve">. </w:t>
      </w:r>
      <w:r w:rsidRPr="00625EFF">
        <w:rPr>
          <w:color w:val="222222"/>
          <w:sz w:val="20"/>
          <w:szCs w:val="20"/>
          <w:shd w:val="clear" w:color="auto" w:fill="FFFFFF"/>
          <w:lang w:val="pt-BR"/>
        </w:rPr>
        <w:t>2013</w:t>
      </w:r>
      <w:r w:rsidRPr="00625EFF">
        <w:rPr>
          <w:color w:val="222222"/>
          <w:sz w:val="20"/>
          <w:szCs w:val="20"/>
          <w:shd w:val="clear" w:color="auto" w:fill="FFFFFF"/>
        </w:rPr>
        <w:t xml:space="preserve"> Parque Estadual Mata da Pimenteira: </w:t>
      </w:r>
      <w:r w:rsidR="007A48D4">
        <w:rPr>
          <w:color w:val="222222"/>
          <w:sz w:val="20"/>
          <w:szCs w:val="20"/>
          <w:shd w:val="clear" w:color="auto" w:fill="FFFFFF"/>
          <w:lang w:val="pt-BR"/>
        </w:rPr>
        <w:t>R</w:t>
      </w:r>
      <w:r w:rsidRPr="00625EFF">
        <w:rPr>
          <w:color w:val="222222"/>
          <w:sz w:val="20"/>
          <w:szCs w:val="20"/>
          <w:shd w:val="clear" w:color="auto" w:fill="FFFFFF"/>
        </w:rPr>
        <w:t xml:space="preserve">iqueza </w:t>
      </w:r>
      <w:r w:rsidR="007A48D4">
        <w:rPr>
          <w:color w:val="222222"/>
          <w:sz w:val="20"/>
          <w:szCs w:val="20"/>
          <w:shd w:val="clear" w:color="auto" w:fill="FFFFFF"/>
          <w:lang w:val="pt-BR"/>
        </w:rPr>
        <w:t>N</w:t>
      </w:r>
      <w:r w:rsidRPr="00625EFF">
        <w:rPr>
          <w:color w:val="222222"/>
          <w:sz w:val="20"/>
          <w:szCs w:val="20"/>
          <w:shd w:val="clear" w:color="auto" w:fill="FFFFFF"/>
        </w:rPr>
        <w:t>atural e conservação da caatinga. Recife: EDUFRPE.</w:t>
      </w:r>
      <w:bookmarkEnd w:id="1"/>
    </w:p>
    <w:p w14:paraId="5824C31D" w14:textId="6AD29069" w:rsidR="0076135B" w:rsidRPr="00625EFF" w:rsidRDefault="0076135B" w:rsidP="004B229D">
      <w:pPr>
        <w:widowControl w:val="0"/>
        <w:spacing w:line="240" w:lineRule="auto"/>
        <w:jc w:val="both"/>
        <w:rPr>
          <w:rFonts w:eastAsiaTheme="minorEastAsia"/>
          <w:sz w:val="20"/>
          <w:szCs w:val="20"/>
          <w:lang w:eastAsia="zh-CN"/>
        </w:rPr>
      </w:pPr>
      <w:r w:rsidRPr="00625EFF">
        <w:rPr>
          <w:sz w:val="20"/>
          <w:szCs w:val="20"/>
          <w:highlight w:val="white"/>
        </w:rPr>
        <w:t>Silva, J. M. C.</w:t>
      </w:r>
      <w:r w:rsidR="009B7F22" w:rsidRPr="00625EFF">
        <w:rPr>
          <w:sz w:val="20"/>
          <w:szCs w:val="20"/>
          <w:highlight w:val="white"/>
          <w:lang w:val="pt-BR"/>
        </w:rPr>
        <w:t>;</w:t>
      </w:r>
      <w:r w:rsidRPr="00625EFF">
        <w:rPr>
          <w:sz w:val="20"/>
          <w:szCs w:val="20"/>
          <w:highlight w:val="white"/>
        </w:rPr>
        <w:t xml:space="preserve"> </w:t>
      </w:r>
      <w:r w:rsidR="007A48D4" w:rsidRPr="00625EFF">
        <w:rPr>
          <w:sz w:val="20"/>
          <w:szCs w:val="20"/>
          <w:lang w:val="pt-BR"/>
        </w:rPr>
        <w:t xml:space="preserve">I.R </w:t>
      </w:r>
      <w:r w:rsidRPr="00625EFF">
        <w:rPr>
          <w:sz w:val="20"/>
          <w:szCs w:val="20"/>
          <w:highlight w:val="white"/>
          <w:lang w:val="pt-BR"/>
        </w:rPr>
        <w:t xml:space="preserve">Leal </w:t>
      </w:r>
      <w:r w:rsidRPr="00625EFF">
        <w:rPr>
          <w:rFonts w:eastAsia="Times New Roman"/>
          <w:sz w:val="20"/>
          <w:szCs w:val="20"/>
        </w:rPr>
        <w:t>&amp;</w:t>
      </w:r>
      <w:r w:rsidRPr="00625EFF">
        <w:rPr>
          <w:sz w:val="20"/>
          <w:szCs w:val="20"/>
          <w:highlight w:val="white"/>
        </w:rPr>
        <w:t xml:space="preserve"> </w:t>
      </w:r>
      <w:r w:rsidRPr="00625EFF">
        <w:rPr>
          <w:sz w:val="20"/>
          <w:szCs w:val="20"/>
          <w:highlight w:val="white"/>
          <w:lang w:val="pt-BR"/>
        </w:rPr>
        <w:t xml:space="preserve">M. </w:t>
      </w:r>
      <w:proofErr w:type="spellStart"/>
      <w:r w:rsidRPr="00625EFF">
        <w:rPr>
          <w:sz w:val="20"/>
          <w:szCs w:val="20"/>
          <w:highlight w:val="white"/>
          <w:lang w:val="pt-BR"/>
        </w:rPr>
        <w:t>Tabarelli</w:t>
      </w:r>
      <w:proofErr w:type="spellEnd"/>
      <w:r w:rsidRPr="00625EFF">
        <w:rPr>
          <w:sz w:val="20"/>
          <w:szCs w:val="20"/>
          <w:highlight w:val="white"/>
          <w:lang w:val="pt-BR"/>
        </w:rPr>
        <w:t xml:space="preserve">. </w:t>
      </w:r>
      <w:r w:rsidRPr="00625EFF">
        <w:rPr>
          <w:sz w:val="20"/>
          <w:szCs w:val="20"/>
          <w:highlight w:val="white"/>
        </w:rPr>
        <w:t>2017. The Caatinga: understanding the challenges. Caatinga: the largest tropical dry forest region in South America, p. 3-19.</w:t>
      </w:r>
    </w:p>
    <w:p w14:paraId="1E8E8F87" w14:textId="5E24EACF" w:rsidR="0076135B" w:rsidRPr="00625EFF" w:rsidRDefault="0076135B" w:rsidP="004B229D">
      <w:pPr>
        <w:widowControl w:val="0"/>
        <w:spacing w:line="240" w:lineRule="auto"/>
        <w:jc w:val="both"/>
        <w:rPr>
          <w:rFonts w:eastAsiaTheme="minorEastAsia"/>
          <w:sz w:val="20"/>
          <w:szCs w:val="20"/>
          <w:lang w:eastAsia="zh-CN"/>
        </w:rPr>
      </w:pPr>
      <w:r w:rsidRPr="00625EFF">
        <w:rPr>
          <w:sz w:val="20"/>
          <w:szCs w:val="20"/>
          <w:highlight w:val="white"/>
        </w:rPr>
        <w:t>Silva, J. M. C.</w:t>
      </w:r>
      <w:r w:rsidRPr="00625EFF">
        <w:rPr>
          <w:sz w:val="20"/>
          <w:szCs w:val="20"/>
          <w:highlight w:val="white"/>
          <w:lang w:val="pt-BR"/>
        </w:rPr>
        <w:t>; M.A. Souza.; A.G.D Bieber</w:t>
      </w:r>
      <w:r w:rsidRPr="00625EFF">
        <w:rPr>
          <w:sz w:val="20"/>
          <w:szCs w:val="20"/>
          <w:lang w:val="pt-BR"/>
        </w:rPr>
        <w:t xml:space="preserve"> </w:t>
      </w:r>
      <w:r w:rsidRPr="00625EFF">
        <w:rPr>
          <w:rFonts w:eastAsia="Times New Roman"/>
          <w:sz w:val="20"/>
          <w:szCs w:val="20"/>
        </w:rPr>
        <w:t>&amp;</w:t>
      </w:r>
      <w:r w:rsidRPr="00625EFF">
        <w:rPr>
          <w:sz w:val="20"/>
          <w:szCs w:val="20"/>
          <w:highlight w:val="white"/>
          <w:lang w:val="pt-BR"/>
        </w:rPr>
        <w:t xml:space="preserve"> C.J Carlos</w:t>
      </w:r>
      <w:r w:rsidRPr="00625EFF">
        <w:rPr>
          <w:sz w:val="20"/>
          <w:szCs w:val="20"/>
          <w:highlight w:val="white"/>
        </w:rPr>
        <w:t>. 2003. Aves da Caatinga: status, uso do habitat e sensitividade. Ecologia e conservação da Caatinga. Editora Universitária, Universidade Federal de Pernambuco, Recife, p. 237-274.</w:t>
      </w:r>
    </w:p>
    <w:p w14:paraId="7FEDD4E2" w14:textId="620CE3BA" w:rsidR="0076135B" w:rsidRPr="00625EFF" w:rsidRDefault="0076135B" w:rsidP="004B229D">
      <w:pPr>
        <w:widowControl w:val="0"/>
        <w:spacing w:line="240" w:lineRule="auto"/>
        <w:jc w:val="both"/>
        <w:rPr>
          <w:rFonts w:eastAsiaTheme="minorEastAsia"/>
          <w:sz w:val="20"/>
          <w:szCs w:val="20"/>
          <w:lang w:eastAsia="zh-CN"/>
        </w:rPr>
      </w:pPr>
      <w:r w:rsidRPr="00625EFF">
        <w:rPr>
          <w:sz w:val="20"/>
          <w:szCs w:val="20"/>
        </w:rPr>
        <w:t>Silva, M. V. A. 2017. Modelagem De Distribuição Geográfica Das Aves Endêmicas Da Caatinga, Status De Conservação E Possíveis Efeitos De Mudanças Climático-Ambientais. p. 71, Univ. UFRPE. Recife, MSc diss.</w:t>
      </w:r>
    </w:p>
    <w:p w14:paraId="1F935AF9" w14:textId="330396C4" w:rsidR="0076135B" w:rsidRPr="00625EFF" w:rsidRDefault="0076135B" w:rsidP="004B229D">
      <w:pPr>
        <w:widowControl w:val="0"/>
        <w:spacing w:line="240" w:lineRule="auto"/>
        <w:jc w:val="both"/>
        <w:rPr>
          <w:rFonts w:eastAsiaTheme="minorEastAsia"/>
          <w:sz w:val="20"/>
          <w:szCs w:val="20"/>
          <w:lang w:val="pt-BR" w:eastAsia="zh-CN"/>
        </w:rPr>
      </w:pPr>
      <w:r w:rsidRPr="00625EFF">
        <w:rPr>
          <w:sz w:val="20"/>
          <w:szCs w:val="20"/>
          <w:shd w:val="clear" w:color="auto" w:fill="FFFFFF"/>
        </w:rPr>
        <w:t>V</w:t>
      </w:r>
      <w:proofErr w:type="spellStart"/>
      <w:r w:rsidRPr="00625EFF">
        <w:rPr>
          <w:sz w:val="20"/>
          <w:szCs w:val="20"/>
          <w:shd w:val="clear" w:color="auto" w:fill="FFFFFF"/>
          <w:lang w:val="pt-BR"/>
        </w:rPr>
        <w:t>on</w:t>
      </w:r>
      <w:proofErr w:type="spellEnd"/>
      <w:r w:rsidRPr="00625EFF">
        <w:rPr>
          <w:sz w:val="20"/>
          <w:szCs w:val="20"/>
          <w:shd w:val="clear" w:color="auto" w:fill="FFFFFF"/>
          <w:lang w:val="pt-BR"/>
        </w:rPr>
        <w:t>-Matter</w:t>
      </w:r>
      <w:r w:rsidRPr="00625EFF">
        <w:rPr>
          <w:sz w:val="20"/>
          <w:szCs w:val="20"/>
          <w:shd w:val="clear" w:color="auto" w:fill="FFFFFF"/>
        </w:rPr>
        <w:t>,</w:t>
      </w:r>
      <w:r w:rsidRPr="00625EFF">
        <w:rPr>
          <w:sz w:val="20"/>
          <w:szCs w:val="20"/>
          <w:shd w:val="clear" w:color="auto" w:fill="FFFFFF"/>
          <w:lang w:val="pt-BR"/>
        </w:rPr>
        <w:t>S</w:t>
      </w:r>
      <w:r w:rsidRPr="00625EFF">
        <w:rPr>
          <w:sz w:val="20"/>
          <w:szCs w:val="20"/>
          <w:shd w:val="clear" w:color="auto" w:fill="FFFFFF"/>
        </w:rPr>
        <w:t>. </w:t>
      </w:r>
      <w:r w:rsidRPr="00625EFF">
        <w:rPr>
          <w:sz w:val="20"/>
          <w:szCs w:val="20"/>
          <w:shd w:val="clear" w:color="auto" w:fill="FFFFFF"/>
          <w:lang w:val="pt-BR"/>
        </w:rPr>
        <w:t xml:space="preserve">2010. </w:t>
      </w:r>
      <w:r w:rsidRPr="00625EFF">
        <w:rPr>
          <w:sz w:val="20"/>
          <w:szCs w:val="20"/>
          <w:shd w:val="clear" w:color="auto" w:fill="FFFFFF"/>
        </w:rPr>
        <w:t>Ornitologia e conservação: ciência aplicada, técnicas de pesquisa e levantamento. Technical Books Editora</w:t>
      </w:r>
      <w:r w:rsidR="00BE501B" w:rsidRPr="00625EFF">
        <w:rPr>
          <w:sz w:val="20"/>
          <w:szCs w:val="20"/>
          <w:shd w:val="clear" w:color="auto" w:fill="FFFFFF"/>
          <w:lang w:val="pt-BR"/>
        </w:rPr>
        <w:t>.</w:t>
      </w:r>
    </w:p>
    <w:p w14:paraId="02F6B8E4" w14:textId="77777777" w:rsidR="0076135B" w:rsidRPr="0076135B" w:rsidRDefault="0076135B" w:rsidP="004B229D">
      <w:pPr>
        <w:widowControl w:val="0"/>
        <w:spacing w:after="80" w:line="240" w:lineRule="auto"/>
        <w:jc w:val="both"/>
        <w:rPr>
          <w:rFonts w:eastAsiaTheme="minorEastAsia"/>
          <w:sz w:val="20"/>
          <w:szCs w:val="20"/>
          <w:lang w:eastAsia="zh-CN"/>
        </w:rPr>
      </w:pPr>
    </w:p>
    <w:p w14:paraId="57BF690F" w14:textId="77777777" w:rsidR="00844130" w:rsidRPr="00623D8F" w:rsidRDefault="00844130" w:rsidP="00623D8F">
      <w:pPr>
        <w:widowControl w:val="0"/>
        <w:spacing w:after="80" w:line="240" w:lineRule="auto"/>
        <w:jc w:val="both"/>
        <w:rPr>
          <w:rFonts w:eastAsiaTheme="minorEastAsia"/>
          <w:sz w:val="20"/>
          <w:szCs w:val="20"/>
          <w:lang w:val="pt-BR" w:eastAsia="zh-CN"/>
        </w:rPr>
      </w:pPr>
    </w:p>
    <w:p w14:paraId="639CFA96" w14:textId="77777777" w:rsidR="007A786F" w:rsidRPr="007A786F" w:rsidRDefault="007A786F">
      <w:pPr>
        <w:spacing w:line="240" w:lineRule="auto"/>
        <w:jc w:val="both"/>
        <w:rPr>
          <w:rFonts w:eastAsiaTheme="minorEastAsia"/>
          <w:lang w:eastAsia="zh-CN"/>
        </w:rPr>
      </w:pPr>
    </w:p>
    <w:sectPr w:rsidR="007A786F" w:rsidRPr="007A786F">
      <w:headerReference w:type="default" r:id="rId7"/>
      <w:pgSz w:w="11906" w:h="16838"/>
      <w:pgMar w:top="2540" w:right="1440" w:bottom="1440" w:left="1440" w:header="0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F54C2" w14:textId="77777777" w:rsidR="008F484D" w:rsidRDefault="008F484D">
      <w:pPr>
        <w:spacing w:line="240" w:lineRule="auto"/>
      </w:pPr>
      <w:r>
        <w:separator/>
      </w:r>
    </w:p>
  </w:endnote>
  <w:endnote w:type="continuationSeparator" w:id="0">
    <w:p w14:paraId="007CFA1C" w14:textId="77777777" w:rsidR="008F484D" w:rsidRDefault="008F48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DejaVu Sans">
    <w:altName w:val="Segoe Print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CA7AF" w14:textId="77777777" w:rsidR="008F484D" w:rsidRDefault="008F484D">
      <w:r>
        <w:separator/>
      </w:r>
    </w:p>
  </w:footnote>
  <w:footnote w:type="continuationSeparator" w:id="0">
    <w:p w14:paraId="287570AB" w14:textId="77777777" w:rsidR="008F484D" w:rsidRDefault="008F4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B5DAC" w14:textId="77777777" w:rsidR="00981FED" w:rsidRDefault="0078321A">
    <w:pPr>
      <w:tabs>
        <w:tab w:val="center" w:pos="4252"/>
        <w:tab w:val="right" w:pos="8504"/>
      </w:tabs>
      <w:spacing w:before="708" w:line="240" w:lineRule="auto"/>
      <w:jc w:val="both"/>
    </w:pPr>
    <w:r>
      <w:rPr>
        <w:noProof/>
      </w:rPr>
      <w:drawing>
        <wp:inline distT="0" distB="0" distL="0" distR="0" wp14:anchorId="0507F483" wp14:editId="1D3BF446">
          <wp:extent cx="1776095" cy="798195"/>
          <wp:effectExtent l="0" t="0" r="0" b="0"/>
          <wp:docPr id="2" name="Imagem 5" descr="Logo_CORR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5" descr="Logo_CORR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6095" cy="79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FFFFFF"/>
      </w:rPr>
      <w:t xml:space="preserve">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2F3"/>
    <w:rsid w:val="0000326E"/>
    <w:rsid w:val="00081CCA"/>
    <w:rsid w:val="00087E6F"/>
    <w:rsid w:val="00097DC4"/>
    <w:rsid w:val="000F1ED7"/>
    <w:rsid w:val="000F3A88"/>
    <w:rsid w:val="00135824"/>
    <w:rsid w:val="00186471"/>
    <w:rsid w:val="001A0583"/>
    <w:rsid w:val="001A3A42"/>
    <w:rsid w:val="0022272D"/>
    <w:rsid w:val="00236D2C"/>
    <w:rsid w:val="002A57E0"/>
    <w:rsid w:val="00317A34"/>
    <w:rsid w:val="003259D8"/>
    <w:rsid w:val="003618FC"/>
    <w:rsid w:val="00363580"/>
    <w:rsid w:val="003839D3"/>
    <w:rsid w:val="003A0F12"/>
    <w:rsid w:val="003A748D"/>
    <w:rsid w:val="003E40BD"/>
    <w:rsid w:val="00406D59"/>
    <w:rsid w:val="004B229D"/>
    <w:rsid w:val="004B519B"/>
    <w:rsid w:val="004C61CF"/>
    <w:rsid w:val="004D2FF2"/>
    <w:rsid w:val="004F1F12"/>
    <w:rsid w:val="00514E59"/>
    <w:rsid w:val="00532D17"/>
    <w:rsid w:val="005A5054"/>
    <w:rsid w:val="00611162"/>
    <w:rsid w:val="00623D8F"/>
    <w:rsid w:val="00625EFF"/>
    <w:rsid w:val="00626172"/>
    <w:rsid w:val="00636115"/>
    <w:rsid w:val="006E0379"/>
    <w:rsid w:val="006F1F20"/>
    <w:rsid w:val="0071209D"/>
    <w:rsid w:val="00750F2E"/>
    <w:rsid w:val="0076135B"/>
    <w:rsid w:val="00774CD3"/>
    <w:rsid w:val="0078321A"/>
    <w:rsid w:val="007A48D4"/>
    <w:rsid w:val="007A786F"/>
    <w:rsid w:val="007D08D9"/>
    <w:rsid w:val="00831924"/>
    <w:rsid w:val="00844130"/>
    <w:rsid w:val="00867B75"/>
    <w:rsid w:val="008E4023"/>
    <w:rsid w:val="008E4F73"/>
    <w:rsid w:val="008F26E5"/>
    <w:rsid w:val="008F484D"/>
    <w:rsid w:val="00942BD6"/>
    <w:rsid w:val="009457FA"/>
    <w:rsid w:val="00981FED"/>
    <w:rsid w:val="00997357"/>
    <w:rsid w:val="009A4644"/>
    <w:rsid w:val="009B7F22"/>
    <w:rsid w:val="009C4378"/>
    <w:rsid w:val="00AA0515"/>
    <w:rsid w:val="00AA6D59"/>
    <w:rsid w:val="00AB7E05"/>
    <w:rsid w:val="00B41537"/>
    <w:rsid w:val="00B624FF"/>
    <w:rsid w:val="00B64610"/>
    <w:rsid w:val="00B74092"/>
    <w:rsid w:val="00B744E1"/>
    <w:rsid w:val="00B9568C"/>
    <w:rsid w:val="00BD5A94"/>
    <w:rsid w:val="00BE501B"/>
    <w:rsid w:val="00C0360F"/>
    <w:rsid w:val="00C13AD7"/>
    <w:rsid w:val="00C17FDF"/>
    <w:rsid w:val="00C267F5"/>
    <w:rsid w:val="00C27975"/>
    <w:rsid w:val="00C4110B"/>
    <w:rsid w:val="00C447C5"/>
    <w:rsid w:val="00C5472F"/>
    <w:rsid w:val="00C7450D"/>
    <w:rsid w:val="00C832C1"/>
    <w:rsid w:val="00C872FB"/>
    <w:rsid w:val="00CA0E5B"/>
    <w:rsid w:val="00CE057D"/>
    <w:rsid w:val="00D25C0F"/>
    <w:rsid w:val="00DD163B"/>
    <w:rsid w:val="00E052F3"/>
    <w:rsid w:val="00E7245D"/>
    <w:rsid w:val="00EA1DED"/>
    <w:rsid w:val="00F21D60"/>
    <w:rsid w:val="00F2300B"/>
    <w:rsid w:val="00FB1BD7"/>
    <w:rsid w:val="00FD110A"/>
    <w:rsid w:val="00FE1C34"/>
    <w:rsid w:val="00FE1E4B"/>
    <w:rsid w:val="4C88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12F39"/>
  <w15:docId w15:val="{2093987E-8931-42BD-91F7-4372F5C11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qFormat="1"/>
    <w:lsdException w:name="annotation reference" w:qFormat="1"/>
    <w:lsdException w:name="List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76" w:lineRule="auto"/>
    </w:pPr>
    <w:rPr>
      <w:rFonts w:eastAsia="Arial"/>
      <w:sz w:val="22"/>
      <w:szCs w:val="22"/>
      <w:lang w:val="zh-CN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qFormat/>
    <w:rPr>
      <w:sz w:val="16"/>
      <w:szCs w:val="16"/>
    </w:rPr>
  </w:style>
  <w:style w:type="paragraph" w:styleId="Lista">
    <w:name w:val="List"/>
    <w:basedOn w:val="Corpodetexto"/>
    <w:qFormat/>
    <w:rPr>
      <w:rFonts w:cs="FreeSans"/>
    </w:rPr>
  </w:style>
  <w:style w:type="paragraph" w:styleId="Corpodetexto">
    <w:name w:val="Body Text"/>
    <w:basedOn w:val="Normal"/>
    <w:qFormat/>
    <w:pPr>
      <w:spacing w:after="140"/>
    </w:pPr>
  </w:style>
  <w:style w:type="paragraph" w:styleId="Textodecomentrio">
    <w:name w:val="annotation text"/>
    <w:basedOn w:val="Normal"/>
    <w:link w:val="TextodecomentrioChar"/>
    <w:qFormat/>
    <w:pPr>
      <w:spacing w:line="240" w:lineRule="auto"/>
    </w:pPr>
    <w:rPr>
      <w:sz w:val="20"/>
      <w:szCs w:val="20"/>
    </w:rPr>
  </w:style>
  <w:style w:type="paragraph" w:styleId="Ttulo">
    <w:name w:val="Title"/>
    <w:basedOn w:val="Normal"/>
    <w:next w:val="Normal"/>
    <w:qFormat/>
    <w:pPr>
      <w:keepNext/>
      <w:keepLines/>
      <w:spacing w:after="60"/>
    </w:pPr>
    <w:rPr>
      <w:sz w:val="52"/>
      <w:szCs w:val="52"/>
    </w:rPr>
  </w:style>
  <w:style w:type="paragraph" w:styleId="Cabealho">
    <w:name w:val="header"/>
    <w:basedOn w:val="Normal"/>
    <w:qFormat/>
  </w:style>
  <w:style w:type="paragraph" w:styleId="Assuntodocomentrio">
    <w:name w:val="annotation subject"/>
    <w:basedOn w:val="Textodecomentrio"/>
    <w:next w:val="Textodecomentrio"/>
    <w:link w:val="AssuntodocomentrioChar"/>
    <w:qFormat/>
    <w:rPr>
      <w:b/>
      <w:bCs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InternetLink">
    <w:name w:val="Internet Link"/>
    <w:basedOn w:val="Fontepargpadro"/>
    <w:uiPriority w:val="99"/>
    <w:unhideWhenUsed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electable-text">
    <w:name w:val="selectable-text"/>
    <w:basedOn w:val="Fontepargpadro"/>
    <w:qFormat/>
  </w:style>
  <w:style w:type="character" w:customStyle="1" w:styleId="ListLabel1">
    <w:name w:val="ListLabel 1"/>
    <w:qFormat/>
    <w:rPr>
      <w:color w:val="000000"/>
    </w:rPr>
  </w:style>
  <w:style w:type="character" w:customStyle="1" w:styleId="ListLabel2">
    <w:name w:val="ListLabel 2"/>
    <w:qFormat/>
    <w:rPr>
      <w:color w:val="000000"/>
    </w:rPr>
  </w:style>
  <w:style w:type="character" w:customStyle="1" w:styleId="ListLabel3">
    <w:name w:val="ListLabel 3"/>
    <w:qFormat/>
    <w:rPr>
      <w:color w:val="000000"/>
    </w:rPr>
  </w:style>
  <w:style w:type="character" w:customStyle="1" w:styleId="ListLabel4">
    <w:name w:val="ListLabel 4"/>
    <w:qFormat/>
    <w:rPr>
      <w:color w:val="000000"/>
    </w:rPr>
  </w:style>
  <w:style w:type="character" w:customStyle="1" w:styleId="ListLabel5">
    <w:name w:val="ListLabel 5"/>
    <w:qFormat/>
    <w:rPr>
      <w:color w:val="000000"/>
    </w:rPr>
  </w:style>
  <w:style w:type="character" w:customStyle="1" w:styleId="ListLabel6">
    <w:name w:val="ListLabel 6"/>
    <w:qFormat/>
    <w:rPr>
      <w:color w:val="000000"/>
    </w:rPr>
  </w:style>
  <w:style w:type="character" w:customStyle="1" w:styleId="ListLabel7">
    <w:name w:val="ListLabel 7"/>
    <w:qFormat/>
    <w:rPr>
      <w:color w:val="000000"/>
    </w:rPr>
  </w:style>
  <w:style w:type="character" w:customStyle="1" w:styleId="ListLabel8">
    <w:name w:val="ListLabel 8"/>
    <w:qFormat/>
    <w:rPr>
      <w:color w:val="000000"/>
    </w:rPr>
  </w:style>
  <w:style w:type="character" w:customStyle="1" w:styleId="ListLabel9">
    <w:name w:val="ListLabel 9"/>
    <w:qFormat/>
    <w:rPr>
      <w:color w:val="000000"/>
    </w:rPr>
  </w:style>
  <w:style w:type="character" w:customStyle="1" w:styleId="TextodecomentrioChar">
    <w:name w:val="Texto de comentário Char"/>
    <w:basedOn w:val="Fontepargpadro"/>
    <w:link w:val="Textodecomentrio"/>
    <w:qFormat/>
    <w:rPr>
      <w:rFonts w:eastAsia="Arial"/>
      <w:lang w:val="zh-CN"/>
    </w:rPr>
  </w:style>
  <w:style w:type="character" w:customStyle="1" w:styleId="AssuntodocomentrioChar">
    <w:name w:val="Assunto do comentário Char"/>
    <w:basedOn w:val="TextodecomentrioChar"/>
    <w:link w:val="Assuntodocomentrio"/>
    <w:qFormat/>
    <w:rPr>
      <w:rFonts w:eastAsia="Arial"/>
      <w:b/>
      <w:bCs/>
      <w:lang w:val="zh-CN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PargrafodaLista">
    <w:name w:val="List Paragraph"/>
    <w:basedOn w:val="Normal"/>
    <w:qFormat/>
    <w:pPr>
      <w:suppressAutoHyphens/>
      <w:spacing w:after="200"/>
      <w:ind w:left="720" w:hanging="1"/>
      <w:contextualSpacing/>
      <w:textAlignment w:val="top"/>
      <w:outlineLvl w:val="0"/>
    </w:pPr>
    <w:rPr>
      <w:rFonts w:ascii="Calibri" w:eastAsia="Calibri" w:hAnsi="Calibri" w:cs="Calibri"/>
      <w:lang w:val="pt-BR" w:eastAsia="en-US"/>
    </w:rPr>
  </w:style>
  <w:style w:type="paragraph" w:customStyle="1" w:styleId="Reviso1">
    <w:name w:val="Revisão1"/>
    <w:uiPriority w:val="99"/>
    <w:unhideWhenUsed/>
    <w:qFormat/>
    <w:rPr>
      <w:rFonts w:eastAsia="Arial"/>
      <w:sz w:val="22"/>
      <w:szCs w:val="22"/>
      <w:lang w:val="zh-CN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unhideWhenUsed/>
    <w:rsid w:val="00514E59"/>
    <w:rPr>
      <w:rFonts w:eastAsia="Arial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3</Pages>
  <Words>1561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</dc:creator>
  <cp:lastModifiedBy>Rafael Salú</cp:lastModifiedBy>
  <cp:revision>98</cp:revision>
  <dcterms:created xsi:type="dcterms:W3CDTF">2023-04-12T17:44:00Z</dcterms:created>
  <dcterms:modified xsi:type="dcterms:W3CDTF">2023-11-01T13:24:00Z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CV">
    <vt:lpwstr>72DE21DEC1A84E559D7BB609DCEDA745</vt:lpwstr>
  </property>
  <property fmtid="{D5CDD505-2E9C-101B-9397-08002B2CF9AE}" pid="6" name="KSOProductBuildVer">
    <vt:lpwstr>1046-12.2.0.13208</vt:lpwstr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